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w:t>
      </w:r>
      <w:proofErr w:type="gramStart"/>
      <w:r w:rsidR="00E71390" w:rsidRPr="00E71390">
        <w:rPr>
          <w:rFonts w:ascii="Arial" w:hAnsi="Arial" w:cs="Arial"/>
          <w:b/>
          <w:bCs/>
          <w:sz w:val="24"/>
        </w:rPr>
        <w:t>eff</w:t>
      </w:r>
      <w:proofErr w:type="gramEnd"/>
      <w:r w:rsidR="00E71390" w:rsidRPr="00E71390">
        <w:rPr>
          <w:rFonts w:ascii="Arial" w:hAnsi="Arial" w:cs="Arial"/>
          <w:b/>
          <w:bCs/>
          <w:sz w:val="24"/>
        </w:rPr>
        <w:t>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E71390" w:rsidP="00E71390">
            <w:pPr>
              <w:overflowPunct/>
              <w:autoSpaceDE/>
              <w:autoSpaceDN/>
              <w:adjustRightInd/>
              <w:spacing w:after="0"/>
              <w:textAlignment w:val="auto"/>
              <w:rPr>
                <w:rFonts w:ascii="Arial" w:hAnsi="Arial" w:cs="Arial"/>
                <w:b/>
                <w:bCs/>
                <w:color w:val="0000FF"/>
                <w:sz w:val="16"/>
                <w:szCs w:val="16"/>
                <w:u w:val="single"/>
              </w:rPr>
            </w:pPr>
            <w:hyperlink r:id="rId12" w:history="1">
              <w:r>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E71390" w:rsidP="00E71390">
            <w:pPr>
              <w:overflowPunct/>
              <w:autoSpaceDE/>
              <w:autoSpaceDN/>
              <w:adjustRightInd/>
              <w:spacing w:after="0"/>
              <w:textAlignment w:val="auto"/>
              <w:rPr>
                <w:sz w:val="18"/>
                <w:szCs w:val="18"/>
              </w:rPr>
            </w:pPr>
            <w:hyperlink r:id="rId13" w:history="1">
              <w:r>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E71390" w:rsidP="00E71390">
            <w:pPr>
              <w:overflowPunct/>
              <w:autoSpaceDE/>
              <w:autoSpaceDN/>
              <w:adjustRightInd/>
              <w:spacing w:after="0"/>
              <w:textAlignment w:val="auto"/>
              <w:rPr>
                <w:sz w:val="18"/>
                <w:szCs w:val="18"/>
              </w:rPr>
            </w:pPr>
            <w:hyperlink r:id="rId14" w:history="1">
              <w:r>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E71390" w:rsidP="00E71390">
            <w:pPr>
              <w:overflowPunct/>
              <w:autoSpaceDE/>
              <w:autoSpaceDN/>
              <w:adjustRightInd/>
              <w:spacing w:after="0"/>
              <w:textAlignment w:val="auto"/>
              <w:rPr>
                <w:sz w:val="18"/>
                <w:szCs w:val="18"/>
              </w:rPr>
            </w:pPr>
            <w:hyperlink r:id="rId15" w:history="1">
              <w:r>
                <w:rPr>
                  <w:rStyle w:val="Hyperlink"/>
                  <w:rFonts w:ascii="Arial" w:hAnsi="Arial" w:cs="Arial"/>
                  <w:b/>
                  <w:bCs/>
                  <w:sz w:val="16"/>
                  <w:szCs w:val="16"/>
                </w:rPr>
                <w:t>R1-21090</w:t>
              </w:r>
              <w:r>
                <w:rPr>
                  <w:rStyle w:val="Hyperlink"/>
                  <w:rFonts w:ascii="Arial" w:hAnsi="Arial" w:cs="Arial"/>
                  <w:b/>
                  <w:bCs/>
                  <w:sz w:val="16"/>
                  <w:szCs w:val="16"/>
                </w:rPr>
                <w:t>2</w:t>
              </w:r>
              <w:r>
                <w:rPr>
                  <w:rStyle w:val="Hyperlink"/>
                  <w:rFonts w:ascii="Arial" w:hAnsi="Arial" w:cs="Arial"/>
                  <w:b/>
                  <w:bCs/>
                  <w:sz w:val="16"/>
                  <w:szCs w:val="16"/>
                </w:rPr>
                <w:t>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E71390" w:rsidP="00E71390">
            <w:pPr>
              <w:overflowPunct/>
              <w:autoSpaceDE/>
              <w:autoSpaceDN/>
              <w:adjustRightInd/>
              <w:spacing w:after="0"/>
              <w:textAlignment w:val="auto"/>
              <w:rPr>
                <w:sz w:val="18"/>
                <w:szCs w:val="18"/>
              </w:rPr>
            </w:pPr>
            <w:hyperlink r:id="rId16" w:history="1">
              <w:r>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E71390" w:rsidP="00E71390">
            <w:pPr>
              <w:overflowPunct/>
              <w:autoSpaceDE/>
              <w:autoSpaceDN/>
              <w:adjustRightInd/>
              <w:spacing w:after="0"/>
              <w:textAlignment w:val="auto"/>
              <w:rPr>
                <w:sz w:val="18"/>
                <w:szCs w:val="18"/>
              </w:rPr>
            </w:pPr>
            <w:hyperlink r:id="rId17" w:history="1">
              <w:r>
                <w:rPr>
                  <w:rStyle w:val="Hyperlink"/>
                  <w:rFonts w:ascii="Arial" w:hAnsi="Arial" w:cs="Arial"/>
                  <w:b/>
                  <w:bCs/>
                  <w:sz w:val="16"/>
                  <w:szCs w:val="16"/>
                </w:rPr>
                <w:t>R1-21100</w:t>
              </w:r>
              <w:r>
                <w:rPr>
                  <w:rStyle w:val="Hyperlink"/>
                  <w:rFonts w:ascii="Arial" w:hAnsi="Arial" w:cs="Arial"/>
                  <w:b/>
                  <w:bCs/>
                  <w:sz w:val="16"/>
                  <w:szCs w:val="16"/>
                </w:rPr>
                <w:t>1</w:t>
              </w:r>
              <w:r>
                <w:rPr>
                  <w:rStyle w:val="Hyperlink"/>
                  <w:rFonts w:ascii="Arial" w:hAnsi="Arial" w:cs="Arial"/>
                  <w:b/>
                  <w:bCs/>
                  <w:sz w:val="16"/>
                  <w:szCs w:val="16"/>
                </w:rPr>
                <w:t>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E71390" w:rsidP="00E71390">
            <w:pPr>
              <w:overflowPunct/>
              <w:autoSpaceDE/>
              <w:autoSpaceDN/>
              <w:adjustRightInd/>
              <w:spacing w:after="0"/>
              <w:textAlignment w:val="auto"/>
              <w:rPr>
                <w:sz w:val="18"/>
                <w:szCs w:val="18"/>
              </w:rPr>
            </w:pPr>
            <w:hyperlink r:id="rId18" w:history="1">
              <w:r>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E71390" w:rsidP="00E71390">
            <w:pPr>
              <w:overflowPunct/>
              <w:autoSpaceDE/>
              <w:autoSpaceDN/>
              <w:adjustRightInd/>
              <w:spacing w:after="0"/>
              <w:textAlignment w:val="auto"/>
              <w:rPr>
                <w:sz w:val="18"/>
                <w:szCs w:val="18"/>
              </w:rPr>
            </w:pPr>
            <w:hyperlink r:id="rId19" w:history="1">
              <w:r>
                <w:rPr>
                  <w:rStyle w:val="Hyperlink"/>
                  <w:rFonts w:ascii="Arial" w:hAnsi="Arial" w:cs="Arial"/>
                  <w:b/>
                  <w:bCs/>
                  <w:sz w:val="16"/>
                  <w:szCs w:val="16"/>
                </w:rPr>
                <w:t>R1-21103</w:t>
              </w:r>
              <w:r>
                <w:rPr>
                  <w:rStyle w:val="Hyperlink"/>
                  <w:rFonts w:ascii="Arial" w:hAnsi="Arial" w:cs="Arial"/>
                  <w:b/>
                  <w:bCs/>
                  <w:sz w:val="16"/>
                  <w:szCs w:val="16"/>
                </w:rPr>
                <w:t>0</w:t>
              </w:r>
              <w:r>
                <w:rPr>
                  <w:rStyle w:val="Hyperlink"/>
                  <w:rFonts w:ascii="Arial" w:hAnsi="Arial" w:cs="Arial"/>
                  <w:b/>
                  <w:bCs/>
                  <w:sz w:val="16"/>
                  <w:szCs w:val="16"/>
                </w:rPr>
                <w:t>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E71390" w:rsidP="00E71390">
            <w:pPr>
              <w:overflowPunct/>
              <w:autoSpaceDE/>
              <w:autoSpaceDN/>
              <w:adjustRightInd/>
              <w:spacing w:after="0"/>
              <w:textAlignment w:val="auto"/>
              <w:rPr>
                <w:sz w:val="18"/>
                <w:szCs w:val="18"/>
              </w:rPr>
            </w:pPr>
            <w:hyperlink r:id="rId20" w:history="1">
              <w:r>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 xml:space="preserve">RAN4 respectfully requests to provide information if each studied method is compatible with RAN1/RAN2 specifications and </w:t>
      </w:r>
      <w:proofErr w:type="gramStart"/>
      <w:r>
        <w:rPr>
          <w:rFonts w:eastAsia="SimSun" w:cs="Arial"/>
          <w:b w:val="0"/>
          <w:noProof w:val="0"/>
          <w:sz w:val="20"/>
          <w:lang w:eastAsia="zh-CN"/>
        </w:rPr>
        <w:t>in particular to</w:t>
      </w:r>
      <w:proofErr w:type="gramEnd"/>
      <w:r>
        <w:rPr>
          <w:rFonts w:eastAsia="SimSun" w:cs="Arial"/>
          <w:b w:val="0"/>
          <w:noProof w:val="0"/>
          <w:sz w:val="20"/>
          <w:lang w:eastAsia="zh-CN"/>
        </w:rPr>
        <w:t xml:space="preserve">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if there is any limitation for the UL carrier positions (not just BWP positions) legacy UEs support for </w:t>
      </w:r>
      <w:proofErr w:type="spellStart"/>
      <w:r>
        <w:rPr>
          <w:rFonts w:eastAsia="SimSun" w:cs="Arial"/>
          <w:b w:val="0"/>
          <w:noProof w:val="0"/>
          <w:sz w:val="20"/>
          <w:lang w:eastAsia="zh-CN"/>
        </w:rPr>
        <w:t>uplinkChannelBW</w:t>
      </w:r>
      <w:proofErr w:type="spellEnd"/>
      <w:r>
        <w:rPr>
          <w:rFonts w:eastAsia="SimSun" w:cs="Arial"/>
          <w:b w:val="0"/>
          <w:noProof w:val="0"/>
          <w:sz w:val="20"/>
          <w:lang w:eastAsia="zh-CN"/>
        </w:rPr>
        <w:t>-</w:t>
      </w:r>
      <w:proofErr w:type="spellStart"/>
      <w:r>
        <w:rPr>
          <w:rFonts w:eastAsia="SimSun" w:cs="Arial"/>
          <w:b w:val="0"/>
          <w:noProof w:val="0"/>
          <w:sz w:val="20"/>
          <w:lang w:eastAsia="zh-CN"/>
        </w:rPr>
        <w:t>PerSCS</w:t>
      </w:r>
      <w:proofErr w:type="spellEnd"/>
      <w:r>
        <w:rPr>
          <w:rFonts w:eastAsia="SimSun" w:cs="Arial"/>
          <w:b w:val="0"/>
          <w:noProof w:val="0"/>
          <w:sz w:val="20"/>
          <w:lang w:eastAsia="zh-CN"/>
        </w:rPr>
        <w:t xml:space="preserve">-List and </w:t>
      </w:r>
      <w:proofErr w:type="spellStart"/>
      <w:r>
        <w:rPr>
          <w:rFonts w:eastAsia="SimSun" w:cs="Arial"/>
          <w:b w:val="0"/>
          <w:noProof w:val="0"/>
          <w:sz w:val="20"/>
          <w:lang w:eastAsia="zh-CN"/>
        </w:rPr>
        <w:t>scs-SpecificCarrierList</w:t>
      </w:r>
      <w:proofErr w:type="spellEnd"/>
      <w:r>
        <w:rPr>
          <w:rFonts w:eastAsia="SimSun"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w:t>
      </w:r>
      <w:proofErr w:type="gramStart"/>
      <w:r>
        <w:rPr>
          <w:rFonts w:eastAsia="SimSun" w:cs="Arial"/>
          <w:b w:val="0"/>
          <w:noProof w:val="0"/>
          <w:sz w:val="20"/>
          <w:lang w:eastAsia="zh-CN"/>
        </w:rPr>
        <w:t>i.e.</w:t>
      </w:r>
      <w:proofErr w:type="gramEnd"/>
      <w:r>
        <w:rPr>
          <w:rFonts w:eastAsia="SimSun" w:cs="Arial"/>
          <w:b w:val="0"/>
          <w:noProof w:val="0"/>
          <w:sz w:val="20"/>
          <w:lang w:eastAsia="zh-CN"/>
        </w:rPr>
        <w:t xml:space="preserv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whether a single SSB and CORESET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w:t>
      </w:r>
      <w:proofErr w:type="gramStart"/>
      <w:r>
        <w:rPr>
          <w:rFonts w:eastAsia="SimSun" w:cs="Arial"/>
          <w:b w:val="0"/>
          <w:noProof w:val="0"/>
          <w:sz w:val="20"/>
          <w:lang w:eastAsia="zh-CN"/>
        </w:rPr>
        <w:t>two time</w:t>
      </w:r>
      <w:proofErr w:type="gramEnd"/>
      <w:r>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 xml:space="preserve">clarify how PDCCH reception in overlapped CA when </w:t>
      </w:r>
      <w:proofErr w:type="spellStart"/>
      <w:r>
        <w:rPr>
          <w:rFonts w:eastAsia="SimSun" w:cs="Arial"/>
          <w:b w:val="0"/>
          <w:noProof w:val="0"/>
          <w:sz w:val="20"/>
          <w:lang w:eastAsia="zh-CN"/>
        </w:rPr>
        <w:t>PCell</w:t>
      </w:r>
      <w:proofErr w:type="spellEnd"/>
      <w:r>
        <w:rPr>
          <w:rFonts w:eastAsia="SimSun" w:cs="Arial"/>
          <w:b w:val="0"/>
          <w:noProof w:val="0"/>
          <w:sz w:val="20"/>
          <w:lang w:eastAsia="zh-CN"/>
        </w:rPr>
        <w:t xml:space="preserve"> and </w:t>
      </w:r>
      <w:proofErr w:type="spellStart"/>
      <w:r>
        <w:rPr>
          <w:rFonts w:eastAsia="SimSun" w:cs="Arial"/>
          <w:b w:val="0"/>
          <w:noProof w:val="0"/>
          <w:sz w:val="20"/>
          <w:lang w:eastAsia="zh-CN"/>
        </w:rPr>
        <w:t>SCell</w:t>
      </w:r>
      <w:proofErr w:type="spellEnd"/>
      <w:r>
        <w:rPr>
          <w:rFonts w:eastAsia="SimSun"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in the </w:t>
      </w:r>
      <w:proofErr w:type="spellStart"/>
      <w:r>
        <w:rPr>
          <w:rFonts w:eastAsia="SimSun" w:cs="Arial"/>
          <w:b w:val="0"/>
          <w:noProof w:val="0"/>
          <w:sz w:val="20"/>
          <w:lang w:eastAsia="zh-CN"/>
        </w:rPr>
        <w:t>ServingCellConfig</w:t>
      </w:r>
      <w:proofErr w:type="spellEnd"/>
      <w:r>
        <w:rPr>
          <w:rFonts w:eastAsia="SimSun" w:cs="Arial"/>
          <w:b w:val="0"/>
          <w:noProof w:val="0"/>
          <w:sz w:val="20"/>
          <w:lang w:eastAsia="zh-CN"/>
        </w:rPr>
        <w:t xml:space="preserve"> that is wider than/partially outside the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485FBA57" w:rsidR="00361D72" w:rsidRDefault="00361D72" w:rsidP="006736BC">
            <w:pPr>
              <w:overflowPunct/>
              <w:autoSpaceDE/>
              <w:autoSpaceDN/>
              <w:adjustRightInd/>
              <w:spacing w:after="0"/>
              <w:textAlignment w:val="auto"/>
              <w:rPr>
                <w:rFonts w:ascii="Arial" w:hAnsi="Arial" w:cs="Arial"/>
                <w:sz w:val="16"/>
                <w:szCs w:val="16"/>
              </w:rPr>
            </w:pPr>
          </w:p>
        </w:tc>
        <w:tc>
          <w:tcPr>
            <w:tcW w:w="7938" w:type="dxa"/>
            <w:shd w:val="clear" w:color="auto" w:fill="auto"/>
          </w:tcPr>
          <w:p w14:paraId="53C7BFCA" w14:textId="6728E74E" w:rsidR="00361D72" w:rsidRDefault="00361D72" w:rsidP="006736BC">
            <w:pPr>
              <w:overflowPunct/>
              <w:autoSpaceDE/>
              <w:autoSpaceDN/>
              <w:adjustRightInd/>
              <w:spacing w:after="0"/>
              <w:textAlignment w:val="auto"/>
              <w:rPr>
                <w:rFonts w:ascii="Arial" w:hAnsi="Arial" w:cs="Arial"/>
                <w:sz w:val="16"/>
                <w:szCs w:val="16"/>
              </w:rPr>
            </w:pPr>
          </w:p>
        </w:tc>
      </w:tr>
      <w:tr w:rsidR="00361D72" w:rsidRPr="00BA6870" w14:paraId="74E84E68" w14:textId="77777777" w:rsidTr="00361D72">
        <w:trPr>
          <w:trHeight w:val="182"/>
        </w:trPr>
        <w:tc>
          <w:tcPr>
            <w:tcW w:w="1975" w:type="dxa"/>
            <w:shd w:val="clear" w:color="auto" w:fill="auto"/>
          </w:tcPr>
          <w:p w14:paraId="7A009F63" w14:textId="0EC9BE13"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04EF8C5C" w14:textId="1B7C68B6"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6A207897" w14:textId="77777777" w:rsidTr="00361D72">
        <w:trPr>
          <w:trHeight w:val="182"/>
        </w:trPr>
        <w:tc>
          <w:tcPr>
            <w:tcW w:w="1975" w:type="dxa"/>
            <w:shd w:val="clear" w:color="auto" w:fill="auto"/>
          </w:tcPr>
          <w:p w14:paraId="2CFC3EEB" w14:textId="0FA5545C"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4068B72" w14:textId="6C8D9BF7" w:rsidR="00361D72" w:rsidRPr="00851E39" w:rsidRDefault="00361D72" w:rsidP="006736BC">
            <w:pPr>
              <w:overflowPunct/>
              <w:autoSpaceDE/>
              <w:autoSpaceDN/>
              <w:adjustRightInd/>
              <w:spacing w:after="0"/>
              <w:textAlignment w:val="auto"/>
              <w:rPr>
                <w:rFonts w:ascii="Arial" w:hAnsi="Arial" w:cs="Arial"/>
                <w:sz w:val="18"/>
                <w:szCs w:val="18"/>
              </w:rPr>
            </w:pPr>
          </w:p>
        </w:tc>
      </w:tr>
    </w:tbl>
    <w:p w14:paraId="7951C131" w14:textId="664227AC" w:rsidR="002926CF" w:rsidRDefault="002926CF" w:rsidP="00622410"/>
    <w:p w14:paraId="6DD95E1B" w14:textId="14645933" w:rsidR="002926CF" w:rsidRDefault="002926CF" w:rsidP="002926CF">
      <w:pPr>
        <w:pStyle w:val="Heading2"/>
      </w:pPr>
      <w:r>
        <w:t>3.</w:t>
      </w:r>
      <w:r>
        <w:t>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lastRenderedPageBreak/>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3A6A6F8" w14:textId="490D91B6"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7E510137" w14:textId="1F97AC8F" w:rsidR="004A7DB8" w:rsidRDefault="004A7DB8" w:rsidP="004A7DB8">
      <w:pPr>
        <w:pStyle w:val="Heading3"/>
      </w:pPr>
      <w:r>
        <w:t>3.</w:t>
      </w:r>
      <w:r>
        <w:t>2</w:t>
      </w:r>
      <w:r>
        <w:t>.1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037CF9FF"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UEs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9A1E71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UEs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77777777" w:rsidR="00361D72" w:rsidRDefault="00361D72" w:rsidP="006736BC">
            <w:pPr>
              <w:overflowPunct/>
              <w:autoSpaceDE/>
              <w:autoSpaceDN/>
              <w:adjustRightInd/>
              <w:spacing w:after="0"/>
              <w:textAlignment w:val="auto"/>
              <w:rPr>
                <w:rFonts w:ascii="Arial" w:hAnsi="Arial" w:cs="Arial"/>
                <w:sz w:val="16"/>
                <w:szCs w:val="16"/>
              </w:rPr>
            </w:pPr>
          </w:p>
        </w:tc>
        <w:tc>
          <w:tcPr>
            <w:tcW w:w="7938" w:type="dxa"/>
            <w:shd w:val="clear" w:color="auto" w:fill="auto"/>
          </w:tcPr>
          <w:p w14:paraId="6D03EE46" w14:textId="77777777" w:rsidR="00361D72" w:rsidRDefault="00361D72" w:rsidP="006736BC">
            <w:pPr>
              <w:overflowPunct/>
              <w:autoSpaceDE/>
              <w:autoSpaceDN/>
              <w:adjustRightInd/>
              <w:spacing w:after="0"/>
              <w:textAlignment w:val="auto"/>
              <w:rPr>
                <w:rFonts w:ascii="Arial" w:hAnsi="Arial" w:cs="Arial"/>
                <w:sz w:val="16"/>
                <w:szCs w:val="16"/>
              </w:rPr>
            </w:pPr>
          </w:p>
        </w:tc>
      </w:tr>
      <w:tr w:rsidR="00361D72" w:rsidRPr="00BA6870" w14:paraId="60132883" w14:textId="77777777" w:rsidTr="006736BC">
        <w:trPr>
          <w:trHeight w:val="182"/>
        </w:trPr>
        <w:tc>
          <w:tcPr>
            <w:tcW w:w="1975" w:type="dxa"/>
            <w:shd w:val="clear" w:color="auto" w:fill="auto"/>
          </w:tcPr>
          <w:p w14:paraId="009FB8AC"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34219022"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bl>
    <w:p w14:paraId="4148D6CD" w14:textId="77777777" w:rsidR="00361D72" w:rsidRDefault="00361D72" w:rsidP="00361D72"/>
    <w:p w14:paraId="7AAA4258" w14:textId="62814558" w:rsidR="00F7737C" w:rsidRDefault="00F7737C" w:rsidP="00F7737C">
      <w:pPr>
        <w:pStyle w:val="Heading2"/>
      </w:pPr>
      <w:r>
        <w:t>3.</w:t>
      </w:r>
      <w:r>
        <w:t>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F7737C">
        <w:rPr>
          <w:rFonts w:eastAsia="SimSun" w:cs="Arial"/>
          <w:b w:val="0"/>
          <w:noProof w:val="0"/>
          <w:color w:val="4472C4" w:themeColor="accent1"/>
          <w:sz w:val="20"/>
          <w:lang w:eastAsia="zh-CN"/>
        </w:rPr>
        <w:t>e.g.</w:t>
      </w:r>
      <w:proofErr w:type="gramEnd"/>
      <w:r w:rsidRPr="00F7737C">
        <w:rPr>
          <w:rFonts w:eastAsia="SimSun" w:cs="Arial"/>
          <w:b w:val="0"/>
          <w:noProof w:val="0"/>
          <w:color w:val="4472C4" w:themeColor="accent1"/>
          <w:sz w:val="20"/>
          <w:lang w:eastAsia="zh-CN"/>
        </w:rPr>
        <w:t xml:space="preserve"> does UE report CSI for each cell separately, or just once for the overlapping part, or something else?</w:t>
      </w:r>
    </w:p>
    <w:p w14:paraId="7C3D9035" w14:textId="101EB4FB"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clarify how PDCCH reception in overlapped CA when </w:t>
      </w:r>
      <w:proofErr w:type="spellStart"/>
      <w:r w:rsidRPr="00F7737C">
        <w:rPr>
          <w:rFonts w:eastAsia="SimSun" w:cs="Arial"/>
          <w:b w:val="0"/>
          <w:noProof w:val="0"/>
          <w:color w:val="4472C4" w:themeColor="accent1"/>
          <w:sz w:val="20"/>
          <w:lang w:eastAsia="zh-CN"/>
        </w:rPr>
        <w:t>PCell</w:t>
      </w:r>
      <w:proofErr w:type="spellEnd"/>
      <w:r w:rsidRPr="00F7737C">
        <w:rPr>
          <w:rFonts w:eastAsia="SimSun" w:cs="Arial"/>
          <w:b w:val="0"/>
          <w:noProof w:val="0"/>
          <w:color w:val="4472C4" w:themeColor="accent1"/>
          <w:sz w:val="20"/>
          <w:lang w:eastAsia="zh-CN"/>
        </w:rPr>
        <w:t xml:space="preserve"> and </w:t>
      </w:r>
      <w:proofErr w:type="spellStart"/>
      <w:r w:rsidRPr="00F7737C">
        <w:rPr>
          <w:rFonts w:eastAsia="SimSun" w:cs="Arial"/>
          <w:b w:val="0"/>
          <w:noProof w:val="0"/>
          <w:color w:val="4472C4" w:themeColor="accent1"/>
          <w:sz w:val="20"/>
          <w:lang w:eastAsia="zh-CN"/>
        </w:rPr>
        <w:t>SCell</w:t>
      </w:r>
      <w:proofErr w:type="spellEnd"/>
      <w:r w:rsidRPr="00F7737C">
        <w:rPr>
          <w:rFonts w:eastAsia="SimSun"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Heading3"/>
      </w:pPr>
      <w:r>
        <w:t>3.</w:t>
      </w:r>
      <w:r>
        <w:t>3</w:t>
      </w:r>
      <w:r>
        <w:t>.1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77777777" w:rsidR="00F7737C" w:rsidRDefault="00F7737C" w:rsidP="006736BC">
            <w:pPr>
              <w:overflowPunct/>
              <w:autoSpaceDE/>
              <w:autoSpaceDN/>
              <w:adjustRightInd/>
              <w:spacing w:after="0"/>
              <w:textAlignment w:val="auto"/>
              <w:rPr>
                <w:rFonts w:ascii="Arial" w:hAnsi="Arial" w:cs="Arial"/>
                <w:sz w:val="16"/>
                <w:szCs w:val="16"/>
              </w:rPr>
            </w:pPr>
          </w:p>
        </w:tc>
        <w:tc>
          <w:tcPr>
            <w:tcW w:w="7938" w:type="dxa"/>
            <w:shd w:val="clear" w:color="auto" w:fill="auto"/>
          </w:tcPr>
          <w:p w14:paraId="4FD21DB7" w14:textId="77777777" w:rsidR="00F7737C" w:rsidRDefault="00F7737C" w:rsidP="006736BC">
            <w:pPr>
              <w:overflowPunct/>
              <w:autoSpaceDE/>
              <w:autoSpaceDN/>
              <w:adjustRightInd/>
              <w:spacing w:after="0"/>
              <w:textAlignment w:val="auto"/>
              <w:rPr>
                <w:rFonts w:ascii="Arial" w:hAnsi="Arial" w:cs="Arial"/>
                <w:sz w:val="16"/>
                <w:szCs w:val="16"/>
              </w:rPr>
            </w:pPr>
          </w:p>
        </w:tc>
      </w:tr>
      <w:tr w:rsidR="00F7737C" w:rsidRPr="00BA6870" w14:paraId="184CB224" w14:textId="77777777" w:rsidTr="006736BC">
        <w:trPr>
          <w:trHeight w:val="182"/>
        </w:trPr>
        <w:tc>
          <w:tcPr>
            <w:tcW w:w="1975" w:type="dxa"/>
            <w:shd w:val="clear" w:color="auto" w:fill="auto"/>
          </w:tcPr>
          <w:p w14:paraId="620D281F"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22ACEA56"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bl>
    <w:p w14:paraId="12F8CCE6" w14:textId="3BCBCDA2" w:rsidR="002926CF" w:rsidRDefault="002926CF" w:rsidP="00622410"/>
    <w:p w14:paraId="57704515" w14:textId="49BCAE95" w:rsidR="00AC164A" w:rsidRDefault="00AC164A" w:rsidP="00AC164A">
      <w:pPr>
        <w:pStyle w:val="Heading2"/>
      </w:pPr>
      <w:r>
        <w:t>3.</w:t>
      </w:r>
      <w:r>
        <w:t>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w:t>
      </w:r>
      <w:r>
        <w:t>4</w:t>
      </w:r>
      <w:r>
        <w:t>.1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AC164A" w:rsidRPr="00BA6870" w14:paraId="46E0DEEB" w14:textId="77777777" w:rsidTr="006736BC">
        <w:trPr>
          <w:trHeight w:val="182"/>
        </w:trPr>
        <w:tc>
          <w:tcPr>
            <w:tcW w:w="1975" w:type="dxa"/>
            <w:shd w:val="clear" w:color="auto" w:fill="auto"/>
          </w:tcPr>
          <w:p w14:paraId="41674C75" w14:textId="77777777" w:rsidR="00AC164A" w:rsidRDefault="00AC164A" w:rsidP="006736BC">
            <w:pPr>
              <w:overflowPunct/>
              <w:autoSpaceDE/>
              <w:autoSpaceDN/>
              <w:adjustRightInd/>
              <w:spacing w:after="0"/>
              <w:textAlignment w:val="auto"/>
              <w:rPr>
                <w:rFonts w:ascii="Arial" w:hAnsi="Arial" w:cs="Arial"/>
                <w:sz w:val="16"/>
                <w:szCs w:val="16"/>
              </w:rPr>
            </w:pPr>
          </w:p>
        </w:tc>
        <w:tc>
          <w:tcPr>
            <w:tcW w:w="7938" w:type="dxa"/>
            <w:shd w:val="clear" w:color="auto" w:fill="auto"/>
          </w:tcPr>
          <w:p w14:paraId="32ECF0DB" w14:textId="77777777" w:rsidR="00AC164A" w:rsidRDefault="00AC164A" w:rsidP="006736BC">
            <w:pPr>
              <w:overflowPunct/>
              <w:autoSpaceDE/>
              <w:autoSpaceDN/>
              <w:adjustRightInd/>
              <w:spacing w:after="0"/>
              <w:textAlignment w:val="auto"/>
              <w:rPr>
                <w:rFonts w:ascii="Arial" w:hAnsi="Arial" w:cs="Arial"/>
                <w:sz w:val="16"/>
                <w:szCs w:val="16"/>
              </w:rPr>
            </w:pPr>
          </w:p>
        </w:tc>
      </w:tr>
      <w:tr w:rsidR="00AC164A" w:rsidRPr="00BA6870" w14:paraId="1C0DEE20" w14:textId="77777777" w:rsidTr="006736BC">
        <w:trPr>
          <w:trHeight w:val="182"/>
        </w:trPr>
        <w:tc>
          <w:tcPr>
            <w:tcW w:w="1975" w:type="dxa"/>
            <w:shd w:val="clear" w:color="auto" w:fill="auto"/>
          </w:tcPr>
          <w:p w14:paraId="3BD4C3A6"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C628ED2"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r>
      <w:tr w:rsidR="00AC164A" w:rsidRPr="00BA6870" w14:paraId="151F065C" w14:textId="77777777" w:rsidTr="006736BC">
        <w:trPr>
          <w:trHeight w:val="182"/>
        </w:trPr>
        <w:tc>
          <w:tcPr>
            <w:tcW w:w="1975" w:type="dxa"/>
            <w:shd w:val="clear" w:color="auto" w:fill="auto"/>
          </w:tcPr>
          <w:p w14:paraId="5D750163"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CC322E8"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r>
    </w:tbl>
    <w:p w14:paraId="149C9E44" w14:textId="6AC38D10" w:rsidR="00AC164A" w:rsidRDefault="00AC164A" w:rsidP="00622410"/>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CFC07" w14:textId="77777777" w:rsidR="0056571D" w:rsidRDefault="0056571D">
      <w:r>
        <w:separator/>
      </w:r>
    </w:p>
  </w:endnote>
  <w:endnote w:type="continuationSeparator" w:id="0">
    <w:p w14:paraId="3EFC953B" w14:textId="77777777" w:rsidR="0056571D" w:rsidRDefault="005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92F9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2F9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73270" w14:textId="77777777" w:rsidR="0056571D" w:rsidRDefault="0056571D">
      <w:r>
        <w:separator/>
      </w:r>
    </w:p>
  </w:footnote>
  <w:footnote w:type="continuationSeparator" w:id="0">
    <w:p w14:paraId="796BB596" w14:textId="77777777" w:rsidR="0056571D" w:rsidRDefault="0056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2"/>
  </w:num>
  <w:num w:numId="7">
    <w:abstractNumId w:val="6"/>
  </w:num>
  <w:num w:numId="8">
    <w:abstractNumId w:val="9"/>
  </w:num>
  <w:num w:numId="9">
    <w:abstractNumId w:val="2"/>
  </w:num>
  <w:num w:numId="10">
    <w:abstractNumId w:val="30"/>
  </w:num>
  <w:num w:numId="11">
    <w:abstractNumId w:val="12"/>
  </w:num>
  <w:num w:numId="12">
    <w:abstractNumId w:val="29"/>
  </w:num>
  <w:num w:numId="13">
    <w:abstractNumId w:val="13"/>
    <w:lvlOverride w:ilvl="0">
      <w:startOverride w:val="1"/>
    </w:lvlOverride>
  </w:num>
  <w:num w:numId="14">
    <w:abstractNumId w:val="27"/>
  </w:num>
  <w:num w:numId="15">
    <w:abstractNumId w:val="28"/>
  </w:num>
  <w:num w:numId="16">
    <w:abstractNumId w:val="3"/>
  </w:num>
  <w:num w:numId="17">
    <w:abstractNumId w:val="32"/>
  </w:num>
  <w:num w:numId="18">
    <w:abstractNumId w:val="11"/>
  </w:num>
  <w:num w:numId="19">
    <w:abstractNumId w:val="17"/>
  </w:num>
  <w:num w:numId="20">
    <w:abstractNumId w:val="4"/>
  </w:num>
  <w:num w:numId="21">
    <w:abstractNumId w:val="24"/>
  </w:num>
  <w:num w:numId="22">
    <w:abstractNumId w:val="26"/>
  </w:num>
  <w:num w:numId="23">
    <w:abstractNumId w:val="23"/>
  </w:num>
  <w:num w:numId="24">
    <w:abstractNumId w:val="33"/>
  </w:num>
  <w:num w:numId="25">
    <w:abstractNumId w:val="10"/>
  </w:num>
  <w:num w:numId="26">
    <w:abstractNumId w:val="21"/>
  </w:num>
  <w:num w:numId="27">
    <w:abstractNumId w:val="15"/>
  </w:num>
  <w:num w:numId="28">
    <w:abstractNumId w:val="7"/>
  </w:num>
  <w:num w:numId="29">
    <w:abstractNumId w:val="8"/>
  </w:num>
  <w:num w:numId="30">
    <w:abstractNumId w:val="31"/>
  </w:num>
  <w:num w:numId="31">
    <w:abstractNumId w:val="25"/>
  </w:num>
  <w:num w:numId="32">
    <w:abstractNumId w:val="16"/>
  </w:num>
  <w:num w:numId="33">
    <w:abstractNumId w:val="1"/>
  </w:num>
  <w:num w:numId="34">
    <w:abstractNumId w:val="1"/>
  </w:num>
  <w:num w:numId="35">
    <w:abstractNumId w:val="34"/>
  </w:num>
  <w:num w:numId="36">
    <w:abstractNumId w:val="5"/>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DB8"/>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0FEA6-47CC-457E-8901-F1E5DE1FF633}">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726</TotalTime>
  <Pages>4</Pages>
  <Words>1597</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10679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Karri</cp:lastModifiedBy>
  <cp:revision>16</cp:revision>
  <cp:lastPrinted>2008-01-31T07:09:00Z</cp:lastPrinted>
  <dcterms:created xsi:type="dcterms:W3CDTF">2021-05-13T17:00:00Z</dcterms:created>
  <dcterms:modified xsi:type="dcterms:W3CDTF">2021-10-12T12:24:00Z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