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14:paraId="2ADBF609" w14:textId="5C11B4D8" w:rsidR="00B52A57" w:rsidRPr="000E67CD" w:rsidRDefault="00B52A57" w:rsidP="008029B6">
      <w:pPr>
        <w:tabs>
          <w:tab w:val="right" w:pos="9216"/>
        </w:tabs>
        <w:spacing w:after="0"/>
        <w:rPr>
          <w:b/>
          <w:kern w:val="2"/>
          <w:lang w:eastAsia="zh-CN"/>
        </w:rPr>
      </w:pPr>
      <w:r w:rsidRPr="000E67CD">
        <w:rPr>
          <w:b/>
          <w:noProof/>
          <w:kern w:val="2"/>
        </w:rPr>
        <mc:AlternateContent>
          <mc:Choice Requires="wps">
            <w:drawing>
              <wp:anchor distT="0" distB="0" distL="114300" distR="114300" simplePos="0" relativeHeight="251659264" behindDoc="0" locked="1" layoutInCell="1" allowOverlap="1" wp14:anchorId="11476EFF" wp14:editId="7C79DB04">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FB8DF26"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0E67CD">
        <w:rPr>
          <w:b/>
          <w:kern w:val="2"/>
          <w:lang w:eastAsia="zh-CN"/>
        </w:rPr>
        <w:t>3GPP TSG RAN WG1 Meeting #</w:t>
      </w:r>
      <w:r w:rsidR="008029B6" w:rsidRPr="000177D5">
        <w:rPr>
          <w:b/>
          <w:kern w:val="2"/>
          <w:lang w:eastAsia="zh-CN"/>
        </w:rPr>
        <w:t>106bis</w:t>
      </w:r>
      <w:r w:rsidR="008029B6">
        <w:rPr>
          <w:b/>
          <w:kern w:val="2"/>
          <w:lang w:eastAsia="zh-CN"/>
        </w:rPr>
        <w:t xml:space="preserve"> </w:t>
      </w:r>
      <w:r>
        <w:rPr>
          <w:b/>
          <w:kern w:val="2"/>
          <w:lang w:eastAsia="zh-CN"/>
        </w:rPr>
        <w:t>-e</w:t>
      </w:r>
      <w:r w:rsidRPr="000E67CD">
        <w:rPr>
          <w:b/>
          <w:kern w:val="2"/>
          <w:lang w:eastAsia="zh-CN"/>
        </w:rPr>
        <w:tab/>
      </w:r>
      <w:r w:rsidR="00ED12D2">
        <w:rPr>
          <w:b/>
          <w:kern w:val="2"/>
          <w:lang w:eastAsia="zh-CN"/>
        </w:rPr>
        <w:t>R</w:t>
      </w:r>
      <w:r w:rsidR="008029B6" w:rsidRPr="008029B6">
        <w:rPr>
          <w:b/>
          <w:kern w:val="2"/>
          <w:lang w:eastAsia="zh-CN"/>
        </w:rPr>
        <w:t>1-2109864</w:t>
      </w:r>
    </w:p>
    <w:p w14:paraId="537A7FCD" w14:textId="21B8D640" w:rsidR="00B52A57" w:rsidRPr="000E67CD" w:rsidRDefault="00ED12D2" w:rsidP="008029B6">
      <w:pPr>
        <w:tabs>
          <w:tab w:val="right" w:pos="9216"/>
        </w:tabs>
        <w:spacing w:after="0"/>
        <w:rPr>
          <w:b/>
          <w:kern w:val="2"/>
          <w:lang w:eastAsia="zh-CN"/>
        </w:rPr>
      </w:pPr>
      <w:r>
        <w:rPr>
          <w:b/>
          <w:kern w:val="2"/>
          <w:lang w:eastAsia="zh-CN"/>
        </w:rPr>
        <w:t>e-</w:t>
      </w:r>
      <w:r w:rsidR="008029B6" w:rsidRPr="008029B6">
        <w:rPr>
          <w:b/>
          <w:kern w:val="2"/>
          <w:lang w:eastAsia="zh-CN"/>
        </w:rPr>
        <w:t xml:space="preserve"> </w:t>
      </w:r>
      <w:r w:rsidR="008029B6" w:rsidRPr="00F87195">
        <w:rPr>
          <w:b/>
          <w:kern w:val="2"/>
          <w:lang w:eastAsia="zh-CN"/>
        </w:rPr>
        <w:t>Meeting, October 11th – 19th, 2021</w:t>
      </w:r>
    </w:p>
    <w:p w14:paraId="1D85AEB8" w14:textId="77777777" w:rsidR="00B52A57" w:rsidRPr="00CF195E" w:rsidRDefault="00B52A57" w:rsidP="00B52A57">
      <w:pPr>
        <w:pBdr>
          <w:top w:val="single" w:sz="4" w:space="1" w:color="auto"/>
        </w:pBdr>
        <w:spacing w:after="0"/>
        <w:jc w:val="left"/>
        <w:rPr>
          <w:b/>
          <w:kern w:val="2"/>
          <w:sz w:val="16"/>
          <w:szCs w:val="16"/>
          <w:lang w:eastAsia="zh-CN"/>
        </w:rPr>
      </w:pPr>
    </w:p>
    <w:p w14:paraId="2C8C9B1E" w14:textId="77777777" w:rsidR="00B52A57" w:rsidRPr="00EF6E3B" w:rsidRDefault="00B52A57" w:rsidP="00B52A57">
      <w:pPr>
        <w:spacing w:after="60"/>
        <w:ind w:left="1555" w:hanging="1555"/>
        <w:jc w:val="left"/>
        <w:rPr>
          <w:b/>
          <w:kern w:val="2"/>
          <w:lang w:eastAsia="zh-CN"/>
        </w:rPr>
      </w:pPr>
      <w:r w:rsidRPr="00EF6E3B">
        <w:rPr>
          <w:b/>
          <w:kern w:val="2"/>
          <w:lang w:eastAsia="zh-CN"/>
        </w:rPr>
        <w:t>Agenda Item:</w:t>
      </w:r>
      <w:r>
        <w:rPr>
          <w:b/>
          <w:kern w:val="2"/>
          <w:lang w:eastAsia="zh-CN"/>
        </w:rPr>
        <w:tab/>
        <w:t>8.5.3</w:t>
      </w:r>
      <w:r w:rsidRPr="00EF6E3B">
        <w:rPr>
          <w:b/>
          <w:kern w:val="2"/>
          <w:lang w:eastAsia="zh-CN"/>
        </w:rPr>
        <w:tab/>
      </w:r>
    </w:p>
    <w:p w14:paraId="2927924F" w14:textId="77777777" w:rsidR="00B52A57" w:rsidRPr="00EF6E3B" w:rsidRDefault="00B52A57" w:rsidP="00B52A57">
      <w:pPr>
        <w:spacing w:after="60"/>
        <w:ind w:left="1555" w:hanging="1555"/>
        <w:jc w:val="left"/>
        <w:rPr>
          <w:b/>
          <w:kern w:val="2"/>
          <w:lang w:eastAsia="zh-CN"/>
        </w:rPr>
      </w:pPr>
      <w:r w:rsidRPr="00EF6E3B">
        <w:rPr>
          <w:b/>
          <w:kern w:val="2"/>
          <w:lang w:eastAsia="zh-CN"/>
        </w:rPr>
        <w:t>Source:</w:t>
      </w:r>
      <w:r w:rsidRPr="00EF6E3B">
        <w:rPr>
          <w:b/>
          <w:kern w:val="2"/>
          <w:lang w:eastAsia="zh-CN"/>
        </w:rPr>
        <w:tab/>
        <w:t>Fraunhofer IIS, Fraunhofer HHI</w:t>
      </w:r>
    </w:p>
    <w:p w14:paraId="6E24B451" w14:textId="77777777" w:rsidR="00B52A57" w:rsidRPr="00CF195E" w:rsidRDefault="00B52A57" w:rsidP="00B52A57">
      <w:pPr>
        <w:spacing w:after="60"/>
        <w:ind w:left="1555" w:hanging="1555"/>
        <w:jc w:val="left"/>
        <w:rPr>
          <w:b/>
          <w:kern w:val="2"/>
          <w:lang w:eastAsia="zh-CN"/>
        </w:rPr>
      </w:pPr>
      <w:r w:rsidRPr="00CF195E">
        <w:rPr>
          <w:b/>
          <w:kern w:val="2"/>
          <w:lang w:eastAsia="zh-CN"/>
        </w:rPr>
        <w:t>Title:</w:t>
      </w:r>
      <w:r w:rsidRPr="00CF195E">
        <w:rPr>
          <w:b/>
          <w:kern w:val="2"/>
          <w:lang w:eastAsia="zh-CN"/>
        </w:rPr>
        <w:tab/>
      </w:r>
      <w:r>
        <w:rPr>
          <w:b/>
          <w:bCs/>
          <w:lang w:eastAsia="zh-CN"/>
        </w:rPr>
        <w:t>DL-AoD</w:t>
      </w:r>
      <w:r w:rsidRPr="00411172">
        <w:rPr>
          <w:b/>
          <w:bCs/>
          <w:lang w:eastAsia="zh-CN"/>
        </w:rPr>
        <w:t xml:space="preserve"> positioning enhancements</w:t>
      </w:r>
    </w:p>
    <w:p w14:paraId="11267C8B" w14:textId="77777777" w:rsidR="00B52A57" w:rsidRPr="00CF195E" w:rsidRDefault="00B52A57" w:rsidP="00B52A57">
      <w:pPr>
        <w:spacing w:after="60"/>
        <w:ind w:left="1555" w:hanging="1555"/>
        <w:jc w:val="left"/>
        <w:rPr>
          <w:b/>
          <w:kern w:val="2"/>
          <w:lang w:eastAsia="zh-CN"/>
        </w:rPr>
      </w:pPr>
      <w:r w:rsidRPr="00CF195E">
        <w:rPr>
          <w:b/>
          <w:kern w:val="2"/>
          <w:lang w:eastAsia="zh-CN"/>
        </w:rPr>
        <w:t>Document for:</w:t>
      </w:r>
      <w:r w:rsidRPr="00CF195E">
        <w:rPr>
          <w:b/>
          <w:kern w:val="2"/>
          <w:lang w:eastAsia="zh-CN"/>
        </w:rPr>
        <w:tab/>
      </w:r>
      <w:r>
        <w:rPr>
          <w:b/>
          <w:kern w:val="2"/>
          <w:lang w:eastAsia="zh-CN"/>
        </w:rPr>
        <w:t>Discussion &amp; Decision</w:t>
      </w:r>
    </w:p>
    <w:p w14:paraId="0C849061" w14:textId="77777777" w:rsidR="00B52A57" w:rsidRPr="00CF195E" w:rsidRDefault="00B52A57" w:rsidP="00B52A57">
      <w:pPr>
        <w:pBdr>
          <w:bottom w:val="single" w:sz="4" w:space="1" w:color="auto"/>
        </w:pBdr>
        <w:spacing w:after="0"/>
        <w:jc w:val="left"/>
        <w:rPr>
          <w:b/>
          <w:kern w:val="2"/>
          <w:sz w:val="16"/>
          <w:szCs w:val="16"/>
          <w:lang w:eastAsia="zh-CN"/>
        </w:rPr>
      </w:pPr>
    </w:p>
    <w:p w14:paraId="54A38F56" w14:textId="77777777" w:rsidR="00A54F95" w:rsidRPr="00A54F95" w:rsidRDefault="00A54F95" w:rsidP="009B52C9">
      <w:bookmarkStart w:id="1" w:name="_Ref37187857"/>
      <w:bookmarkStart w:id="2" w:name="_Ref129681862"/>
      <w:bookmarkStart w:id="3" w:name="_Ref124589705"/>
    </w:p>
    <w:p w14:paraId="21BEB5A1" w14:textId="77777777" w:rsidR="00212600" w:rsidRPr="00212600" w:rsidRDefault="00B52A57" w:rsidP="00212600">
      <w:pPr>
        <w:pStyle w:val="berschrift1"/>
        <w:ind w:left="450"/>
      </w:pPr>
      <w:r>
        <w:t>Introduction</w:t>
      </w:r>
      <w:bookmarkEnd w:id="1"/>
      <w:r>
        <w:t xml:space="preserve"> </w:t>
      </w:r>
    </w:p>
    <w:p w14:paraId="2C4A9DBB" w14:textId="77777777" w:rsidR="00B52A57" w:rsidRDefault="00B52A57" w:rsidP="00B52A57">
      <w:r>
        <w:t xml:space="preserve">In this </w:t>
      </w:r>
      <w:r w:rsidR="00C44D03">
        <w:t>contribution,</w:t>
      </w:r>
      <w:r>
        <w:t xml:space="preserve"> we discuss </w:t>
      </w:r>
      <w:r w:rsidR="00C44D03">
        <w:t>the following points</w:t>
      </w:r>
      <w:r>
        <w:t>:</w:t>
      </w:r>
    </w:p>
    <w:p w14:paraId="4591EA45" w14:textId="77777777" w:rsidR="00B52A57" w:rsidRDefault="00B52A57" w:rsidP="00B52A57">
      <w:pPr>
        <w:pStyle w:val="Listenabsatz"/>
        <w:numPr>
          <w:ilvl w:val="0"/>
          <w:numId w:val="7"/>
        </w:numPr>
        <w:ind w:firstLineChars="0"/>
      </w:pPr>
      <w:r w:rsidRPr="00AF410F">
        <w:t>UE measurements and reports</w:t>
      </w:r>
    </w:p>
    <w:p w14:paraId="09D54305" w14:textId="77777777" w:rsidR="00B52A57" w:rsidRDefault="00B52A57" w:rsidP="00B52A57">
      <w:pPr>
        <w:pStyle w:val="Listenabsatz"/>
        <w:numPr>
          <w:ilvl w:val="0"/>
          <w:numId w:val="7"/>
        </w:numPr>
        <w:ind w:firstLineChars="0"/>
      </w:pPr>
      <w:r w:rsidRPr="00AF410F">
        <w:t>TRP radiation pattern information</w:t>
      </w:r>
      <w:r>
        <w:t xml:space="preserve"> related </w:t>
      </w:r>
      <w:r w:rsidRPr="00AF410F">
        <w:t>gNB to LMF signaling enhancements</w:t>
      </w:r>
    </w:p>
    <w:p w14:paraId="5578C426" w14:textId="77777777" w:rsidR="00CF5368" w:rsidRPr="00EF09B7" w:rsidRDefault="00CF5368" w:rsidP="00CF5368"/>
    <w:p w14:paraId="1509BB87" w14:textId="77777777" w:rsidR="00212600" w:rsidRPr="00212600" w:rsidRDefault="00B52A57" w:rsidP="00212600">
      <w:pPr>
        <w:pStyle w:val="berschrift1"/>
        <w:ind w:left="450"/>
      </w:pPr>
      <w:bookmarkStart w:id="4" w:name="_Ref79060436"/>
      <w:r>
        <w:t>Signaling Enhancements</w:t>
      </w:r>
      <w:bookmarkEnd w:id="4"/>
    </w:p>
    <w:p w14:paraId="377217C6" w14:textId="4F624807" w:rsidR="000D2882" w:rsidRDefault="000D2882" w:rsidP="00F44D63">
      <w:pPr>
        <w:autoSpaceDE/>
        <w:autoSpaceDN/>
        <w:adjustRightInd/>
        <w:snapToGrid/>
        <w:spacing w:after="0"/>
        <w:rPr>
          <w:lang w:eastAsia="de-DE"/>
        </w:rPr>
      </w:pPr>
      <w:r>
        <w:rPr>
          <w:lang w:eastAsia="de-DE"/>
        </w:rPr>
        <w:t xml:space="preserve">Many configuration scenarios can be considered for DL-AoD based positioning. In general, there is a trade-off between beamwidth, number of beams, update rate/required resources and target accuracy. Combinations of wider beams with narrow beams may be considered. The radiation pattern of a beam may have notches and sidelobes. This may cause ambiguity for DL-AoD reporting. </w:t>
      </w:r>
    </w:p>
    <w:p w14:paraId="28A73797" w14:textId="77777777" w:rsidR="00F44D63" w:rsidRDefault="00F44D63" w:rsidP="008029B6">
      <w:pPr>
        <w:pStyle w:val="Listenabsatz"/>
        <w:autoSpaceDE/>
        <w:autoSpaceDN/>
        <w:adjustRightInd/>
        <w:snapToGrid/>
        <w:spacing w:after="0"/>
        <w:ind w:left="887" w:firstLineChars="0" w:firstLine="0"/>
        <w:rPr>
          <w:lang w:eastAsia="de-DE"/>
        </w:rPr>
      </w:pPr>
    </w:p>
    <w:p w14:paraId="28FA0197" w14:textId="1B85CFFA" w:rsidR="00F44D63" w:rsidRDefault="0078282A" w:rsidP="00B40990">
      <w:pPr>
        <w:autoSpaceDE/>
        <w:autoSpaceDN/>
        <w:adjustRightInd/>
        <w:snapToGrid/>
        <w:spacing w:after="0"/>
        <w:rPr>
          <w:lang w:eastAsia="de-DE"/>
        </w:rPr>
      </w:pPr>
      <w:r>
        <w:rPr>
          <w:lang w:eastAsia="de-DE"/>
        </w:rPr>
        <w:t>In RAN1#106-e</w:t>
      </w:r>
      <w:r w:rsidRPr="002A70DE">
        <w:rPr>
          <w:lang w:eastAsia="de-DE"/>
        </w:rPr>
        <w:t>, s</w:t>
      </w:r>
      <w:r w:rsidR="000556F7" w:rsidRPr="002A70DE">
        <w:rPr>
          <w:lang w:eastAsia="de-DE"/>
        </w:rPr>
        <w:t>ome companies propose</w:t>
      </w:r>
      <w:r w:rsidRPr="002A70DE">
        <w:rPr>
          <w:lang w:eastAsia="de-DE"/>
        </w:rPr>
        <w:t>d</w:t>
      </w:r>
      <w:r w:rsidR="000556F7" w:rsidRPr="002A70DE">
        <w:rPr>
          <w:lang w:eastAsia="de-DE"/>
        </w:rPr>
        <w:t xml:space="preserve"> to support the LMF to report boresight beam information </w:t>
      </w:r>
      <w:r w:rsidR="00090D6C" w:rsidRPr="002A70DE">
        <w:rPr>
          <w:lang w:eastAsia="de-DE"/>
        </w:rPr>
        <w:t xml:space="preserve">for each PRS </w:t>
      </w:r>
      <w:r w:rsidR="000556F7" w:rsidRPr="002A70DE">
        <w:rPr>
          <w:lang w:eastAsia="de-DE"/>
        </w:rPr>
        <w:t>resource for UE-A</w:t>
      </w:r>
      <w:r w:rsidR="009B3444">
        <w:rPr>
          <w:lang w:eastAsia="de-DE"/>
        </w:rPr>
        <w:t xml:space="preserve"> AoD</w:t>
      </w:r>
      <w:r w:rsidR="000556F7" w:rsidRPr="002A70DE">
        <w:rPr>
          <w:lang w:eastAsia="de-DE"/>
        </w:rPr>
        <w:t xml:space="preserve"> similar to UE-B </w:t>
      </w:r>
      <w:r w:rsidR="009B3444">
        <w:rPr>
          <w:lang w:eastAsia="de-DE"/>
        </w:rPr>
        <w:t>AoD procedure</w:t>
      </w:r>
      <w:r w:rsidR="000556F7" w:rsidRPr="002A70DE">
        <w:rPr>
          <w:lang w:eastAsia="de-DE"/>
        </w:rPr>
        <w:t xml:space="preserve">. </w:t>
      </w:r>
      <w:r w:rsidRPr="002A70DE">
        <w:rPr>
          <w:lang w:eastAsia="de-DE"/>
        </w:rPr>
        <w:t>Moreover</w:t>
      </w:r>
      <w:r w:rsidR="000556F7" w:rsidRPr="002A70DE">
        <w:rPr>
          <w:lang w:eastAsia="de-DE"/>
        </w:rPr>
        <w:t xml:space="preserve">, most </w:t>
      </w:r>
      <w:r w:rsidRPr="002A70DE">
        <w:rPr>
          <w:lang w:eastAsia="de-DE"/>
        </w:rPr>
        <w:t xml:space="preserve">of these </w:t>
      </w:r>
      <w:r w:rsidR="000556F7" w:rsidRPr="002A70DE">
        <w:rPr>
          <w:lang w:eastAsia="de-DE"/>
        </w:rPr>
        <w:t xml:space="preserve">companies proposed boresight beam information reporting </w:t>
      </w:r>
      <w:r w:rsidR="00A45CE0" w:rsidRPr="002A70DE">
        <w:rPr>
          <w:lang w:eastAsia="de-DE"/>
        </w:rPr>
        <w:t>in combination with</w:t>
      </w:r>
      <w:r w:rsidR="009B52C9" w:rsidRPr="002A70DE">
        <w:rPr>
          <w:lang w:eastAsia="de-DE"/>
        </w:rPr>
        <w:t xml:space="preserve"> Expected</w:t>
      </w:r>
      <w:r w:rsidR="00A45CE0" w:rsidRPr="002A70DE">
        <w:rPr>
          <w:lang w:eastAsia="de-DE"/>
        </w:rPr>
        <w:t xml:space="preserve">AoD </w:t>
      </w:r>
      <w:r w:rsidR="009B52C9" w:rsidRPr="002A70DE">
        <w:rPr>
          <w:lang w:eastAsia="de-DE"/>
        </w:rPr>
        <w:t xml:space="preserve">plus </w:t>
      </w:r>
      <w:r w:rsidR="00A45CE0" w:rsidRPr="002A70DE">
        <w:rPr>
          <w:lang w:eastAsia="de-DE"/>
        </w:rPr>
        <w:t xml:space="preserve">uncertainty. </w:t>
      </w:r>
      <w:r w:rsidR="00B40990">
        <w:rPr>
          <w:lang w:eastAsia="de-DE"/>
        </w:rPr>
        <w:t xml:space="preserve">With </w:t>
      </w:r>
      <w:r w:rsidR="00B40990" w:rsidRPr="002A70DE">
        <w:rPr>
          <w:lang w:eastAsia="de-DE"/>
        </w:rPr>
        <w:t xml:space="preserve">ExpectedAoD </w:t>
      </w:r>
      <w:r w:rsidR="00B40990">
        <w:rPr>
          <w:lang w:eastAsia="de-DE"/>
        </w:rPr>
        <w:t>the</w:t>
      </w:r>
      <w:r w:rsidR="00F44D63">
        <w:rPr>
          <w:lang w:eastAsia="de-DE"/>
        </w:rPr>
        <w:t xml:space="preserve"> LMF has a position estimate and derive the ExpectedAoD from this position information</w:t>
      </w:r>
      <w:r w:rsidR="00B40990">
        <w:rPr>
          <w:lang w:eastAsia="de-DE"/>
        </w:rPr>
        <w:t xml:space="preserve"> or the</w:t>
      </w:r>
      <w:r w:rsidR="00F44D63">
        <w:rPr>
          <w:lang w:eastAsia="de-DE"/>
        </w:rPr>
        <w:t xml:space="preserve"> ExpectedAoD range is derived from a first beam sweep (e.g., using wider beams) and related to this first estimate the UE or the LMF may select other beams for measurements.   </w:t>
      </w:r>
    </w:p>
    <w:p w14:paraId="36DE73FA" w14:textId="77777777" w:rsidR="00F44D63" w:rsidRDefault="00F44D63" w:rsidP="002A70DE">
      <w:pPr>
        <w:autoSpaceDE/>
        <w:autoSpaceDN/>
        <w:adjustRightInd/>
        <w:snapToGrid/>
        <w:spacing w:after="0"/>
        <w:rPr>
          <w:lang w:eastAsia="de-DE"/>
        </w:rPr>
      </w:pPr>
    </w:p>
    <w:p w14:paraId="316BD5BA" w14:textId="1D09B78B" w:rsidR="0016385F" w:rsidRDefault="00F44D63" w:rsidP="002A70DE">
      <w:pPr>
        <w:autoSpaceDE/>
        <w:autoSpaceDN/>
        <w:adjustRightInd/>
        <w:snapToGrid/>
        <w:spacing w:after="0"/>
        <w:rPr>
          <w:lang w:eastAsia="de-DE"/>
        </w:rPr>
      </w:pPr>
      <w:r>
        <w:rPr>
          <w:lang w:eastAsia="de-DE"/>
        </w:rPr>
        <w:t xml:space="preserve">Taking into account notches in the radiation pattern, sidelobes of the beam, limited overlap between adjacent beams may cause ambiguities for the selection of the beams or useful measurements are ignored. </w:t>
      </w:r>
      <w:r w:rsidR="000556F7" w:rsidRPr="002A70DE">
        <w:rPr>
          <w:lang w:eastAsia="de-DE"/>
        </w:rPr>
        <w:t xml:space="preserve">One </w:t>
      </w:r>
      <w:r w:rsidR="00E5143C" w:rsidRPr="002A70DE">
        <w:rPr>
          <w:lang w:eastAsia="de-DE"/>
        </w:rPr>
        <w:t>case</w:t>
      </w:r>
      <w:r w:rsidR="000556F7" w:rsidRPr="002A70DE">
        <w:rPr>
          <w:lang w:eastAsia="de-DE"/>
        </w:rPr>
        <w:t xml:space="preserve"> </w:t>
      </w:r>
      <w:r w:rsidR="0078282A" w:rsidRPr="002A70DE">
        <w:rPr>
          <w:lang w:eastAsia="de-DE"/>
        </w:rPr>
        <w:t>in which</w:t>
      </w:r>
      <w:r w:rsidR="000556F7" w:rsidRPr="002A70DE">
        <w:rPr>
          <w:lang w:eastAsia="de-DE"/>
        </w:rPr>
        <w:t xml:space="preserve"> the</w:t>
      </w:r>
      <w:r w:rsidR="009B3444">
        <w:rPr>
          <w:lang w:eastAsia="de-DE"/>
        </w:rPr>
        <w:t xml:space="preserve"> procedure of reporting</w:t>
      </w:r>
      <w:r w:rsidR="000556F7" w:rsidRPr="002A70DE">
        <w:rPr>
          <w:lang w:eastAsia="de-DE"/>
        </w:rPr>
        <w:t xml:space="preserve"> adjacent beams </w:t>
      </w:r>
      <w:r w:rsidR="0078282A" w:rsidRPr="002A70DE">
        <w:rPr>
          <w:lang w:eastAsia="de-DE"/>
        </w:rPr>
        <w:t>that</w:t>
      </w:r>
      <w:r w:rsidR="000556F7" w:rsidRPr="002A70DE">
        <w:rPr>
          <w:lang w:eastAsia="de-DE"/>
        </w:rPr>
        <w:t xml:space="preserve"> are</w:t>
      </w:r>
      <w:r w:rsidR="008029B6">
        <w:rPr>
          <w:lang w:eastAsia="de-DE"/>
        </w:rPr>
        <w:t xml:space="preserve"> </w:t>
      </w:r>
      <w:r w:rsidR="000556F7" w:rsidRPr="002A70DE">
        <w:rPr>
          <w:lang w:eastAsia="de-DE"/>
        </w:rPr>
        <w:t xml:space="preserve">indicated by boresight beam information may fail is </w:t>
      </w:r>
      <w:r w:rsidR="00231EC7" w:rsidRPr="002A70DE">
        <w:rPr>
          <w:lang w:eastAsia="de-DE"/>
        </w:rPr>
        <w:t xml:space="preserve">depicted in </w:t>
      </w:r>
      <w:r w:rsidR="00231EC7" w:rsidRPr="002A70DE">
        <w:rPr>
          <w:lang w:eastAsia="de-DE"/>
        </w:rPr>
        <w:fldChar w:fldCharType="begin"/>
      </w:r>
      <w:r w:rsidR="00231EC7" w:rsidRPr="002A70DE">
        <w:rPr>
          <w:lang w:eastAsia="de-DE"/>
        </w:rPr>
        <w:instrText xml:space="preserve"> REF _Ref82779794 \h </w:instrText>
      </w:r>
      <w:r w:rsidR="002A70DE" w:rsidRPr="002A70DE">
        <w:rPr>
          <w:lang w:eastAsia="de-DE"/>
        </w:rPr>
        <w:instrText xml:space="preserve"> \* MERGEFORMAT </w:instrText>
      </w:r>
      <w:r w:rsidR="00231EC7" w:rsidRPr="002A70DE">
        <w:rPr>
          <w:lang w:eastAsia="de-DE"/>
        </w:rPr>
      </w:r>
      <w:r w:rsidR="00231EC7" w:rsidRPr="002A70DE">
        <w:rPr>
          <w:lang w:eastAsia="de-DE"/>
        </w:rPr>
        <w:fldChar w:fldCharType="separate"/>
      </w:r>
      <w:r>
        <w:rPr>
          <w:lang w:eastAsia="de-DE"/>
        </w:rPr>
        <w:t>Figure 1</w:t>
      </w:r>
      <w:r w:rsidR="00231EC7" w:rsidRPr="002A70DE">
        <w:rPr>
          <w:lang w:eastAsia="de-DE"/>
        </w:rPr>
        <w:fldChar w:fldCharType="end"/>
      </w:r>
      <w:r w:rsidR="00231EC7" w:rsidRPr="002A70DE">
        <w:rPr>
          <w:lang w:eastAsia="de-DE"/>
        </w:rPr>
        <w:t xml:space="preserve">. In this </w:t>
      </w:r>
      <w:r w:rsidR="0078282A" w:rsidRPr="002A70DE">
        <w:rPr>
          <w:lang w:eastAsia="de-DE"/>
        </w:rPr>
        <w:t xml:space="preserve">specific </w:t>
      </w:r>
      <w:r w:rsidR="00231EC7" w:rsidRPr="002A70DE">
        <w:rPr>
          <w:lang w:eastAsia="de-DE"/>
        </w:rPr>
        <w:t>example, t</w:t>
      </w:r>
      <w:r w:rsidR="009B52C9" w:rsidRPr="002A70DE">
        <w:rPr>
          <w:lang w:eastAsia="de-DE"/>
        </w:rPr>
        <w:t>he UE</w:t>
      </w:r>
      <w:r w:rsidR="004D018F">
        <w:rPr>
          <w:lang w:eastAsia="de-DE"/>
        </w:rPr>
        <w:t xml:space="preserve"> is located between beam </w:t>
      </w:r>
      <w:r w:rsidR="00CF7C00">
        <w:rPr>
          <w:lang w:eastAsia="de-DE"/>
        </w:rPr>
        <w:t>2</w:t>
      </w:r>
      <w:r w:rsidR="004D018F">
        <w:rPr>
          <w:lang w:eastAsia="de-DE"/>
        </w:rPr>
        <w:t xml:space="preserve"> and beam 3 in the notch region of both beams. </w:t>
      </w:r>
      <w:r w:rsidR="00CF7C00">
        <w:rPr>
          <w:lang w:eastAsia="de-DE"/>
        </w:rPr>
        <w:t xml:space="preserve">The side lobe of beam 5 may be stronger than the RSRP of beam 2 and 3. </w:t>
      </w:r>
      <w:r w:rsidR="004D018F">
        <w:rPr>
          <w:lang w:eastAsia="de-DE"/>
        </w:rPr>
        <w:t xml:space="preserve">Based on the UE’s position, the ExpectedAoD and uncertainty excludes beams </w:t>
      </w:r>
      <w:r w:rsidR="00CF7C00">
        <w:rPr>
          <w:lang w:eastAsia="de-DE"/>
        </w:rPr>
        <w:t>1,</w:t>
      </w:r>
      <w:r w:rsidR="004D018F">
        <w:rPr>
          <w:lang w:eastAsia="de-DE"/>
        </w:rPr>
        <w:t>4</w:t>
      </w:r>
      <w:r w:rsidR="00CF7C00">
        <w:rPr>
          <w:lang w:eastAsia="de-DE"/>
        </w:rPr>
        <w:t>, 5</w:t>
      </w:r>
      <w:r w:rsidR="004D018F">
        <w:rPr>
          <w:lang w:eastAsia="de-DE"/>
        </w:rPr>
        <w:t xml:space="preserve"> and </w:t>
      </w:r>
      <w:r w:rsidR="00CF7C00">
        <w:rPr>
          <w:lang w:eastAsia="de-DE"/>
        </w:rPr>
        <w:t>6</w:t>
      </w:r>
      <w:r w:rsidR="004D018F">
        <w:rPr>
          <w:lang w:eastAsia="de-DE"/>
        </w:rPr>
        <w:t xml:space="preserve"> from the adjacent beam measurement and reporting. </w:t>
      </w:r>
      <w:r w:rsidR="0016385F">
        <w:rPr>
          <w:lang w:eastAsia="de-DE"/>
        </w:rPr>
        <w:t>As a</w:t>
      </w:r>
      <w:r w:rsidR="004D018F">
        <w:rPr>
          <w:lang w:eastAsia="de-DE"/>
        </w:rPr>
        <w:t xml:space="preserve"> result, beam 5 along with its side lobe gets ignored</w:t>
      </w:r>
      <w:r w:rsidR="0016385F">
        <w:rPr>
          <w:lang w:eastAsia="de-DE"/>
        </w:rPr>
        <w:t xml:space="preserve"> even though it might be helpful for the UE to measure. On the other hand, by using subset beam reporting to indicate beam adjacency information, the LMF can indicate to the UE that beams {2, 3</w:t>
      </w:r>
      <w:r w:rsidR="00CF7C00">
        <w:rPr>
          <w:lang w:eastAsia="de-DE"/>
        </w:rPr>
        <w:t>, 5</w:t>
      </w:r>
      <w:r w:rsidR="0016385F">
        <w:rPr>
          <w:lang w:eastAsia="de-DE"/>
        </w:rPr>
        <w:t xml:space="preserve">} </w:t>
      </w:r>
      <w:r w:rsidR="00CF7C00">
        <w:rPr>
          <w:lang w:eastAsia="de-DE"/>
        </w:rPr>
        <w:t xml:space="preserve">can be received </w:t>
      </w:r>
      <w:r w:rsidR="0016385F">
        <w:rPr>
          <w:lang w:eastAsia="de-DE"/>
        </w:rPr>
        <w:t xml:space="preserve">according to the UE’s location information, while beam </w:t>
      </w:r>
      <w:r w:rsidR="00CF7C00">
        <w:rPr>
          <w:lang w:eastAsia="de-DE"/>
        </w:rPr>
        <w:t xml:space="preserve">{1, </w:t>
      </w:r>
      <w:r w:rsidR="0016385F">
        <w:rPr>
          <w:lang w:eastAsia="de-DE"/>
        </w:rPr>
        <w:t>4</w:t>
      </w:r>
      <w:r w:rsidR="00CF7C00">
        <w:rPr>
          <w:lang w:eastAsia="de-DE"/>
        </w:rPr>
        <w:t>, 6}</w:t>
      </w:r>
      <w:r w:rsidR="0016385F">
        <w:rPr>
          <w:lang w:eastAsia="de-DE"/>
        </w:rPr>
        <w:t xml:space="preserve"> can be ignored</w:t>
      </w:r>
      <w:r w:rsidR="00B92A10">
        <w:rPr>
          <w:lang w:eastAsia="de-DE"/>
        </w:rPr>
        <w:t xml:space="preserve"> from the RSRP report</w:t>
      </w:r>
      <w:r w:rsidR="0016385F">
        <w:rPr>
          <w:lang w:eastAsia="de-DE"/>
        </w:rPr>
        <w:t xml:space="preserve"> since it is not relevant to the UE’s location.</w:t>
      </w:r>
    </w:p>
    <w:p w14:paraId="10F31671" w14:textId="18D311CF" w:rsidR="00231EC7" w:rsidRDefault="00CF7C00" w:rsidP="00231EC7">
      <w:pPr>
        <w:keepNext/>
        <w:autoSpaceDE/>
        <w:autoSpaceDN/>
        <w:adjustRightInd/>
        <w:snapToGrid/>
        <w:spacing w:after="0"/>
        <w:jc w:val="center"/>
      </w:pPr>
      <w:r w:rsidRPr="00CF7C00">
        <w:rPr>
          <w:noProof/>
        </w:rPr>
        <w:lastRenderedPageBreak/>
        <w:t xml:space="preserve"> </w:t>
      </w:r>
      <w:r w:rsidR="00B1321C" w:rsidRPr="00B1321C">
        <w:rPr>
          <w:noProof/>
        </w:rPr>
        <w:drawing>
          <wp:inline distT="0" distB="0" distL="0" distR="0" wp14:anchorId="30A4928F" wp14:editId="0CAB381B">
            <wp:extent cx="4367893" cy="4275069"/>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376044" cy="4283046"/>
                    </a:xfrm>
                    <a:prstGeom prst="rect">
                      <a:avLst/>
                    </a:prstGeom>
                  </pic:spPr>
                </pic:pic>
              </a:graphicData>
            </a:graphic>
          </wp:inline>
        </w:drawing>
      </w:r>
    </w:p>
    <w:p w14:paraId="58B0A6AB" w14:textId="35DBE7E7" w:rsidR="00231EC7" w:rsidRDefault="00231EC7" w:rsidP="00231EC7">
      <w:pPr>
        <w:pStyle w:val="Beschriftung"/>
      </w:pPr>
      <w:bookmarkStart w:id="5" w:name="_Ref82779794"/>
      <w:r>
        <w:t xml:space="preserve">Figure </w:t>
      </w:r>
      <w:r>
        <w:fldChar w:fldCharType="begin"/>
      </w:r>
      <w:r>
        <w:instrText xml:space="preserve"> SEQ Figure \* ARABIC </w:instrText>
      </w:r>
      <w:r>
        <w:fldChar w:fldCharType="separate"/>
      </w:r>
      <w:r w:rsidR="00F44D63">
        <w:rPr>
          <w:noProof/>
        </w:rPr>
        <w:t>1</w:t>
      </w:r>
      <w:r>
        <w:fldChar w:fldCharType="end"/>
      </w:r>
      <w:bookmarkEnd w:id="5"/>
      <w:r w:rsidR="009B52C9">
        <w:t>: Boresight and Expected</w:t>
      </w:r>
      <w:r>
        <w:t>AoD reporting in the presence of antenna imperfections</w:t>
      </w:r>
    </w:p>
    <w:p w14:paraId="0BF6E21D" w14:textId="77777777" w:rsidR="00A0109D" w:rsidRDefault="00A0109D" w:rsidP="00231EC7"/>
    <w:p w14:paraId="194D2CE8" w14:textId="7B6AEF9E" w:rsidR="009B52C9" w:rsidRDefault="00CF7C00" w:rsidP="008029B6">
      <w:pPr>
        <w:rPr>
          <w:lang w:eastAsia="de-DE"/>
        </w:rPr>
      </w:pPr>
      <w:r>
        <w:rPr>
          <w:lang w:eastAsia="de-DE"/>
        </w:rPr>
        <w:t xml:space="preserve">In </w:t>
      </w:r>
      <w:r w:rsidR="00D6749E">
        <w:rPr>
          <w:lang w:eastAsia="de-DE"/>
        </w:rPr>
        <w:t>the same</w:t>
      </w:r>
      <w:r>
        <w:rPr>
          <w:lang w:eastAsia="de-DE"/>
        </w:rPr>
        <w:t xml:space="preserve"> example</w:t>
      </w:r>
      <w:r w:rsidR="00D6749E">
        <w:rPr>
          <w:lang w:eastAsia="de-DE"/>
        </w:rPr>
        <w:t>, if only the boresight information are provided,</w:t>
      </w:r>
      <w:r>
        <w:rPr>
          <w:lang w:eastAsia="de-DE"/>
        </w:rPr>
        <w:t xml:space="preserve"> the UE </w:t>
      </w:r>
      <w:r w:rsidR="00D6749E">
        <w:rPr>
          <w:lang w:eastAsia="de-DE"/>
        </w:rPr>
        <w:t>identify a certain</w:t>
      </w:r>
      <w:r>
        <w:rPr>
          <w:lang w:eastAsia="de-DE"/>
        </w:rPr>
        <w:t xml:space="preserve"> beam for a AoD estimate and uses the boresight information to select the adjacent beams. </w:t>
      </w:r>
      <w:r w:rsidR="00B35605">
        <w:rPr>
          <w:lang w:eastAsia="de-DE"/>
        </w:rPr>
        <w:t>T</w:t>
      </w:r>
      <w:r>
        <w:rPr>
          <w:lang w:eastAsia="de-DE"/>
        </w:rPr>
        <w:t xml:space="preserve">he UE may detect the side lobe of beam 5 and may accordingly assume beam 4 and 6 as adjacent beams. </w:t>
      </w:r>
      <w:r w:rsidR="00CA2459">
        <w:rPr>
          <w:lang w:eastAsia="de-DE"/>
        </w:rPr>
        <w:t>Therefore</w:t>
      </w:r>
      <w:r w:rsidR="009B3444">
        <w:rPr>
          <w:lang w:eastAsia="de-DE"/>
        </w:rPr>
        <w:t xml:space="preserve">, </w:t>
      </w:r>
      <w:r w:rsidR="00CA2459">
        <w:rPr>
          <w:lang w:eastAsia="de-DE"/>
        </w:rPr>
        <w:t>indicating</w:t>
      </w:r>
      <w:r w:rsidR="00EE2298">
        <w:rPr>
          <w:lang w:eastAsia="de-DE"/>
        </w:rPr>
        <w:t xml:space="preserve"> the boresight information may lead the UE to report the </w:t>
      </w:r>
      <w:r w:rsidR="00A0109D">
        <w:rPr>
          <w:lang w:eastAsia="de-DE"/>
        </w:rPr>
        <w:t xml:space="preserve">wrong </w:t>
      </w:r>
      <w:r w:rsidR="009B52C9">
        <w:rPr>
          <w:lang w:eastAsia="de-DE"/>
        </w:rPr>
        <w:t>adjacent beams.</w:t>
      </w:r>
    </w:p>
    <w:p w14:paraId="3502AA2C" w14:textId="50777283" w:rsidR="00231EC7" w:rsidRDefault="00231EC7" w:rsidP="00231EC7">
      <w:pPr>
        <w:rPr>
          <w:lang w:eastAsia="de-DE"/>
        </w:rPr>
      </w:pPr>
    </w:p>
    <w:p w14:paraId="42472450" w14:textId="77777777" w:rsidR="00842ED4" w:rsidRDefault="00842ED4" w:rsidP="00842ED4">
      <w:pPr>
        <w:ind w:left="1418" w:hanging="1417"/>
        <w:rPr>
          <w:b/>
          <w:bCs/>
        </w:rPr>
      </w:pPr>
      <w:r w:rsidRPr="00D46BB1">
        <w:rPr>
          <w:b/>
          <w:bCs/>
        </w:rPr>
        <w:t>Observation</w:t>
      </w:r>
      <w:r w:rsidR="000B564E">
        <w:rPr>
          <w:b/>
          <w:bCs/>
        </w:rPr>
        <w:t xml:space="preserve"> </w:t>
      </w:r>
      <w:r>
        <w:rPr>
          <w:b/>
          <w:bCs/>
        </w:rPr>
        <w:t xml:space="preserve">1: </w:t>
      </w:r>
      <w:r w:rsidR="00B92A10">
        <w:rPr>
          <w:b/>
          <w:bCs/>
        </w:rPr>
        <w:t>B</w:t>
      </w:r>
      <w:r>
        <w:rPr>
          <w:b/>
          <w:bCs/>
        </w:rPr>
        <w:t xml:space="preserve">oresight beam information </w:t>
      </w:r>
      <w:r w:rsidR="00B92A10">
        <w:rPr>
          <w:b/>
          <w:bCs/>
        </w:rPr>
        <w:t xml:space="preserve">may </w:t>
      </w:r>
      <w:r>
        <w:rPr>
          <w:b/>
          <w:bCs/>
        </w:rPr>
        <w:t>lead</w:t>
      </w:r>
      <w:r w:rsidR="00B92A10">
        <w:rPr>
          <w:b/>
          <w:bCs/>
        </w:rPr>
        <w:t xml:space="preserve"> that</w:t>
      </w:r>
      <w:r>
        <w:rPr>
          <w:b/>
          <w:bCs/>
        </w:rPr>
        <w:t xml:space="preserve"> the UE report</w:t>
      </w:r>
      <w:r w:rsidR="00B92A10">
        <w:rPr>
          <w:b/>
          <w:bCs/>
        </w:rPr>
        <w:t>s undesired RSRP measurements on</w:t>
      </w:r>
      <w:r>
        <w:rPr>
          <w:b/>
          <w:bCs/>
        </w:rPr>
        <w:t xml:space="preserve"> PRS resource</w:t>
      </w:r>
      <w:r w:rsidR="00B92A10">
        <w:rPr>
          <w:b/>
          <w:bCs/>
        </w:rPr>
        <w:t>s</w:t>
      </w:r>
      <w:r>
        <w:rPr>
          <w:b/>
          <w:bCs/>
        </w:rPr>
        <w:t>, which may or may not be adjacent beams to the reference PRS resource.</w:t>
      </w:r>
    </w:p>
    <w:p w14:paraId="3E48F218" w14:textId="77777777" w:rsidR="00B92A10" w:rsidRDefault="00B92A10" w:rsidP="00842ED4">
      <w:pPr>
        <w:ind w:left="1418" w:hanging="1417"/>
        <w:rPr>
          <w:b/>
          <w:bCs/>
        </w:rPr>
      </w:pPr>
    </w:p>
    <w:p w14:paraId="0F7C652E" w14:textId="77777777" w:rsidR="00A77A3B" w:rsidRDefault="00842ED4" w:rsidP="004F1F0C">
      <w:pPr>
        <w:ind w:left="1418" w:hanging="1417"/>
        <w:rPr>
          <w:b/>
          <w:bCs/>
        </w:rPr>
      </w:pPr>
      <w:r w:rsidRPr="00D46BB1">
        <w:rPr>
          <w:b/>
          <w:bCs/>
        </w:rPr>
        <w:t>Observation</w:t>
      </w:r>
      <w:r>
        <w:rPr>
          <w:b/>
          <w:bCs/>
        </w:rPr>
        <w:t xml:space="preserve"> 2: </w:t>
      </w:r>
      <w:r w:rsidR="00B92A10">
        <w:rPr>
          <w:b/>
          <w:bCs/>
        </w:rPr>
        <w:t>B</w:t>
      </w:r>
      <w:r>
        <w:rPr>
          <w:b/>
          <w:bCs/>
        </w:rPr>
        <w:t xml:space="preserve">oresight beam information with ExpectedAOD/ZoD may cause the UE to drop some useful </w:t>
      </w:r>
      <w:r w:rsidR="004F1F0C">
        <w:rPr>
          <w:b/>
          <w:bCs/>
        </w:rPr>
        <w:t xml:space="preserve">PRS </w:t>
      </w:r>
      <w:r>
        <w:rPr>
          <w:b/>
          <w:bCs/>
        </w:rPr>
        <w:t>resources from the measurement report in some cases.</w:t>
      </w:r>
    </w:p>
    <w:p w14:paraId="32423CC0" w14:textId="77777777" w:rsidR="0028214B" w:rsidRDefault="0028214B" w:rsidP="00231EC7">
      <w:pPr>
        <w:rPr>
          <w:b/>
          <w:bCs/>
        </w:rPr>
      </w:pPr>
    </w:p>
    <w:p w14:paraId="5120C6D8" w14:textId="71792542" w:rsidR="00F44D63" w:rsidRDefault="00F44D63" w:rsidP="00F44D63">
      <w:pPr>
        <w:rPr>
          <w:lang w:eastAsia="de-DE"/>
        </w:rPr>
      </w:pPr>
      <w:r>
        <w:rPr>
          <w:lang w:eastAsia="de-DE"/>
        </w:rPr>
        <w:t xml:space="preserve">In conclusion, </w:t>
      </w:r>
      <w:r w:rsidRPr="002A70DE">
        <w:rPr>
          <w:lang w:eastAsia="de-DE"/>
        </w:rPr>
        <w:t>providing the beam information in the AD with indicated subsets of PRS resources</w:t>
      </w:r>
      <w:r>
        <w:rPr>
          <w:lang w:eastAsia="de-DE"/>
        </w:rPr>
        <w:t xml:space="preserve"> </w:t>
      </w:r>
      <w:r w:rsidRPr="002A70DE">
        <w:rPr>
          <w:lang w:eastAsia="de-DE"/>
        </w:rPr>
        <w:t>serves as a more general solution that can be applied to unicast and broadcast</w:t>
      </w:r>
      <w:r>
        <w:rPr>
          <w:lang w:eastAsia="de-DE"/>
        </w:rPr>
        <w:t>,</w:t>
      </w:r>
      <w:r w:rsidRPr="002A70DE">
        <w:rPr>
          <w:lang w:eastAsia="de-DE"/>
        </w:rPr>
        <w:t xml:space="preserve"> and can take the confusion out of the equation when adjacent beams have different physical characteristics.</w:t>
      </w:r>
    </w:p>
    <w:p w14:paraId="4F97382E" w14:textId="77777777" w:rsidR="00F44D63" w:rsidRDefault="00F44D63" w:rsidP="00F44D63">
      <w:pPr>
        <w:rPr>
          <w:lang w:eastAsia="de-DE"/>
        </w:rPr>
      </w:pPr>
    </w:p>
    <w:p w14:paraId="450FC9B6" w14:textId="77777777" w:rsidR="009B52C9" w:rsidRDefault="009B52C9" w:rsidP="00A77A3B">
      <w:pPr>
        <w:ind w:left="1418" w:hanging="1417"/>
        <w:rPr>
          <w:b/>
          <w:bCs/>
        </w:rPr>
      </w:pPr>
      <w:r>
        <w:rPr>
          <w:b/>
          <w:bCs/>
        </w:rPr>
        <w:t>Proposal 1</w:t>
      </w:r>
      <w:r w:rsidRPr="0092611E">
        <w:rPr>
          <w:b/>
          <w:bCs/>
        </w:rPr>
        <w:t xml:space="preserve">: </w:t>
      </w:r>
      <w:r w:rsidRPr="0092611E">
        <w:rPr>
          <w:b/>
          <w:bCs/>
        </w:rPr>
        <w:tab/>
      </w:r>
      <w:r w:rsidR="00A77A3B">
        <w:rPr>
          <w:b/>
          <w:bCs/>
        </w:rPr>
        <w:t>Support</w:t>
      </w:r>
      <w:r>
        <w:rPr>
          <w:b/>
          <w:bCs/>
        </w:rPr>
        <w:t xml:space="preserve"> </w:t>
      </w:r>
      <w:r w:rsidR="00A77A3B">
        <w:rPr>
          <w:b/>
          <w:bCs/>
        </w:rPr>
        <w:t xml:space="preserve">that </w:t>
      </w:r>
      <w:r w:rsidR="00A77A3B" w:rsidRPr="00A77A3B">
        <w:rPr>
          <w:b/>
          <w:bCs/>
        </w:rPr>
        <w:t>for UE-assisted DL-AOD positioning method, to enhance the signaling to the UE for the purpose of PRS resource(s) measurement and reporting, the LMF indicates in the assistance data (AD) for each PRS resource, a subset of PRS resources which indicates the beam information for the purpose of DL-AOD measurement.</w:t>
      </w:r>
    </w:p>
    <w:p w14:paraId="09BA27E2" w14:textId="77777777" w:rsidR="009B52C9" w:rsidRPr="00D46BB1" w:rsidRDefault="009B52C9" w:rsidP="00231EC7">
      <w:pPr>
        <w:rPr>
          <w:b/>
          <w:bCs/>
        </w:rPr>
      </w:pPr>
    </w:p>
    <w:p w14:paraId="4598B7A2" w14:textId="77777777" w:rsidR="000556F7" w:rsidRPr="00A940E8" w:rsidRDefault="000556F7" w:rsidP="00212600">
      <w:pPr>
        <w:ind w:left="1418" w:hanging="1417"/>
        <w:jc w:val="left"/>
        <w:rPr>
          <w:b/>
          <w:bCs/>
        </w:rPr>
      </w:pPr>
    </w:p>
    <w:p w14:paraId="0EC993FA" w14:textId="77777777" w:rsidR="00212600" w:rsidRPr="00212600" w:rsidRDefault="00B52A57" w:rsidP="00212600">
      <w:pPr>
        <w:pStyle w:val="berschrift1"/>
      </w:pPr>
      <w:r>
        <w:t>TRP radiation pattern information</w:t>
      </w:r>
    </w:p>
    <w:p w14:paraId="663E944B" w14:textId="77777777" w:rsidR="00212600" w:rsidRPr="00212600" w:rsidRDefault="00212600" w:rsidP="00212600">
      <w:r>
        <w:rPr>
          <w:lang w:eastAsia="x-none"/>
        </w:rPr>
        <w:t>The following agr</w:t>
      </w:r>
      <w:r w:rsidR="00A0109D">
        <w:rPr>
          <w:lang w:eastAsia="x-none"/>
        </w:rPr>
        <w:t>eements were reached in RAN1#106</w:t>
      </w:r>
      <w:r>
        <w:rPr>
          <w:lang w:eastAsia="x-none"/>
        </w:rPr>
        <w:t>-e:</w:t>
      </w:r>
    </w:p>
    <w:tbl>
      <w:tblPr>
        <w:tblStyle w:val="Tabellenraster"/>
        <w:tblW w:w="0" w:type="auto"/>
        <w:tblLook w:val="04A0" w:firstRow="1" w:lastRow="0" w:firstColumn="1" w:lastColumn="0" w:noHBand="0" w:noVBand="1"/>
      </w:tblPr>
      <w:tblGrid>
        <w:gridCol w:w="9307"/>
      </w:tblGrid>
      <w:tr w:rsidR="00212600" w14:paraId="688265AB" w14:textId="77777777" w:rsidTr="00212600">
        <w:tc>
          <w:tcPr>
            <w:tcW w:w="9307" w:type="dxa"/>
          </w:tcPr>
          <w:p w14:paraId="09CBDD1D" w14:textId="77777777" w:rsidR="00A0109D" w:rsidRDefault="00A0109D" w:rsidP="00A0109D">
            <w:pPr>
              <w:rPr>
                <w:rFonts w:eastAsia="Batang"/>
                <w:iCs/>
                <w:lang w:val="en-GB"/>
              </w:rPr>
            </w:pPr>
            <w:r>
              <w:rPr>
                <w:iCs/>
                <w:highlight w:val="green"/>
              </w:rPr>
              <w:t>Agreement:</w:t>
            </w:r>
          </w:p>
          <w:p w14:paraId="6CEE492B" w14:textId="77777777" w:rsidR="00A0109D" w:rsidRDefault="00A0109D" w:rsidP="00A0109D">
            <w:pPr>
              <w:rPr>
                <w:rFonts w:cs="Times"/>
              </w:rPr>
            </w:pPr>
            <w:r>
              <w:rPr>
                <w:rFonts w:cs="Times"/>
              </w:rPr>
              <w:t>For the beam/antenna information to be optionally provided to the LMF by the gnodeB, decide to support one of the following options:</w:t>
            </w:r>
          </w:p>
          <w:p w14:paraId="0C79FA33" w14:textId="77777777" w:rsidR="00A0109D" w:rsidRDefault="00A0109D" w:rsidP="00A0109D">
            <w:pPr>
              <w:pStyle w:val="Listenabsatz"/>
              <w:numPr>
                <w:ilvl w:val="0"/>
                <w:numId w:val="19"/>
              </w:numPr>
              <w:autoSpaceDE/>
              <w:autoSpaceDN/>
              <w:adjustRightInd/>
              <w:snapToGrid/>
              <w:spacing w:after="0" w:line="256" w:lineRule="auto"/>
              <w:ind w:firstLineChars="0"/>
              <w:jc w:val="left"/>
            </w:pPr>
            <w:r>
              <w:t>Option 2.1: The gNB reports quantized version of the relative Power/Angle response per PRS resource per TRP</w:t>
            </w:r>
            <w:r>
              <w:tab/>
            </w:r>
          </w:p>
          <w:p w14:paraId="3E802881" w14:textId="77777777" w:rsidR="00A0109D" w:rsidRDefault="00A0109D" w:rsidP="00A0109D">
            <w:pPr>
              <w:pStyle w:val="Listenabsatz"/>
              <w:numPr>
                <w:ilvl w:val="1"/>
                <w:numId w:val="19"/>
              </w:numPr>
              <w:autoSpaceDE/>
              <w:autoSpaceDN/>
              <w:adjustRightInd/>
              <w:snapToGrid/>
              <w:spacing w:after="0" w:line="256" w:lineRule="auto"/>
              <w:ind w:firstLineChars="0"/>
              <w:jc w:val="left"/>
              <w:rPr>
                <w:rFonts w:cs="Times"/>
              </w:rPr>
            </w:pPr>
            <w:r>
              <w:rPr>
                <w:rFonts w:eastAsia="Times New Roman"/>
              </w:rPr>
              <w:t>The relative power is defined with respect to the peak power of that resource</w:t>
            </w:r>
          </w:p>
          <w:p w14:paraId="559EBC9F" w14:textId="77777777" w:rsidR="00A0109D" w:rsidRDefault="00A0109D" w:rsidP="00A0109D">
            <w:pPr>
              <w:pStyle w:val="Listenabsatz"/>
              <w:numPr>
                <w:ilvl w:val="1"/>
                <w:numId w:val="19"/>
              </w:numPr>
              <w:autoSpaceDE/>
              <w:autoSpaceDN/>
              <w:adjustRightInd/>
              <w:snapToGrid/>
              <w:spacing w:after="0" w:line="256" w:lineRule="auto"/>
              <w:ind w:firstLineChars="0"/>
              <w:jc w:val="left"/>
              <w:rPr>
                <w:rFonts w:cs="Times"/>
              </w:rPr>
            </w:pPr>
            <w:r>
              <w:rPr>
                <w:rFonts w:eastAsia="Times New Roman"/>
              </w:rPr>
              <w:t xml:space="preserve">FFS: How many relative power levels can be included (e.g., single -3 dB power-levels, multiple power-levels, etc). </w:t>
            </w:r>
          </w:p>
          <w:p w14:paraId="45B6FED8" w14:textId="77777777" w:rsidR="00A0109D" w:rsidRDefault="00A0109D" w:rsidP="00A0109D">
            <w:pPr>
              <w:pStyle w:val="Listenabsatz"/>
              <w:numPr>
                <w:ilvl w:val="0"/>
                <w:numId w:val="19"/>
              </w:numPr>
              <w:autoSpaceDE/>
              <w:autoSpaceDN/>
              <w:adjustRightInd/>
              <w:snapToGrid/>
              <w:spacing w:after="0" w:line="256" w:lineRule="auto"/>
              <w:ind w:firstLineChars="0"/>
              <w:jc w:val="left"/>
              <w:rPr>
                <w:rFonts w:cs="Times"/>
              </w:rPr>
            </w:pPr>
            <w:r>
              <w:t xml:space="preserve">Option 2.2: The gNB reports quantized version of the relative Power </w:t>
            </w:r>
            <w:r>
              <w:rPr>
                <w:u w:val="single"/>
              </w:rPr>
              <w:t>between</w:t>
            </w:r>
            <w:r>
              <w:t xml:space="preserve"> PRS resources per angle per TRP.</w:t>
            </w:r>
          </w:p>
          <w:p w14:paraId="185B9191" w14:textId="77777777" w:rsidR="00A0109D" w:rsidRDefault="00A0109D" w:rsidP="00A0109D">
            <w:pPr>
              <w:pStyle w:val="Listenabsatz"/>
              <w:numPr>
                <w:ilvl w:val="1"/>
                <w:numId w:val="19"/>
              </w:numPr>
              <w:autoSpaceDE/>
              <w:autoSpaceDN/>
              <w:adjustRightInd/>
              <w:snapToGrid/>
              <w:spacing w:after="0" w:line="256" w:lineRule="auto"/>
              <w:ind w:firstLineChars="0"/>
              <w:jc w:val="left"/>
              <w:rPr>
                <w:rFonts w:cs="Times"/>
              </w:rPr>
            </w:pPr>
            <w:r>
              <w:rPr>
                <w:rFonts w:eastAsia="Times New Roman"/>
              </w:rPr>
              <w:t>The relative power is defined with respect to the peak power in each angle</w:t>
            </w:r>
          </w:p>
          <w:p w14:paraId="0BEC2D23" w14:textId="77777777" w:rsidR="00A0109D" w:rsidRDefault="00A0109D" w:rsidP="00A0109D">
            <w:pPr>
              <w:pStyle w:val="Listenabsatz"/>
              <w:numPr>
                <w:ilvl w:val="1"/>
                <w:numId w:val="19"/>
              </w:numPr>
              <w:autoSpaceDE/>
              <w:autoSpaceDN/>
              <w:adjustRightInd/>
              <w:snapToGrid/>
              <w:spacing w:after="0" w:line="256" w:lineRule="auto"/>
              <w:ind w:firstLineChars="0"/>
              <w:jc w:val="left"/>
              <w:rPr>
                <w:rFonts w:cs="Times"/>
              </w:rPr>
            </w:pPr>
            <w:r>
              <w:rPr>
                <w:rFonts w:eastAsia="Times New Roman"/>
              </w:rPr>
              <w:t>For each angle, at least two PRS resources are reported.</w:t>
            </w:r>
          </w:p>
          <w:p w14:paraId="7E8C59CC" w14:textId="77777777" w:rsidR="00A0109D" w:rsidRDefault="00A0109D" w:rsidP="00A0109D">
            <w:pPr>
              <w:pStyle w:val="Listenabsatz"/>
              <w:numPr>
                <w:ilvl w:val="0"/>
                <w:numId w:val="19"/>
              </w:numPr>
              <w:autoSpaceDE/>
              <w:autoSpaceDN/>
              <w:adjustRightInd/>
              <w:snapToGrid/>
              <w:spacing w:after="0" w:line="256" w:lineRule="auto"/>
              <w:ind w:firstLineChars="0"/>
              <w:contextualSpacing/>
              <w:jc w:val="left"/>
            </w:pPr>
            <w:r>
              <w:t>FFS: support of multiple levels of quantization</w:t>
            </w:r>
          </w:p>
          <w:p w14:paraId="695DEF40" w14:textId="77777777" w:rsidR="00A0109D" w:rsidRDefault="00A0109D" w:rsidP="00A0109D">
            <w:pPr>
              <w:pStyle w:val="Listenabsatz"/>
              <w:numPr>
                <w:ilvl w:val="0"/>
                <w:numId w:val="19"/>
              </w:numPr>
              <w:autoSpaceDE/>
              <w:autoSpaceDN/>
              <w:adjustRightInd/>
              <w:snapToGrid/>
              <w:spacing w:after="0" w:line="256" w:lineRule="auto"/>
              <w:ind w:firstLineChars="0"/>
              <w:contextualSpacing/>
              <w:jc w:val="left"/>
            </w:pPr>
            <w:r>
              <w:t>FFS: how the report is constructed</w:t>
            </w:r>
          </w:p>
          <w:p w14:paraId="53B06C1A" w14:textId="77777777" w:rsidR="00A0109D" w:rsidRDefault="00A0109D" w:rsidP="00A0109D">
            <w:pPr>
              <w:pStyle w:val="Listenabsatz"/>
              <w:numPr>
                <w:ilvl w:val="0"/>
                <w:numId w:val="19"/>
              </w:numPr>
              <w:autoSpaceDE/>
              <w:autoSpaceDN/>
              <w:adjustRightInd/>
              <w:snapToGrid/>
              <w:spacing w:after="0" w:line="256" w:lineRule="auto"/>
              <w:ind w:firstLineChars="0"/>
              <w:contextualSpacing/>
              <w:jc w:val="left"/>
              <w:rPr>
                <w:rFonts w:eastAsia="DengXian"/>
              </w:rPr>
            </w:pPr>
            <w:r>
              <w:t>FFS: overhead reduction mechanisms, including reusing of associated-dl-PRS-ID as a way of signaling that 2 TRPs have the same beam information</w:t>
            </w:r>
          </w:p>
          <w:p w14:paraId="322FF2F8" w14:textId="77777777" w:rsidR="00A0109D" w:rsidRDefault="00A0109D" w:rsidP="00A0109D">
            <w:pPr>
              <w:pStyle w:val="Listenabsatz"/>
              <w:numPr>
                <w:ilvl w:val="0"/>
                <w:numId w:val="19"/>
              </w:numPr>
              <w:autoSpaceDE/>
              <w:autoSpaceDN/>
              <w:adjustRightInd/>
              <w:snapToGrid/>
              <w:spacing w:after="0" w:line="256" w:lineRule="auto"/>
              <w:ind w:firstLineChars="0"/>
              <w:contextualSpacing/>
              <w:jc w:val="left"/>
              <w:rPr>
                <w:rFonts w:eastAsia="DengXian"/>
              </w:rPr>
            </w:pPr>
            <w:r>
              <w:t xml:space="preserve">The gNB beam/antenna information can optionally be provided to the UE by the LMF </w:t>
            </w:r>
          </w:p>
          <w:p w14:paraId="7488DF8B" w14:textId="77777777" w:rsidR="00A0109D" w:rsidRDefault="00A0109D" w:rsidP="00A0109D">
            <w:pPr>
              <w:pStyle w:val="Listenabsatz"/>
              <w:numPr>
                <w:ilvl w:val="0"/>
                <w:numId w:val="19"/>
              </w:numPr>
              <w:autoSpaceDE/>
              <w:autoSpaceDN/>
              <w:adjustRightInd/>
              <w:snapToGrid/>
              <w:spacing w:after="0" w:line="256" w:lineRule="auto"/>
              <w:ind w:firstLineChars="0"/>
              <w:contextualSpacing/>
              <w:jc w:val="left"/>
              <w:rPr>
                <w:rFonts w:ascii="Times" w:eastAsia="Batang" w:hAnsi="Times"/>
                <w:szCs w:val="24"/>
              </w:rPr>
            </w:pPr>
            <w:r>
              <w:t>Note: Up to RAN2 &amp; RAN3 the signaling/procedures on how the LMF receives this information from the gNBs</w:t>
            </w:r>
          </w:p>
          <w:p w14:paraId="41F4D454" w14:textId="77777777" w:rsidR="00212600" w:rsidRPr="00A0109D" w:rsidRDefault="00A0109D" w:rsidP="00A0109D">
            <w:pPr>
              <w:pStyle w:val="Listenabsatz"/>
              <w:numPr>
                <w:ilvl w:val="0"/>
                <w:numId w:val="19"/>
              </w:numPr>
              <w:autoSpaceDE/>
              <w:autoSpaceDN/>
              <w:adjustRightInd/>
              <w:snapToGrid/>
              <w:spacing w:after="0"/>
              <w:ind w:firstLineChars="0"/>
              <w:jc w:val="left"/>
              <w:rPr>
                <w:rFonts w:cs="Times"/>
              </w:rPr>
            </w:pPr>
            <w:r w:rsidRPr="00A0109D">
              <w:t>Send an LS to RAN2 &amp; RAN3 with this agreement</w:t>
            </w:r>
          </w:p>
        </w:tc>
      </w:tr>
    </w:tbl>
    <w:p w14:paraId="6D833213" w14:textId="77777777" w:rsidR="00212600" w:rsidRPr="00212600" w:rsidRDefault="00212600" w:rsidP="00212600"/>
    <w:p w14:paraId="5D2504C0" w14:textId="7E249260" w:rsidR="00B52A57" w:rsidRDefault="00B52A57" w:rsidP="008029B6">
      <w:r>
        <w:t>DL-AoD improvements in Rel-17 targets a direction estimation accuracy significantly lower than the beam-width corresponding to the transmitted PRS. In the example in</w:t>
      </w:r>
      <w:r w:rsidR="00F44D63">
        <w:t xml:space="preserve"> </w:t>
      </w:r>
      <w:r w:rsidR="00F44D63">
        <w:fldChar w:fldCharType="begin"/>
      </w:r>
      <w:r w:rsidR="00F44D63">
        <w:instrText xml:space="preserve"> REF _Ref84007328 \h </w:instrText>
      </w:r>
      <w:r w:rsidR="00F44D63">
        <w:fldChar w:fldCharType="separate"/>
      </w:r>
      <w:r w:rsidR="00F44D63">
        <w:t xml:space="preserve">Figure </w:t>
      </w:r>
      <w:r w:rsidR="00F44D63">
        <w:rPr>
          <w:noProof/>
        </w:rPr>
        <w:t>2</w:t>
      </w:r>
      <w:r w:rsidR="00F44D63">
        <w:fldChar w:fldCharType="end"/>
      </w:r>
      <w:r>
        <w:t xml:space="preserve">, the UE receives the LOS signal from beam 2 and beam </w:t>
      </w:r>
      <w:r w:rsidR="00576738">
        <w:t>3 with different RSRP levels: f</w:t>
      </w:r>
      <w:r>
        <w:t>r</w:t>
      </w:r>
      <w:r w:rsidR="00576738">
        <w:t>om</w:t>
      </w:r>
      <w:r>
        <w:t xml:space="preserve"> beam 2</w:t>
      </w:r>
      <w:r w:rsidR="0049661F">
        <w:t>, the LOS signal is dominant</w:t>
      </w:r>
      <w:r>
        <w:t>.</w:t>
      </w:r>
    </w:p>
    <w:p w14:paraId="703431B5" w14:textId="77777777" w:rsidR="00B52A57" w:rsidRDefault="00B52A57" w:rsidP="00B52A57">
      <w:pPr>
        <w:jc w:val="left"/>
      </w:pPr>
    </w:p>
    <w:p w14:paraId="1D63E58A" w14:textId="77777777" w:rsidR="003D4704" w:rsidRDefault="003D4704" w:rsidP="003D4704">
      <w:pPr>
        <w:keepNext/>
        <w:jc w:val="center"/>
      </w:pPr>
      <w:r>
        <w:rPr>
          <w:noProof/>
        </w:rPr>
        <w:drawing>
          <wp:inline distT="0" distB="0" distL="0" distR="0" wp14:anchorId="2F4CB61F" wp14:editId="2CF39011">
            <wp:extent cx="3039485" cy="1923940"/>
            <wp:effectExtent l="0" t="0" r="0" b="63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70885" cy="1943815"/>
                    </a:xfrm>
                    <a:prstGeom prst="rect">
                      <a:avLst/>
                    </a:prstGeom>
                    <a:noFill/>
                  </pic:spPr>
                </pic:pic>
              </a:graphicData>
            </a:graphic>
          </wp:inline>
        </w:drawing>
      </w:r>
    </w:p>
    <w:p w14:paraId="1C69B17B" w14:textId="12B598CC" w:rsidR="003D4704" w:rsidRDefault="003D4704" w:rsidP="003D4704">
      <w:pPr>
        <w:pStyle w:val="Beschriftung"/>
      </w:pPr>
      <w:bookmarkStart w:id="6" w:name="_Ref84007328"/>
      <w:r>
        <w:t xml:space="preserve">Figure </w:t>
      </w:r>
      <w:r>
        <w:fldChar w:fldCharType="begin"/>
      </w:r>
      <w:r>
        <w:instrText xml:space="preserve"> SEQ Figure \* ARABIC </w:instrText>
      </w:r>
      <w:r>
        <w:fldChar w:fldCharType="separate"/>
      </w:r>
      <w:r w:rsidR="00F44D63">
        <w:rPr>
          <w:noProof/>
        </w:rPr>
        <w:t>2</w:t>
      </w:r>
      <w:r>
        <w:fldChar w:fldCharType="end"/>
      </w:r>
      <w:bookmarkEnd w:id="6"/>
      <w:r>
        <w:t xml:space="preserve"> An example of DL-AoD method in the presence of multipath.</w:t>
      </w:r>
    </w:p>
    <w:p w14:paraId="1DCA8710" w14:textId="77777777" w:rsidR="00B52A57" w:rsidRDefault="00B52A57" w:rsidP="003D4704">
      <w:pPr>
        <w:pStyle w:val="Beschriftung"/>
      </w:pPr>
    </w:p>
    <w:p w14:paraId="7DAC404F" w14:textId="572BAB49" w:rsidR="00B52A57" w:rsidRDefault="00B52A57" w:rsidP="00B52A57">
      <w:r>
        <w:t>Assuming the antenna pattern is known</w:t>
      </w:r>
      <w:r w:rsidR="00576738">
        <w:t xml:space="preserve"> at the TRP,</w:t>
      </w:r>
      <w:r>
        <w:t xml:space="preserve"> the accuracy </w:t>
      </w:r>
      <w:r w:rsidR="00DA3741">
        <w:t>of DL</w:t>
      </w:r>
      <w:r w:rsidR="00576738">
        <w:t xml:space="preserve">-AoD </w:t>
      </w:r>
      <w:r>
        <w:t xml:space="preserve">can be </w:t>
      </w:r>
      <w:r w:rsidR="00576738">
        <w:t xml:space="preserve">significantly increased by </w:t>
      </w:r>
      <w:r>
        <w:t>taking i</w:t>
      </w:r>
      <w:r w:rsidR="00576738">
        <w:t>nto account the relative RSRP between</w:t>
      </w:r>
      <w:r>
        <w:t xml:space="preserve"> beam 2 and beam 3. </w:t>
      </w:r>
      <w:r w:rsidRPr="006C086F">
        <w:t xml:space="preserve">The TRP </w:t>
      </w:r>
      <w:r>
        <w:t xml:space="preserve">can </w:t>
      </w:r>
      <w:r w:rsidR="00576738">
        <w:t>indicate to</w:t>
      </w:r>
      <w:r w:rsidR="008B2125">
        <w:t xml:space="preserve"> the LMF detailed </w:t>
      </w:r>
      <w:r w:rsidRPr="006C086F">
        <w:t>NR-PRS beam information</w:t>
      </w:r>
      <w:r w:rsidR="008B2125">
        <w:t>,</w:t>
      </w:r>
      <w:r w:rsidRPr="006C086F">
        <w:t xml:space="preserve"> </w:t>
      </w:r>
      <w:r>
        <w:t>including</w:t>
      </w:r>
      <w:r w:rsidRPr="006C086F">
        <w:t xml:space="preserve"> one or more azimuth</w:t>
      </w:r>
      <w:r>
        <w:t>/</w:t>
      </w:r>
      <w:r w:rsidRPr="006C086F">
        <w:t>elevation angle information</w:t>
      </w:r>
      <w:r w:rsidR="003C1AC6">
        <w:t>,</w:t>
      </w:r>
      <w:r w:rsidRPr="006C086F">
        <w:t xml:space="preserve"> and optional</w:t>
      </w:r>
      <w:r>
        <w:t xml:space="preserve">ly </w:t>
      </w:r>
      <w:r w:rsidRPr="006C086F">
        <w:t xml:space="preserve">finer angle-related information per beam. </w:t>
      </w:r>
      <w:r>
        <w:t xml:space="preserve">Signaling on </w:t>
      </w:r>
      <w:r w:rsidRPr="006C086F">
        <w:t xml:space="preserve">the reported elevation and azimuth angles </w:t>
      </w:r>
      <w:r>
        <w:t xml:space="preserve">by </w:t>
      </w:r>
      <w:r w:rsidRPr="006C086F">
        <w:t>additional</w:t>
      </w:r>
      <w:r>
        <w:t>ly</w:t>
      </w:r>
      <w:r w:rsidRPr="006C086F">
        <w:t xml:space="preserve"> </w:t>
      </w:r>
      <w:r>
        <w:t>providing</w:t>
      </w:r>
      <w:r w:rsidRPr="006C086F">
        <w:t xml:space="preserve"> </w:t>
      </w:r>
      <w:r w:rsidR="003C1AC6">
        <w:t xml:space="preserve">information on beam power </w:t>
      </w:r>
      <w:r>
        <w:t xml:space="preserve">level also helps to support </w:t>
      </w:r>
      <w:r w:rsidR="003C1AC6">
        <w:t>a more accurate</w:t>
      </w:r>
      <w:r>
        <w:t xml:space="preserve"> </w:t>
      </w:r>
      <w:r w:rsidRPr="006C086F">
        <w:t>DL-AoD estimate.</w:t>
      </w:r>
      <w:r w:rsidR="00DD72CA" w:rsidRPr="00DD72CA">
        <w:rPr>
          <w:bCs/>
        </w:rPr>
        <w:t xml:space="preserve"> </w:t>
      </w:r>
      <w:r w:rsidR="00DD72CA" w:rsidRPr="0028214B">
        <w:rPr>
          <w:bCs/>
        </w:rPr>
        <w:t xml:space="preserve">Motivated by the example of </w:t>
      </w:r>
      <w:r w:rsidR="00DD72CA" w:rsidRPr="0028214B">
        <w:rPr>
          <w:bCs/>
        </w:rPr>
        <w:fldChar w:fldCharType="begin"/>
      </w:r>
      <w:r w:rsidR="00DD72CA" w:rsidRPr="0028214B">
        <w:rPr>
          <w:bCs/>
        </w:rPr>
        <w:instrText xml:space="preserve"> REF _Ref82779794 \h  \* MERGEFORMAT </w:instrText>
      </w:r>
      <w:r w:rsidR="00DD72CA" w:rsidRPr="0028214B">
        <w:rPr>
          <w:bCs/>
        </w:rPr>
      </w:r>
      <w:r w:rsidR="00DD72CA" w:rsidRPr="0028214B">
        <w:rPr>
          <w:bCs/>
        </w:rPr>
        <w:fldChar w:fldCharType="separate"/>
      </w:r>
      <w:r w:rsidR="00F44D63">
        <w:t xml:space="preserve">Figure </w:t>
      </w:r>
      <w:r w:rsidR="00F44D63">
        <w:rPr>
          <w:noProof/>
        </w:rPr>
        <w:t>1</w:t>
      </w:r>
      <w:r w:rsidR="00DD72CA" w:rsidRPr="0028214B">
        <w:rPr>
          <w:bCs/>
        </w:rPr>
        <w:fldChar w:fldCharType="end"/>
      </w:r>
      <w:r w:rsidR="00DD72CA" w:rsidRPr="0028214B">
        <w:rPr>
          <w:bCs/>
        </w:rPr>
        <w:t>,</w:t>
      </w:r>
      <w:r w:rsidR="00DD72CA">
        <w:rPr>
          <w:bCs/>
        </w:rPr>
        <w:t xml:space="preserve"> to make use of the RSRP measurements in Beam 1 and 3,</w:t>
      </w:r>
      <w:r w:rsidR="00DD72CA" w:rsidRPr="0028214B">
        <w:rPr>
          <w:bCs/>
        </w:rPr>
        <w:t xml:space="preserve"> the gNB shall report</w:t>
      </w:r>
      <w:r w:rsidR="00DD72CA" w:rsidRPr="0028214B">
        <w:t xml:space="preserve"> </w:t>
      </w:r>
      <w:r w:rsidR="00DD72CA">
        <w:t>the notch angle response as well to the LMF.</w:t>
      </w:r>
    </w:p>
    <w:p w14:paraId="542C0C30" w14:textId="77777777" w:rsidR="00B52A57" w:rsidRDefault="00B52A57" w:rsidP="00B52A57">
      <w:pPr>
        <w:ind w:left="1418" w:hanging="1417"/>
        <w:jc w:val="left"/>
        <w:rPr>
          <w:b/>
          <w:bCs/>
        </w:rPr>
      </w:pPr>
    </w:p>
    <w:p w14:paraId="38DC6016" w14:textId="77777777" w:rsidR="00212600" w:rsidRDefault="00AA31D4" w:rsidP="009F6BA6">
      <w:pPr>
        <w:ind w:left="1418" w:hanging="1417"/>
        <w:jc w:val="left"/>
        <w:rPr>
          <w:b/>
          <w:bCs/>
        </w:rPr>
      </w:pPr>
      <w:r>
        <w:rPr>
          <w:b/>
          <w:bCs/>
        </w:rPr>
        <w:t>Proposal 2</w:t>
      </w:r>
      <w:r w:rsidR="00B52A57" w:rsidRPr="0092611E">
        <w:rPr>
          <w:b/>
          <w:bCs/>
        </w:rPr>
        <w:t xml:space="preserve">: </w:t>
      </w:r>
      <w:r w:rsidR="00B52A57" w:rsidRPr="0092611E">
        <w:rPr>
          <w:b/>
          <w:bCs/>
        </w:rPr>
        <w:tab/>
      </w:r>
      <w:r w:rsidR="009F6BA6">
        <w:rPr>
          <w:b/>
          <w:bCs/>
        </w:rPr>
        <w:t>Support</w:t>
      </w:r>
      <w:r w:rsidR="004F1F0C">
        <w:rPr>
          <w:b/>
          <w:bCs/>
        </w:rPr>
        <w:t xml:space="preserve"> that</w:t>
      </w:r>
      <w:r w:rsidR="009F6BA6">
        <w:rPr>
          <w:b/>
          <w:bCs/>
        </w:rPr>
        <w:t xml:space="preserve"> </w:t>
      </w:r>
      <w:r w:rsidR="00D46BB1">
        <w:rPr>
          <w:b/>
          <w:bCs/>
        </w:rPr>
        <w:t>t</w:t>
      </w:r>
      <w:r w:rsidR="00D46BB1" w:rsidRPr="00D46BB1">
        <w:rPr>
          <w:b/>
          <w:bCs/>
        </w:rPr>
        <w:t>he gNB reports quantized version of the relative Power/Angle re</w:t>
      </w:r>
      <w:r w:rsidR="00D46BB1">
        <w:rPr>
          <w:b/>
          <w:bCs/>
        </w:rPr>
        <w:t>sponse per PRS resource per TRP (Option 2.1)</w:t>
      </w:r>
      <w:r w:rsidR="00DD72CA">
        <w:rPr>
          <w:b/>
          <w:bCs/>
        </w:rPr>
        <w:t>.</w:t>
      </w:r>
    </w:p>
    <w:p w14:paraId="795EECE0" w14:textId="77777777" w:rsidR="00DD72CA" w:rsidRPr="00DD72CA" w:rsidRDefault="00DD72CA" w:rsidP="00DD72CA">
      <w:pPr>
        <w:pStyle w:val="Listenabsatz"/>
        <w:numPr>
          <w:ilvl w:val="0"/>
          <w:numId w:val="20"/>
        </w:numPr>
        <w:ind w:firstLineChars="0"/>
        <w:jc w:val="left"/>
        <w:rPr>
          <w:b/>
          <w:bCs/>
        </w:rPr>
      </w:pPr>
      <w:r>
        <w:rPr>
          <w:b/>
          <w:bCs/>
        </w:rPr>
        <w:t xml:space="preserve">The Power/Angle information shall include the notches in the antenna pattern </w:t>
      </w:r>
    </w:p>
    <w:p w14:paraId="49B2591E" w14:textId="77777777" w:rsidR="00DA3741" w:rsidRDefault="00DA3741" w:rsidP="00DA3741">
      <w:pPr>
        <w:ind w:left="1418" w:hanging="1417"/>
        <w:jc w:val="left"/>
        <w:rPr>
          <w:b/>
          <w:bCs/>
        </w:rPr>
      </w:pPr>
    </w:p>
    <w:p w14:paraId="5A11A498" w14:textId="77777777" w:rsidR="00212600" w:rsidRPr="00212600" w:rsidRDefault="00B52A57" w:rsidP="00212600">
      <w:pPr>
        <w:pStyle w:val="berschrift1"/>
        <w:ind w:left="450"/>
      </w:pPr>
      <w:r>
        <w:t>Conclusions</w:t>
      </w:r>
    </w:p>
    <w:p w14:paraId="71E44D1B" w14:textId="77777777" w:rsidR="00B52A57" w:rsidRDefault="00B52A57" w:rsidP="00B52A57">
      <w:pPr>
        <w:ind w:left="1560" w:hanging="1560"/>
        <w:rPr>
          <w:iCs/>
        </w:rPr>
      </w:pPr>
      <w:r>
        <w:rPr>
          <w:iCs/>
        </w:rPr>
        <w:t>Based on the discussion in this document, we made the following observation and proposals:</w:t>
      </w:r>
    </w:p>
    <w:p w14:paraId="5E6F089B" w14:textId="77777777" w:rsidR="000B564E" w:rsidRDefault="000B564E" w:rsidP="000B564E">
      <w:pPr>
        <w:rPr>
          <w:lang w:eastAsia="de-DE"/>
        </w:rPr>
      </w:pPr>
    </w:p>
    <w:p w14:paraId="64AA0FA1" w14:textId="77777777" w:rsidR="000B564E" w:rsidRDefault="000B564E" w:rsidP="000B564E">
      <w:pPr>
        <w:ind w:left="1418" w:hanging="1417"/>
        <w:rPr>
          <w:b/>
          <w:bCs/>
        </w:rPr>
      </w:pPr>
      <w:r w:rsidRPr="00D46BB1">
        <w:rPr>
          <w:b/>
          <w:bCs/>
        </w:rPr>
        <w:t>Observation</w:t>
      </w:r>
      <w:r>
        <w:rPr>
          <w:b/>
          <w:bCs/>
        </w:rPr>
        <w:t xml:space="preserve"> 1: Boresight beam information may lead that the UE reports undesired RSRP measurements on PRS resources, which may or may not be adjacent beams to the reference PRS resource.</w:t>
      </w:r>
    </w:p>
    <w:p w14:paraId="6B266DD9" w14:textId="77777777" w:rsidR="000B564E" w:rsidRDefault="000B564E" w:rsidP="000B564E">
      <w:pPr>
        <w:ind w:left="1418" w:hanging="1417"/>
        <w:rPr>
          <w:b/>
          <w:bCs/>
        </w:rPr>
      </w:pPr>
    </w:p>
    <w:p w14:paraId="3C512048" w14:textId="77777777" w:rsidR="000B564E" w:rsidRDefault="000B564E" w:rsidP="000B564E">
      <w:pPr>
        <w:ind w:left="1418" w:hanging="1417"/>
        <w:rPr>
          <w:b/>
          <w:bCs/>
        </w:rPr>
      </w:pPr>
      <w:r w:rsidRPr="00D46BB1">
        <w:rPr>
          <w:b/>
          <w:bCs/>
        </w:rPr>
        <w:t>Observation</w:t>
      </w:r>
      <w:r>
        <w:rPr>
          <w:b/>
          <w:bCs/>
        </w:rPr>
        <w:t xml:space="preserve"> 2: Boresight beam information with ExpectedAOD/ZoD may cause the UE to drop some useful PRS resources from the measurement report in some cases.</w:t>
      </w:r>
    </w:p>
    <w:p w14:paraId="0F504D24" w14:textId="77777777" w:rsidR="00842ED4" w:rsidRDefault="00842ED4" w:rsidP="00842ED4">
      <w:pPr>
        <w:ind w:left="1418" w:hanging="1417"/>
        <w:rPr>
          <w:b/>
          <w:bCs/>
        </w:rPr>
      </w:pPr>
    </w:p>
    <w:p w14:paraId="16AC0F89" w14:textId="77777777" w:rsidR="009B52C9" w:rsidRDefault="009B52C9" w:rsidP="009B52C9">
      <w:pPr>
        <w:rPr>
          <w:b/>
          <w:bCs/>
        </w:rPr>
      </w:pPr>
    </w:p>
    <w:p w14:paraId="61DCA9BF" w14:textId="77777777" w:rsidR="004F1F0C" w:rsidRDefault="004F1F0C" w:rsidP="004F1F0C">
      <w:pPr>
        <w:ind w:left="1418" w:hanging="1417"/>
        <w:rPr>
          <w:b/>
          <w:bCs/>
        </w:rPr>
      </w:pPr>
      <w:r>
        <w:rPr>
          <w:b/>
          <w:bCs/>
        </w:rPr>
        <w:t>Proposal 1</w:t>
      </w:r>
      <w:r w:rsidRPr="0092611E">
        <w:rPr>
          <w:b/>
          <w:bCs/>
        </w:rPr>
        <w:t xml:space="preserve">: </w:t>
      </w:r>
      <w:r w:rsidRPr="0092611E">
        <w:rPr>
          <w:b/>
          <w:bCs/>
        </w:rPr>
        <w:tab/>
      </w:r>
      <w:r>
        <w:rPr>
          <w:b/>
          <w:bCs/>
        </w:rPr>
        <w:t xml:space="preserve">Support that </w:t>
      </w:r>
      <w:r w:rsidRPr="00A77A3B">
        <w:rPr>
          <w:b/>
          <w:bCs/>
        </w:rPr>
        <w:t>for UE-assisted DL-AOD positioning method, to enhance the signaling to the UE for the purpose of PRS resource(s) measurement and reporting, the LMF indicates in the assistance data (AD) for each PRS resource, a subset of PRS resources which indicates the beam information for the purpose of DL-AOD measurement.</w:t>
      </w:r>
    </w:p>
    <w:p w14:paraId="69690051" w14:textId="05C68732" w:rsidR="000B564E" w:rsidRDefault="000B564E" w:rsidP="000B564E">
      <w:pPr>
        <w:ind w:left="1418" w:hanging="1417"/>
        <w:jc w:val="left"/>
        <w:rPr>
          <w:b/>
          <w:bCs/>
        </w:rPr>
      </w:pPr>
      <w:r>
        <w:rPr>
          <w:b/>
          <w:bCs/>
        </w:rPr>
        <w:t>Proposal 2</w:t>
      </w:r>
      <w:r w:rsidRPr="0092611E">
        <w:rPr>
          <w:b/>
          <w:bCs/>
        </w:rPr>
        <w:t xml:space="preserve">: </w:t>
      </w:r>
      <w:r w:rsidRPr="0092611E">
        <w:rPr>
          <w:b/>
          <w:bCs/>
        </w:rPr>
        <w:tab/>
      </w:r>
      <w:r>
        <w:rPr>
          <w:b/>
          <w:bCs/>
        </w:rPr>
        <w:t>Support that t</w:t>
      </w:r>
      <w:r w:rsidRPr="00D46BB1">
        <w:rPr>
          <w:b/>
          <w:bCs/>
        </w:rPr>
        <w:t>he gNB reports quantized version of the relative Power/Angle re</w:t>
      </w:r>
      <w:r>
        <w:rPr>
          <w:b/>
          <w:bCs/>
        </w:rPr>
        <w:t>sponse per PRS resource per TRP (Option 2.1).</w:t>
      </w:r>
    </w:p>
    <w:p w14:paraId="7C3E0DE5" w14:textId="1E09E8D1" w:rsidR="000B564E" w:rsidRPr="00DD72CA" w:rsidRDefault="000B564E" w:rsidP="000B564E">
      <w:pPr>
        <w:pStyle w:val="Listenabsatz"/>
        <w:numPr>
          <w:ilvl w:val="0"/>
          <w:numId w:val="20"/>
        </w:numPr>
        <w:ind w:firstLineChars="0"/>
        <w:jc w:val="left"/>
        <w:rPr>
          <w:b/>
          <w:bCs/>
        </w:rPr>
      </w:pPr>
      <w:r>
        <w:rPr>
          <w:b/>
          <w:bCs/>
        </w:rPr>
        <w:t xml:space="preserve">The Power/Angle information shall include the notches in the antenna pattern </w:t>
      </w:r>
    </w:p>
    <w:bookmarkEnd w:id="2"/>
    <w:bookmarkEnd w:id="3"/>
    <w:p w14:paraId="73A80EA9" w14:textId="77777777" w:rsidR="00CD5F0A" w:rsidRPr="00DA3741" w:rsidRDefault="00CD5F0A" w:rsidP="008A2A33">
      <w:pPr>
        <w:ind w:left="1418" w:hanging="1417"/>
        <w:jc w:val="left"/>
        <w:rPr>
          <w:b/>
          <w:bCs/>
        </w:rPr>
      </w:pPr>
    </w:p>
    <w:sectPr w:rsidR="00CD5F0A" w:rsidRPr="00DA3741"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C43C2E" w14:textId="77777777" w:rsidR="002B58ED" w:rsidRDefault="002B58ED" w:rsidP="009F6BA6">
      <w:pPr>
        <w:spacing w:after="0"/>
      </w:pPr>
      <w:r>
        <w:separator/>
      </w:r>
    </w:p>
  </w:endnote>
  <w:endnote w:type="continuationSeparator" w:id="0">
    <w:p w14:paraId="4C87CD65" w14:textId="77777777" w:rsidR="002B58ED" w:rsidRDefault="002B58ED" w:rsidP="009F6BA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Malgun Gothic Semilight"/>
    <w:panose1 w:val="02030600000101010101"/>
    <w:charset w:val="81"/>
    <w:family w:val="roman"/>
    <w:pitch w:val="variable"/>
    <w:sig w:usb0="B00002AF" w:usb1="69D77CFB" w:usb2="00000030" w:usb3="00000000" w:csb0="0028009F" w:csb1="00000000"/>
  </w:font>
  <w:font w:name="Times">
    <w:panose1 w:val="02020603050405020304"/>
    <w:charset w:val="00"/>
    <w:family w:val="roman"/>
    <w:pitch w:val="variable"/>
    <w:sig w:usb0="E0002EFF" w:usb1="C000785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3557A7" w14:textId="77777777" w:rsidR="002B58ED" w:rsidRDefault="002B58ED" w:rsidP="009F6BA6">
      <w:pPr>
        <w:spacing w:after="0"/>
      </w:pPr>
      <w:r>
        <w:separator/>
      </w:r>
    </w:p>
  </w:footnote>
  <w:footnote w:type="continuationSeparator" w:id="0">
    <w:p w14:paraId="49A6773E" w14:textId="77777777" w:rsidR="002B58ED" w:rsidRDefault="002B58ED" w:rsidP="009F6BA6">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C74440"/>
    <w:multiLevelType w:val="hybridMultilevel"/>
    <w:tmpl w:val="3E6E65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E43DC1"/>
    <w:multiLevelType w:val="hybridMultilevel"/>
    <w:tmpl w:val="BA003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ADB7DF9"/>
    <w:multiLevelType w:val="hybridMultilevel"/>
    <w:tmpl w:val="FE0A568C"/>
    <w:lvl w:ilvl="0" w:tplc="3252C8E6">
      <w:numFmt w:val="bullet"/>
      <w:lvlText w:val="-"/>
      <w:lvlJc w:val="left"/>
      <w:pPr>
        <w:ind w:left="1778" w:hanging="360"/>
      </w:pPr>
      <w:rPr>
        <w:rFonts w:ascii="Times New Roman" w:eastAsia="SimSun" w:hAnsi="Times New Roman" w:cs="Times New Roman" w:hint="default"/>
      </w:rPr>
    </w:lvl>
    <w:lvl w:ilvl="1" w:tplc="04070003">
      <w:start w:val="1"/>
      <w:numFmt w:val="bullet"/>
      <w:lvlText w:val="o"/>
      <w:lvlJc w:val="left"/>
      <w:pPr>
        <w:ind w:left="2498" w:hanging="360"/>
      </w:pPr>
      <w:rPr>
        <w:rFonts w:ascii="Courier New" w:hAnsi="Courier New" w:cs="Courier New" w:hint="default"/>
      </w:rPr>
    </w:lvl>
    <w:lvl w:ilvl="2" w:tplc="04070005">
      <w:start w:val="1"/>
      <w:numFmt w:val="bullet"/>
      <w:lvlText w:val=""/>
      <w:lvlJc w:val="left"/>
      <w:pPr>
        <w:ind w:left="3218" w:hanging="360"/>
      </w:pPr>
      <w:rPr>
        <w:rFonts w:ascii="Wingdings" w:hAnsi="Wingdings" w:hint="default"/>
      </w:rPr>
    </w:lvl>
    <w:lvl w:ilvl="3" w:tplc="04070001" w:tentative="1">
      <w:start w:val="1"/>
      <w:numFmt w:val="bullet"/>
      <w:lvlText w:val=""/>
      <w:lvlJc w:val="left"/>
      <w:pPr>
        <w:ind w:left="3938" w:hanging="360"/>
      </w:pPr>
      <w:rPr>
        <w:rFonts w:ascii="Symbol" w:hAnsi="Symbol" w:hint="default"/>
      </w:rPr>
    </w:lvl>
    <w:lvl w:ilvl="4" w:tplc="04070003" w:tentative="1">
      <w:start w:val="1"/>
      <w:numFmt w:val="bullet"/>
      <w:lvlText w:val="o"/>
      <w:lvlJc w:val="left"/>
      <w:pPr>
        <w:ind w:left="4658" w:hanging="360"/>
      </w:pPr>
      <w:rPr>
        <w:rFonts w:ascii="Courier New" w:hAnsi="Courier New" w:cs="Courier New" w:hint="default"/>
      </w:rPr>
    </w:lvl>
    <w:lvl w:ilvl="5" w:tplc="04070005" w:tentative="1">
      <w:start w:val="1"/>
      <w:numFmt w:val="bullet"/>
      <w:lvlText w:val=""/>
      <w:lvlJc w:val="left"/>
      <w:pPr>
        <w:ind w:left="5378" w:hanging="360"/>
      </w:pPr>
      <w:rPr>
        <w:rFonts w:ascii="Wingdings" w:hAnsi="Wingdings" w:hint="default"/>
      </w:rPr>
    </w:lvl>
    <w:lvl w:ilvl="6" w:tplc="04070001" w:tentative="1">
      <w:start w:val="1"/>
      <w:numFmt w:val="bullet"/>
      <w:lvlText w:val=""/>
      <w:lvlJc w:val="left"/>
      <w:pPr>
        <w:ind w:left="6098" w:hanging="360"/>
      </w:pPr>
      <w:rPr>
        <w:rFonts w:ascii="Symbol" w:hAnsi="Symbol" w:hint="default"/>
      </w:rPr>
    </w:lvl>
    <w:lvl w:ilvl="7" w:tplc="04070003" w:tentative="1">
      <w:start w:val="1"/>
      <w:numFmt w:val="bullet"/>
      <w:lvlText w:val="o"/>
      <w:lvlJc w:val="left"/>
      <w:pPr>
        <w:ind w:left="6818" w:hanging="360"/>
      </w:pPr>
      <w:rPr>
        <w:rFonts w:ascii="Courier New" w:hAnsi="Courier New" w:cs="Courier New" w:hint="default"/>
      </w:rPr>
    </w:lvl>
    <w:lvl w:ilvl="8" w:tplc="04070005" w:tentative="1">
      <w:start w:val="1"/>
      <w:numFmt w:val="bullet"/>
      <w:lvlText w:val=""/>
      <w:lvlJc w:val="left"/>
      <w:pPr>
        <w:ind w:left="7538" w:hanging="360"/>
      </w:pPr>
      <w:rPr>
        <w:rFonts w:ascii="Wingdings" w:hAnsi="Wingdings" w:hint="default"/>
      </w:rPr>
    </w:lvl>
  </w:abstractNum>
  <w:abstractNum w:abstractNumId="3" w15:restartNumberingAfterBreak="0">
    <w:nsid w:val="1C853FB4"/>
    <w:multiLevelType w:val="hybridMultilevel"/>
    <w:tmpl w:val="51EAF9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DCA0304"/>
    <w:multiLevelType w:val="multilevel"/>
    <w:tmpl w:val="1DCA030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b/>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 w15:restartNumberingAfterBreak="0">
    <w:nsid w:val="25804ED2"/>
    <w:multiLevelType w:val="hybridMultilevel"/>
    <w:tmpl w:val="26D03B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1BA64A8"/>
    <w:multiLevelType w:val="hybridMultilevel"/>
    <w:tmpl w:val="3D4AA3C0"/>
    <w:lvl w:ilvl="0" w:tplc="1AB61B4A">
      <w:start w:val="2"/>
      <w:numFmt w:val="bullet"/>
      <w:lvlText w:val="-"/>
      <w:lvlJc w:val="left"/>
      <w:pPr>
        <w:ind w:left="1777" w:hanging="360"/>
      </w:pPr>
      <w:rPr>
        <w:rFonts w:ascii="Times New Roman" w:eastAsia="SimSun" w:hAnsi="Times New Roman" w:cs="Times New Roman" w:hint="default"/>
      </w:rPr>
    </w:lvl>
    <w:lvl w:ilvl="1" w:tplc="04070003" w:tentative="1">
      <w:start w:val="1"/>
      <w:numFmt w:val="bullet"/>
      <w:lvlText w:val="o"/>
      <w:lvlJc w:val="left"/>
      <w:pPr>
        <w:ind w:left="2497" w:hanging="360"/>
      </w:pPr>
      <w:rPr>
        <w:rFonts w:ascii="Courier New" w:hAnsi="Courier New" w:cs="Courier New" w:hint="default"/>
      </w:rPr>
    </w:lvl>
    <w:lvl w:ilvl="2" w:tplc="04070005" w:tentative="1">
      <w:start w:val="1"/>
      <w:numFmt w:val="bullet"/>
      <w:lvlText w:val=""/>
      <w:lvlJc w:val="left"/>
      <w:pPr>
        <w:ind w:left="3217" w:hanging="360"/>
      </w:pPr>
      <w:rPr>
        <w:rFonts w:ascii="Wingdings" w:hAnsi="Wingdings" w:hint="default"/>
      </w:rPr>
    </w:lvl>
    <w:lvl w:ilvl="3" w:tplc="04070001" w:tentative="1">
      <w:start w:val="1"/>
      <w:numFmt w:val="bullet"/>
      <w:lvlText w:val=""/>
      <w:lvlJc w:val="left"/>
      <w:pPr>
        <w:ind w:left="3937" w:hanging="360"/>
      </w:pPr>
      <w:rPr>
        <w:rFonts w:ascii="Symbol" w:hAnsi="Symbol" w:hint="default"/>
      </w:rPr>
    </w:lvl>
    <w:lvl w:ilvl="4" w:tplc="04070003" w:tentative="1">
      <w:start w:val="1"/>
      <w:numFmt w:val="bullet"/>
      <w:lvlText w:val="o"/>
      <w:lvlJc w:val="left"/>
      <w:pPr>
        <w:ind w:left="4657" w:hanging="360"/>
      </w:pPr>
      <w:rPr>
        <w:rFonts w:ascii="Courier New" w:hAnsi="Courier New" w:cs="Courier New" w:hint="default"/>
      </w:rPr>
    </w:lvl>
    <w:lvl w:ilvl="5" w:tplc="04070005" w:tentative="1">
      <w:start w:val="1"/>
      <w:numFmt w:val="bullet"/>
      <w:lvlText w:val=""/>
      <w:lvlJc w:val="left"/>
      <w:pPr>
        <w:ind w:left="5377" w:hanging="360"/>
      </w:pPr>
      <w:rPr>
        <w:rFonts w:ascii="Wingdings" w:hAnsi="Wingdings" w:hint="default"/>
      </w:rPr>
    </w:lvl>
    <w:lvl w:ilvl="6" w:tplc="04070001" w:tentative="1">
      <w:start w:val="1"/>
      <w:numFmt w:val="bullet"/>
      <w:lvlText w:val=""/>
      <w:lvlJc w:val="left"/>
      <w:pPr>
        <w:ind w:left="6097" w:hanging="360"/>
      </w:pPr>
      <w:rPr>
        <w:rFonts w:ascii="Symbol" w:hAnsi="Symbol" w:hint="default"/>
      </w:rPr>
    </w:lvl>
    <w:lvl w:ilvl="7" w:tplc="04070003" w:tentative="1">
      <w:start w:val="1"/>
      <w:numFmt w:val="bullet"/>
      <w:lvlText w:val="o"/>
      <w:lvlJc w:val="left"/>
      <w:pPr>
        <w:ind w:left="6817" w:hanging="360"/>
      </w:pPr>
      <w:rPr>
        <w:rFonts w:ascii="Courier New" w:hAnsi="Courier New" w:cs="Courier New" w:hint="default"/>
      </w:rPr>
    </w:lvl>
    <w:lvl w:ilvl="8" w:tplc="04070005" w:tentative="1">
      <w:start w:val="1"/>
      <w:numFmt w:val="bullet"/>
      <w:lvlText w:val=""/>
      <w:lvlJc w:val="left"/>
      <w:pPr>
        <w:ind w:left="7537" w:hanging="360"/>
      </w:pPr>
      <w:rPr>
        <w:rFonts w:ascii="Wingdings" w:hAnsi="Wingdings" w:hint="default"/>
      </w:rPr>
    </w:lvl>
  </w:abstractNum>
  <w:abstractNum w:abstractNumId="7" w15:restartNumberingAfterBreak="0">
    <w:nsid w:val="33700B48"/>
    <w:multiLevelType w:val="hybridMultilevel"/>
    <w:tmpl w:val="D07E0AC4"/>
    <w:lvl w:ilvl="0" w:tplc="04070001">
      <w:start w:val="1"/>
      <w:numFmt w:val="bullet"/>
      <w:lvlText w:val=""/>
      <w:lvlJc w:val="left"/>
      <w:pPr>
        <w:ind w:left="887" w:hanging="360"/>
      </w:pPr>
      <w:rPr>
        <w:rFonts w:ascii="Symbol" w:hAnsi="Symbol" w:hint="default"/>
      </w:rPr>
    </w:lvl>
    <w:lvl w:ilvl="1" w:tplc="04070003" w:tentative="1">
      <w:start w:val="1"/>
      <w:numFmt w:val="bullet"/>
      <w:lvlText w:val="o"/>
      <w:lvlJc w:val="left"/>
      <w:pPr>
        <w:ind w:left="1607" w:hanging="360"/>
      </w:pPr>
      <w:rPr>
        <w:rFonts w:ascii="Courier New" w:hAnsi="Courier New" w:cs="Courier New" w:hint="default"/>
      </w:rPr>
    </w:lvl>
    <w:lvl w:ilvl="2" w:tplc="04070005" w:tentative="1">
      <w:start w:val="1"/>
      <w:numFmt w:val="bullet"/>
      <w:lvlText w:val=""/>
      <w:lvlJc w:val="left"/>
      <w:pPr>
        <w:ind w:left="2327" w:hanging="360"/>
      </w:pPr>
      <w:rPr>
        <w:rFonts w:ascii="Wingdings" w:hAnsi="Wingdings" w:hint="default"/>
      </w:rPr>
    </w:lvl>
    <w:lvl w:ilvl="3" w:tplc="04070001" w:tentative="1">
      <w:start w:val="1"/>
      <w:numFmt w:val="bullet"/>
      <w:lvlText w:val=""/>
      <w:lvlJc w:val="left"/>
      <w:pPr>
        <w:ind w:left="3047" w:hanging="360"/>
      </w:pPr>
      <w:rPr>
        <w:rFonts w:ascii="Symbol" w:hAnsi="Symbol" w:hint="default"/>
      </w:rPr>
    </w:lvl>
    <w:lvl w:ilvl="4" w:tplc="04070003" w:tentative="1">
      <w:start w:val="1"/>
      <w:numFmt w:val="bullet"/>
      <w:lvlText w:val="o"/>
      <w:lvlJc w:val="left"/>
      <w:pPr>
        <w:ind w:left="3767" w:hanging="360"/>
      </w:pPr>
      <w:rPr>
        <w:rFonts w:ascii="Courier New" w:hAnsi="Courier New" w:cs="Courier New" w:hint="default"/>
      </w:rPr>
    </w:lvl>
    <w:lvl w:ilvl="5" w:tplc="04070005" w:tentative="1">
      <w:start w:val="1"/>
      <w:numFmt w:val="bullet"/>
      <w:lvlText w:val=""/>
      <w:lvlJc w:val="left"/>
      <w:pPr>
        <w:ind w:left="4487" w:hanging="360"/>
      </w:pPr>
      <w:rPr>
        <w:rFonts w:ascii="Wingdings" w:hAnsi="Wingdings" w:hint="default"/>
      </w:rPr>
    </w:lvl>
    <w:lvl w:ilvl="6" w:tplc="04070001" w:tentative="1">
      <w:start w:val="1"/>
      <w:numFmt w:val="bullet"/>
      <w:lvlText w:val=""/>
      <w:lvlJc w:val="left"/>
      <w:pPr>
        <w:ind w:left="5207" w:hanging="360"/>
      </w:pPr>
      <w:rPr>
        <w:rFonts w:ascii="Symbol" w:hAnsi="Symbol" w:hint="default"/>
      </w:rPr>
    </w:lvl>
    <w:lvl w:ilvl="7" w:tplc="04070003" w:tentative="1">
      <w:start w:val="1"/>
      <w:numFmt w:val="bullet"/>
      <w:lvlText w:val="o"/>
      <w:lvlJc w:val="left"/>
      <w:pPr>
        <w:ind w:left="5927" w:hanging="360"/>
      </w:pPr>
      <w:rPr>
        <w:rFonts w:ascii="Courier New" w:hAnsi="Courier New" w:cs="Courier New" w:hint="default"/>
      </w:rPr>
    </w:lvl>
    <w:lvl w:ilvl="8" w:tplc="04070005" w:tentative="1">
      <w:start w:val="1"/>
      <w:numFmt w:val="bullet"/>
      <w:lvlText w:val=""/>
      <w:lvlJc w:val="left"/>
      <w:pPr>
        <w:ind w:left="6647" w:hanging="360"/>
      </w:pPr>
      <w:rPr>
        <w:rFonts w:ascii="Wingdings" w:hAnsi="Wingdings" w:hint="default"/>
      </w:rPr>
    </w:lvl>
  </w:abstractNum>
  <w:abstractNum w:abstractNumId="8" w15:restartNumberingAfterBreak="0">
    <w:nsid w:val="33B557C1"/>
    <w:multiLevelType w:val="multilevel"/>
    <w:tmpl w:val="4B9E3B4A"/>
    <w:lvl w:ilvl="0">
      <w:start w:val="1"/>
      <w:numFmt w:val="decimal"/>
      <w:pStyle w:val="berschrift1"/>
      <w:lvlText w:val="%1"/>
      <w:lvlJc w:val="left"/>
      <w:pPr>
        <w:tabs>
          <w:tab w:val="num" w:pos="432"/>
        </w:tabs>
        <w:ind w:left="432" w:hanging="432"/>
      </w:pPr>
      <w:rPr>
        <w:rFonts w:hint="default"/>
        <w:i w:val="0"/>
        <w:lang w:val="en-US"/>
      </w:rPr>
    </w:lvl>
    <w:lvl w:ilvl="1">
      <w:start w:val="1"/>
      <w:numFmt w:val="decimal"/>
      <w:pStyle w:val="berschrift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9" w15:restartNumberingAfterBreak="0">
    <w:nsid w:val="39CD22C7"/>
    <w:multiLevelType w:val="hybridMultilevel"/>
    <w:tmpl w:val="B64AA8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3A25570C"/>
    <w:multiLevelType w:val="hybridMultilevel"/>
    <w:tmpl w:val="5540E386"/>
    <w:lvl w:ilvl="0" w:tplc="04070001">
      <w:start w:val="1"/>
      <w:numFmt w:val="bullet"/>
      <w:lvlText w:val=""/>
      <w:lvlJc w:val="left"/>
      <w:pPr>
        <w:ind w:left="1800" w:hanging="360"/>
      </w:pPr>
      <w:rPr>
        <w:rFonts w:ascii="Symbol" w:hAnsi="Symbol" w:hint="default"/>
      </w:rPr>
    </w:lvl>
    <w:lvl w:ilvl="1" w:tplc="04070003" w:tentative="1">
      <w:start w:val="1"/>
      <w:numFmt w:val="bullet"/>
      <w:lvlText w:val="o"/>
      <w:lvlJc w:val="left"/>
      <w:pPr>
        <w:ind w:left="2520" w:hanging="360"/>
      </w:pPr>
      <w:rPr>
        <w:rFonts w:ascii="Courier New" w:hAnsi="Courier New" w:cs="Courier New" w:hint="default"/>
      </w:rPr>
    </w:lvl>
    <w:lvl w:ilvl="2" w:tplc="04070005" w:tentative="1">
      <w:start w:val="1"/>
      <w:numFmt w:val="bullet"/>
      <w:lvlText w:val=""/>
      <w:lvlJc w:val="left"/>
      <w:pPr>
        <w:ind w:left="3240" w:hanging="360"/>
      </w:pPr>
      <w:rPr>
        <w:rFonts w:ascii="Wingdings" w:hAnsi="Wingdings" w:hint="default"/>
      </w:rPr>
    </w:lvl>
    <w:lvl w:ilvl="3" w:tplc="04070001" w:tentative="1">
      <w:start w:val="1"/>
      <w:numFmt w:val="bullet"/>
      <w:lvlText w:val=""/>
      <w:lvlJc w:val="left"/>
      <w:pPr>
        <w:ind w:left="3960" w:hanging="360"/>
      </w:pPr>
      <w:rPr>
        <w:rFonts w:ascii="Symbol" w:hAnsi="Symbol" w:hint="default"/>
      </w:rPr>
    </w:lvl>
    <w:lvl w:ilvl="4" w:tplc="04070003" w:tentative="1">
      <w:start w:val="1"/>
      <w:numFmt w:val="bullet"/>
      <w:lvlText w:val="o"/>
      <w:lvlJc w:val="left"/>
      <w:pPr>
        <w:ind w:left="4680" w:hanging="360"/>
      </w:pPr>
      <w:rPr>
        <w:rFonts w:ascii="Courier New" w:hAnsi="Courier New" w:cs="Courier New" w:hint="default"/>
      </w:rPr>
    </w:lvl>
    <w:lvl w:ilvl="5" w:tplc="04070005" w:tentative="1">
      <w:start w:val="1"/>
      <w:numFmt w:val="bullet"/>
      <w:lvlText w:val=""/>
      <w:lvlJc w:val="left"/>
      <w:pPr>
        <w:ind w:left="5400" w:hanging="360"/>
      </w:pPr>
      <w:rPr>
        <w:rFonts w:ascii="Wingdings" w:hAnsi="Wingdings" w:hint="default"/>
      </w:rPr>
    </w:lvl>
    <w:lvl w:ilvl="6" w:tplc="04070001" w:tentative="1">
      <w:start w:val="1"/>
      <w:numFmt w:val="bullet"/>
      <w:lvlText w:val=""/>
      <w:lvlJc w:val="left"/>
      <w:pPr>
        <w:ind w:left="6120" w:hanging="360"/>
      </w:pPr>
      <w:rPr>
        <w:rFonts w:ascii="Symbol" w:hAnsi="Symbol" w:hint="default"/>
      </w:rPr>
    </w:lvl>
    <w:lvl w:ilvl="7" w:tplc="04070003" w:tentative="1">
      <w:start w:val="1"/>
      <w:numFmt w:val="bullet"/>
      <w:lvlText w:val="o"/>
      <w:lvlJc w:val="left"/>
      <w:pPr>
        <w:ind w:left="6840" w:hanging="360"/>
      </w:pPr>
      <w:rPr>
        <w:rFonts w:ascii="Courier New" w:hAnsi="Courier New" w:cs="Courier New" w:hint="default"/>
      </w:rPr>
    </w:lvl>
    <w:lvl w:ilvl="8" w:tplc="04070005" w:tentative="1">
      <w:start w:val="1"/>
      <w:numFmt w:val="bullet"/>
      <w:lvlText w:val=""/>
      <w:lvlJc w:val="left"/>
      <w:pPr>
        <w:ind w:left="7560" w:hanging="360"/>
      </w:pPr>
      <w:rPr>
        <w:rFonts w:ascii="Wingdings" w:hAnsi="Wingdings" w:hint="default"/>
      </w:rPr>
    </w:lvl>
  </w:abstractNum>
  <w:abstractNum w:abstractNumId="11" w15:restartNumberingAfterBreak="0">
    <w:nsid w:val="3BA4465F"/>
    <w:multiLevelType w:val="hybridMultilevel"/>
    <w:tmpl w:val="D5B884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6B424E"/>
    <w:multiLevelType w:val="hybridMultilevel"/>
    <w:tmpl w:val="F97CC1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52426C96"/>
    <w:multiLevelType w:val="multilevel"/>
    <w:tmpl w:val="52426C96"/>
    <w:lvl w:ilvl="0">
      <w:start w:val="2"/>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551E2613"/>
    <w:multiLevelType w:val="hybridMultilevel"/>
    <w:tmpl w:val="B4ACA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D554752"/>
    <w:multiLevelType w:val="hybridMultilevel"/>
    <w:tmpl w:val="1DD243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EF81EF7"/>
    <w:multiLevelType w:val="hybridMultilevel"/>
    <w:tmpl w:val="284A0460"/>
    <w:lvl w:ilvl="0" w:tplc="3252C8E6">
      <w:numFmt w:val="bullet"/>
      <w:lvlText w:val="-"/>
      <w:lvlJc w:val="left"/>
      <w:pPr>
        <w:ind w:left="721" w:hanging="360"/>
      </w:pPr>
      <w:rPr>
        <w:rFonts w:ascii="Times New Roman" w:eastAsia="SimSun" w:hAnsi="Times New Roman" w:cs="Times New Roman" w:hint="default"/>
      </w:rPr>
    </w:lvl>
    <w:lvl w:ilvl="1" w:tplc="04070003" w:tentative="1">
      <w:start w:val="1"/>
      <w:numFmt w:val="bullet"/>
      <w:lvlText w:val="o"/>
      <w:lvlJc w:val="left"/>
      <w:pPr>
        <w:ind w:left="1441" w:hanging="360"/>
      </w:pPr>
      <w:rPr>
        <w:rFonts w:ascii="Courier New" w:hAnsi="Courier New" w:cs="Courier New" w:hint="default"/>
      </w:rPr>
    </w:lvl>
    <w:lvl w:ilvl="2" w:tplc="04070005" w:tentative="1">
      <w:start w:val="1"/>
      <w:numFmt w:val="bullet"/>
      <w:lvlText w:val=""/>
      <w:lvlJc w:val="left"/>
      <w:pPr>
        <w:ind w:left="2161" w:hanging="360"/>
      </w:pPr>
      <w:rPr>
        <w:rFonts w:ascii="Wingdings" w:hAnsi="Wingdings" w:hint="default"/>
      </w:rPr>
    </w:lvl>
    <w:lvl w:ilvl="3" w:tplc="04070001" w:tentative="1">
      <w:start w:val="1"/>
      <w:numFmt w:val="bullet"/>
      <w:lvlText w:val=""/>
      <w:lvlJc w:val="left"/>
      <w:pPr>
        <w:ind w:left="2881" w:hanging="360"/>
      </w:pPr>
      <w:rPr>
        <w:rFonts w:ascii="Symbol" w:hAnsi="Symbol" w:hint="default"/>
      </w:rPr>
    </w:lvl>
    <w:lvl w:ilvl="4" w:tplc="04070003" w:tentative="1">
      <w:start w:val="1"/>
      <w:numFmt w:val="bullet"/>
      <w:lvlText w:val="o"/>
      <w:lvlJc w:val="left"/>
      <w:pPr>
        <w:ind w:left="3601" w:hanging="360"/>
      </w:pPr>
      <w:rPr>
        <w:rFonts w:ascii="Courier New" w:hAnsi="Courier New" w:cs="Courier New" w:hint="default"/>
      </w:rPr>
    </w:lvl>
    <w:lvl w:ilvl="5" w:tplc="04070005" w:tentative="1">
      <w:start w:val="1"/>
      <w:numFmt w:val="bullet"/>
      <w:lvlText w:val=""/>
      <w:lvlJc w:val="left"/>
      <w:pPr>
        <w:ind w:left="4321" w:hanging="360"/>
      </w:pPr>
      <w:rPr>
        <w:rFonts w:ascii="Wingdings" w:hAnsi="Wingdings" w:hint="default"/>
      </w:rPr>
    </w:lvl>
    <w:lvl w:ilvl="6" w:tplc="04070001" w:tentative="1">
      <w:start w:val="1"/>
      <w:numFmt w:val="bullet"/>
      <w:lvlText w:val=""/>
      <w:lvlJc w:val="left"/>
      <w:pPr>
        <w:ind w:left="5041" w:hanging="360"/>
      </w:pPr>
      <w:rPr>
        <w:rFonts w:ascii="Symbol" w:hAnsi="Symbol" w:hint="default"/>
      </w:rPr>
    </w:lvl>
    <w:lvl w:ilvl="7" w:tplc="04070003" w:tentative="1">
      <w:start w:val="1"/>
      <w:numFmt w:val="bullet"/>
      <w:lvlText w:val="o"/>
      <w:lvlJc w:val="left"/>
      <w:pPr>
        <w:ind w:left="5761" w:hanging="360"/>
      </w:pPr>
      <w:rPr>
        <w:rFonts w:ascii="Courier New" w:hAnsi="Courier New" w:cs="Courier New" w:hint="default"/>
      </w:rPr>
    </w:lvl>
    <w:lvl w:ilvl="8" w:tplc="04070005" w:tentative="1">
      <w:start w:val="1"/>
      <w:numFmt w:val="bullet"/>
      <w:lvlText w:val=""/>
      <w:lvlJc w:val="left"/>
      <w:pPr>
        <w:ind w:left="6481" w:hanging="360"/>
      </w:pPr>
      <w:rPr>
        <w:rFonts w:ascii="Wingdings" w:hAnsi="Wingdings" w:hint="default"/>
      </w:rPr>
    </w:lvl>
  </w:abstractNum>
  <w:abstractNum w:abstractNumId="17" w15:restartNumberingAfterBreak="0">
    <w:nsid w:val="6E1E32F6"/>
    <w:multiLevelType w:val="hybridMultilevel"/>
    <w:tmpl w:val="7E5620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3846A15"/>
    <w:multiLevelType w:val="multilevel"/>
    <w:tmpl w:val="73846A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EBB16C0"/>
    <w:multiLevelType w:val="hybridMultilevel"/>
    <w:tmpl w:val="317852C4"/>
    <w:lvl w:ilvl="0" w:tplc="04070001">
      <w:start w:val="1"/>
      <w:numFmt w:val="bullet"/>
      <w:lvlText w:val=""/>
      <w:lvlJc w:val="left"/>
      <w:pPr>
        <w:ind w:left="2484" w:hanging="360"/>
      </w:pPr>
      <w:rPr>
        <w:rFonts w:ascii="Symbol" w:hAnsi="Symbol" w:hint="default"/>
      </w:rPr>
    </w:lvl>
    <w:lvl w:ilvl="1" w:tplc="04070003" w:tentative="1">
      <w:start w:val="1"/>
      <w:numFmt w:val="bullet"/>
      <w:lvlText w:val="o"/>
      <w:lvlJc w:val="left"/>
      <w:pPr>
        <w:ind w:left="3204" w:hanging="360"/>
      </w:pPr>
      <w:rPr>
        <w:rFonts w:ascii="Courier New" w:hAnsi="Courier New" w:cs="Courier New" w:hint="default"/>
      </w:rPr>
    </w:lvl>
    <w:lvl w:ilvl="2" w:tplc="04070005" w:tentative="1">
      <w:start w:val="1"/>
      <w:numFmt w:val="bullet"/>
      <w:lvlText w:val=""/>
      <w:lvlJc w:val="left"/>
      <w:pPr>
        <w:ind w:left="3924" w:hanging="360"/>
      </w:pPr>
      <w:rPr>
        <w:rFonts w:ascii="Wingdings" w:hAnsi="Wingdings" w:hint="default"/>
      </w:rPr>
    </w:lvl>
    <w:lvl w:ilvl="3" w:tplc="04070001" w:tentative="1">
      <w:start w:val="1"/>
      <w:numFmt w:val="bullet"/>
      <w:lvlText w:val=""/>
      <w:lvlJc w:val="left"/>
      <w:pPr>
        <w:ind w:left="4644" w:hanging="360"/>
      </w:pPr>
      <w:rPr>
        <w:rFonts w:ascii="Symbol" w:hAnsi="Symbol" w:hint="default"/>
      </w:rPr>
    </w:lvl>
    <w:lvl w:ilvl="4" w:tplc="04070003" w:tentative="1">
      <w:start w:val="1"/>
      <w:numFmt w:val="bullet"/>
      <w:lvlText w:val="o"/>
      <w:lvlJc w:val="left"/>
      <w:pPr>
        <w:ind w:left="5364" w:hanging="360"/>
      </w:pPr>
      <w:rPr>
        <w:rFonts w:ascii="Courier New" w:hAnsi="Courier New" w:cs="Courier New" w:hint="default"/>
      </w:rPr>
    </w:lvl>
    <w:lvl w:ilvl="5" w:tplc="04070005" w:tentative="1">
      <w:start w:val="1"/>
      <w:numFmt w:val="bullet"/>
      <w:lvlText w:val=""/>
      <w:lvlJc w:val="left"/>
      <w:pPr>
        <w:ind w:left="6084" w:hanging="360"/>
      </w:pPr>
      <w:rPr>
        <w:rFonts w:ascii="Wingdings" w:hAnsi="Wingdings" w:hint="default"/>
      </w:rPr>
    </w:lvl>
    <w:lvl w:ilvl="6" w:tplc="04070001" w:tentative="1">
      <w:start w:val="1"/>
      <w:numFmt w:val="bullet"/>
      <w:lvlText w:val=""/>
      <w:lvlJc w:val="left"/>
      <w:pPr>
        <w:ind w:left="6804" w:hanging="360"/>
      </w:pPr>
      <w:rPr>
        <w:rFonts w:ascii="Symbol" w:hAnsi="Symbol" w:hint="default"/>
      </w:rPr>
    </w:lvl>
    <w:lvl w:ilvl="7" w:tplc="04070003" w:tentative="1">
      <w:start w:val="1"/>
      <w:numFmt w:val="bullet"/>
      <w:lvlText w:val="o"/>
      <w:lvlJc w:val="left"/>
      <w:pPr>
        <w:ind w:left="7524" w:hanging="360"/>
      </w:pPr>
      <w:rPr>
        <w:rFonts w:ascii="Courier New" w:hAnsi="Courier New" w:cs="Courier New" w:hint="default"/>
      </w:rPr>
    </w:lvl>
    <w:lvl w:ilvl="8" w:tplc="04070005" w:tentative="1">
      <w:start w:val="1"/>
      <w:numFmt w:val="bullet"/>
      <w:lvlText w:val=""/>
      <w:lvlJc w:val="left"/>
      <w:pPr>
        <w:ind w:left="8244" w:hanging="360"/>
      </w:pPr>
      <w:rPr>
        <w:rFonts w:ascii="Wingdings" w:hAnsi="Wingdings" w:hint="default"/>
      </w:rPr>
    </w:lvl>
  </w:abstractNum>
  <w:num w:numId="1">
    <w:abstractNumId w:val="8"/>
  </w:num>
  <w:num w:numId="2">
    <w:abstractNumId w:val="2"/>
  </w:num>
  <w:num w:numId="3">
    <w:abstractNumId w:val="17"/>
  </w:num>
  <w:num w:numId="4">
    <w:abstractNumId w:val="18"/>
  </w:num>
  <w:num w:numId="5">
    <w:abstractNumId w:val="11"/>
  </w:num>
  <w:num w:numId="6">
    <w:abstractNumId w:val="5"/>
  </w:num>
  <w:num w:numId="7">
    <w:abstractNumId w:val="3"/>
  </w:num>
  <w:num w:numId="8">
    <w:abstractNumId w:val="10"/>
  </w:num>
  <w:num w:numId="9">
    <w:abstractNumId w:val="15"/>
  </w:num>
  <w:num w:numId="10">
    <w:abstractNumId w:val="14"/>
  </w:num>
  <w:num w:numId="11">
    <w:abstractNumId w:val="13"/>
  </w:num>
  <w:num w:numId="12">
    <w:abstractNumId w:val="9"/>
  </w:num>
  <w:num w:numId="13">
    <w:abstractNumId w:val="16"/>
  </w:num>
  <w:num w:numId="14">
    <w:abstractNumId w:val="19"/>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num>
  <w:num w:numId="17">
    <w:abstractNumId w:val="1"/>
  </w:num>
  <w:num w:numId="18">
    <w:abstractNumId w:val="12"/>
  </w:num>
  <w:num w:numId="19">
    <w:abstractNumId w:val="4"/>
  </w:num>
  <w:num w:numId="20">
    <w:abstractNumId w:val="6"/>
  </w:num>
  <w:num w:numId="2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2A57"/>
    <w:rsid w:val="000047CF"/>
    <w:rsid w:val="00011495"/>
    <w:rsid w:val="000556F7"/>
    <w:rsid w:val="00090D6C"/>
    <w:rsid w:val="000B1DCD"/>
    <w:rsid w:val="000B564E"/>
    <w:rsid w:val="000D2882"/>
    <w:rsid w:val="001427D6"/>
    <w:rsid w:val="0016385F"/>
    <w:rsid w:val="001C5977"/>
    <w:rsid w:val="001E1EE6"/>
    <w:rsid w:val="001F273D"/>
    <w:rsid w:val="00200575"/>
    <w:rsid w:val="00212600"/>
    <w:rsid w:val="00231EC7"/>
    <w:rsid w:val="0028214B"/>
    <w:rsid w:val="002A70DE"/>
    <w:rsid w:val="002B58ED"/>
    <w:rsid w:val="00354AF8"/>
    <w:rsid w:val="00381CFB"/>
    <w:rsid w:val="003C1AC6"/>
    <w:rsid w:val="003D4704"/>
    <w:rsid w:val="003F22FA"/>
    <w:rsid w:val="003F43A2"/>
    <w:rsid w:val="00442001"/>
    <w:rsid w:val="004554FC"/>
    <w:rsid w:val="0049661F"/>
    <w:rsid w:val="004C5DCD"/>
    <w:rsid w:val="004D018F"/>
    <w:rsid w:val="004F1F0C"/>
    <w:rsid w:val="005268BE"/>
    <w:rsid w:val="00530560"/>
    <w:rsid w:val="005553B0"/>
    <w:rsid w:val="00576738"/>
    <w:rsid w:val="005F55E7"/>
    <w:rsid w:val="00620EBE"/>
    <w:rsid w:val="006330D8"/>
    <w:rsid w:val="0063566E"/>
    <w:rsid w:val="00654004"/>
    <w:rsid w:val="00696267"/>
    <w:rsid w:val="00750F16"/>
    <w:rsid w:val="0078282A"/>
    <w:rsid w:val="007D56B2"/>
    <w:rsid w:val="007F2742"/>
    <w:rsid w:val="008029B6"/>
    <w:rsid w:val="00815E0B"/>
    <w:rsid w:val="00841821"/>
    <w:rsid w:val="00842ED4"/>
    <w:rsid w:val="00845188"/>
    <w:rsid w:val="00862CB2"/>
    <w:rsid w:val="00865F3F"/>
    <w:rsid w:val="008A2A33"/>
    <w:rsid w:val="008B2125"/>
    <w:rsid w:val="00922F52"/>
    <w:rsid w:val="00923ED7"/>
    <w:rsid w:val="009364B6"/>
    <w:rsid w:val="009651EB"/>
    <w:rsid w:val="00982F7B"/>
    <w:rsid w:val="00995F97"/>
    <w:rsid w:val="00996910"/>
    <w:rsid w:val="009B3444"/>
    <w:rsid w:val="009B52C9"/>
    <w:rsid w:val="009F6BA6"/>
    <w:rsid w:val="00A0109D"/>
    <w:rsid w:val="00A45CE0"/>
    <w:rsid w:val="00A54F95"/>
    <w:rsid w:val="00A77A3B"/>
    <w:rsid w:val="00A862BB"/>
    <w:rsid w:val="00AA31D4"/>
    <w:rsid w:val="00AF0F7A"/>
    <w:rsid w:val="00AF7113"/>
    <w:rsid w:val="00B10356"/>
    <w:rsid w:val="00B1321C"/>
    <w:rsid w:val="00B35605"/>
    <w:rsid w:val="00B40990"/>
    <w:rsid w:val="00B52A57"/>
    <w:rsid w:val="00B92A10"/>
    <w:rsid w:val="00BE182E"/>
    <w:rsid w:val="00BF21C4"/>
    <w:rsid w:val="00C44D03"/>
    <w:rsid w:val="00CA2459"/>
    <w:rsid w:val="00CD5F0A"/>
    <w:rsid w:val="00CF5368"/>
    <w:rsid w:val="00CF7C00"/>
    <w:rsid w:val="00D115DA"/>
    <w:rsid w:val="00D2319D"/>
    <w:rsid w:val="00D46BB1"/>
    <w:rsid w:val="00D6749E"/>
    <w:rsid w:val="00D73F4D"/>
    <w:rsid w:val="00DA3741"/>
    <w:rsid w:val="00DC31A3"/>
    <w:rsid w:val="00DD5CD0"/>
    <w:rsid w:val="00DD72CA"/>
    <w:rsid w:val="00E12019"/>
    <w:rsid w:val="00E27003"/>
    <w:rsid w:val="00E5143C"/>
    <w:rsid w:val="00E65376"/>
    <w:rsid w:val="00ED12D2"/>
    <w:rsid w:val="00EE2298"/>
    <w:rsid w:val="00EE26B3"/>
    <w:rsid w:val="00F44D63"/>
    <w:rsid w:val="00FB541C"/>
    <w:rsid w:val="00FB72FF"/>
    <w:rsid w:val="00FF68C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FBA8D6"/>
  <w15:chartTrackingRefBased/>
  <w15:docId w15:val="{F0D3FBF0-A588-45EA-AE4F-BBA8371EB4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B52A57"/>
    <w:pPr>
      <w:autoSpaceDE w:val="0"/>
      <w:autoSpaceDN w:val="0"/>
      <w:adjustRightInd w:val="0"/>
      <w:snapToGrid w:val="0"/>
      <w:spacing w:after="120" w:line="240" w:lineRule="auto"/>
      <w:jc w:val="both"/>
    </w:pPr>
    <w:rPr>
      <w:rFonts w:ascii="Times New Roman" w:eastAsia="SimSun" w:hAnsi="Times New Roman" w:cs="Times New Roman"/>
      <w:lang w:val="en-US"/>
    </w:rPr>
  </w:style>
  <w:style w:type="paragraph" w:styleId="berschrift1">
    <w:name w:val="heading 1"/>
    <w:basedOn w:val="Standard"/>
    <w:next w:val="Standard"/>
    <w:link w:val="berschrift1Zchn"/>
    <w:uiPriority w:val="9"/>
    <w:qFormat/>
    <w:rsid w:val="00B52A57"/>
    <w:pPr>
      <w:keepNext/>
      <w:numPr>
        <w:numId w:val="1"/>
      </w:numPr>
      <w:spacing w:before="120"/>
      <w:outlineLvl w:val="0"/>
    </w:pPr>
    <w:rPr>
      <w:b/>
      <w:bCs/>
      <w:sz w:val="28"/>
      <w:szCs w:val="28"/>
    </w:rPr>
  </w:style>
  <w:style w:type="paragraph" w:styleId="berschrift2">
    <w:name w:val="heading 2"/>
    <w:basedOn w:val="Standard"/>
    <w:next w:val="Standard"/>
    <w:link w:val="berschrift2Zchn"/>
    <w:uiPriority w:val="9"/>
    <w:qFormat/>
    <w:rsid w:val="00B52A57"/>
    <w:pPr>
      <w:keepNext/>
      <w:numPr>
        <w:ilvl w:val="1"/>
        <w:numId w:val="1"/>
      </w:numPr>
      <w:spacing w:before="120"/>
      <w:outlineLvl w:val="1"/>
    </w:pPr>
    <w:rPr>
      <w:b/>
      <w:bCs/>
      <w:sz w:val="24"/>
    </w:rPr>
  </w:style>
  <w:style w:type="paragraph" w:styleId="berschrift3">
    <w:name w:val="heading 3"/>
    <w:basedOn w:val="Standard"/>
    <w:next w:val="Standard"/>
    <w:link w:val="berschrift3Zchn"/>
    <w:uiPriority w:val="9"/>
    <w:qFormat/>
    <w:rsid w:val="00B52A57"/>
    <w:pPr>
      <w:keepNext/>
      <w:numPr>
        <w:ilvl w:val="2"/>
        <w:numId w:val="1"/>
      </w:numPr>
      <w:spacing w:before="120"/>
      <w:outlineLvl w:val="2"/>
    </w:pPr>
    <w:rPr>
      <w:b/>
    </w:rPr>
  </w:style>
  <w:style w:type="paragraph" w:styleId="berschrift4">
    <w:name w:val="heading 4"/>
    <w:basedOn w:val="Standard"/>
    <w:next w:val="Standard"/>
    <w:link w:val="berschrift4Zchn"/>
    <w:uiPriority w:val="9"/>
    <w:qFormat/>
    <w:rsid w:val="00B52A57"/>
    <w:pPr>
      <w:keepNext/>
      <w:numPr>
        <w:ilvl w:val="3"/>
        <w:numId w:val="1"/>
      </w:numPr>
      <w:spacing w:before="120"/>
      <w:outlineLvl w:val="3"/>
    </w:pPr>
    <w:rPr>
      <w:b/>
      <w:bCs/>
      <w:szCs w:val="28"/>
    </w:rPr>
  </w:style>
  <w:style w:type="paragraph" w:styleId="berschrift5">
    <w:name w:val="heading 5"/>
    <w:basedOn w:val="Standard"/>
    <w:next w:val="Standard"/>
    <w:link w:val="berschrift5Zchn"/>
    <w:uiPriority w:val="9"/>
    <w:qFormat/>
    <w:rsid w:val="00B52A57"/>
    <w:pPr>
      <w:keepNext/>
      <w:numPr>
        <w:ilvl w:val="4"/>
        <w:numId w:val="1"/>
      </w:numPr>
      <w:spacing w:before="120"/>
      <w:outlineLvl w:val="4"/>
    </w:pPr>
    <w:rPr>
      <w:b/>
      <w:bCs/>
      <w:i/>
      <w:iCs/>
      <w:szCs w:val="26"/>
    </w:rPr>
  </w:style>
  <w:style w:type="paragraph" w:styleId="berschrift6">
    <w:name w:val="heading 6"/>
    <w:basedOn w:val="Standard"/>
    <w:next w:val="Standard"/>
    <w:link w:val="berschrift6Zchn"/>
    <w:uiPriority w:val="9"/>
    <w:qFormat/>
    <w:rsid w:val="00B52A57"/>
    <w:pPr>
      <w:numPr>
        <w:ilvl w:val="5"/>
        <w:numId w:val="1"/>
      </w:numPr>
      <w:spacing w:before="240" w:after="60"/>
      <w:outlineLvl w:val="5"/>
    </w:pPr>
    <w:rPr>
      <w:b/>
      <w:bCs/>
    </w:rPr>
  </w:style>
  <w:style w:type="paragraph" w:styleId="berschrift7">
    <w:name w:val="heading 7"/>
    <w:basedOn w:val="Standard"/>
    <w:next w:val="Standard"/>
    <w:link w:val="berschrift7Zchn"/>
    <w:uiPriority w:val="9"/>
    <w:qFormat/>
    <w:rsid w:val="00B52A57"/>
    <w:pPr>
      <w:numPr>
        <w:ilvl w:val="6"/>
        <w:numId w:val="1"/>
      </w:numPr>
      <w:spacing w:before="240" w:after="60"/>
      <w:outlineLvl w:val="6"/>
    </w:pPr>
    <w:rPr>
      <w:sz w:val="24"/>
      <w:szCs w:val="24"/>
    </w:rPr>
  </w:style>
  <w:style w:type="paragraph" w:styleId="berschrift8">
    <w:name w:val="heading 8"/>
    <w:basedOn w:val="Standard"/>
    <w:next w:val="Standard"/>
    <w:link w:val="berschrift8Zchn"/>
    <w:uiPriority w:val="9"/>
    <w:qFormat/>
    <w:rsid w:val="00B52A57"/>
    <w:pPr>
      <w:numPr>
        <w:ilvl w:val="7"/>
        <w:numId w:val="1"/>
      </w:numPr>
      <w:spacing w:before="240" w:after="60"/>
      <w:outlineLvl w:val="7"/>
    </w:pPr>
    <w:rPr>
      <w:i/>
      <w:iCs/>
      <w:sz w:val="24"/>
      <w:szCs w:val="24"/>
    </w:rPr>
  </w:style>
  <w:style w:type="paragraph" w:styleId="berschrift9">
    <w:name w:val="heading 9"/>
    <w:basedOn w:val="Standard"/>
    <w:next w:val="Standard"/>
    <w:link w:val="berschrift9Zchn"/>
    <w:uiPriority w:val="9"/>
    <w:qFormat/>
    <w:rsid w:val="00B52A57"/>
    <w:pPr>
      <w:numPr>
        <w:ilvl w:val="8"/>
        <w:numId w:val="1"/>
      </w:numPr>
      <w:spacing w:before="240" w:after="60"/>
      <w:outlineLvl w:val="8"/>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52A57"/>
    <w:rPr>
      <w:rFonts w:ascii="Times New Roman" w:eastAsia="SimSun" w:hAnsi="Times New Roman" w:cs="Times New Roman"/>
      <w:b/>
      <w:bCs/>
      <w:sz w:val="28"/>
      <w:szCs w:val="28"/>
      <w:lang w:val="en-US"/>
    </w:rPr>
  </w:style>
  <w:style w:type="character" w:customStyle="1" w:styleId="berschrift2Zchn">
    <w:name w:val="Überschrift 2 Zchn"/>
    <w:basedOn w:val="Absatz-Standardschriftart"/>
    <w:link w:val="berschrift2"/>
    <w:uiPriority w:val="9"/>
    <w:rsid w:val="00B52A57"/>
    <w:rPr>
      <w:rFonts w:ascii="Times New Roman" w:eastAsia="SimSun" w:hAnsi="Times New Roman" w:cs="Times New Roman"/>
      <w:b/>
      <w:bCs/>
      <w:sz w:val="24"/>
      <w:lang w:val="en-US"/>
    </w:rPr>
  </w:style>
  <w:style w:type="character" w:customStyle="1" w:styleId="berschrift3Zchn">
    <w:name w:val="Überschrift 3 Zchn"/>
    <w:basedOn w:val="Absatz-Standardschriftart"/>
    <w:link w:val="berschrift3"/>
    <w:uiPriority w:val="9"/>
    <w:rsid w:val="00B52A57"/>
    <w:rPr>
      <w:rFonts w:ascii="Times New Roman" w:eastAsia="SimSun" w:hAnsi="Times New Roman" w:cs="Times New Roman"/>
      <w:b/>
      <w:lang w:val="en-US"/>
    </w:rPr>
  </w:style>
  <w:style w:type="character" w:customStyle="1" w:styleId="berschrift4Zchn">
    <w:name w:val="Überschrift 4 Zchn"/>
    <w:basedOn w:val="Absatz-Standardschriftart"/>
    <w:link w:val="berschrift4"/>
    <w:uiPriority w:val="9"/>
    <w:rsid w:val="00B52A57"/>
    <w:rPr>
      <w:rFonts w:ascii="Times New Roman" w:eastAsia="SimSun" w:hAnsi="Times New Roman" w:cs="Times New Roman"/>
      <w:b/>
      <w:bCs/>
      <w:szCs w:val="28"/>
      <w:lang w:val="en-US"/>
    </w:rPr>
  </w:style>
  <w:style w:type="character" w:customStyle="1" w:styleId="berschrift5Zchn">
    <w:name w:val="Überschrift 5 Zchn"/>
    <w:basedOn w:val="Absatz-Standardschriftart"/>
    <w:link w:val="berschrift5"/>
    <w:uiPriority w:val="9"/>
    <w:rsid w:val="00B52A57"/>
    <w:rPr>
      <w:rFonts w:ascii="Times New Roman" w:eastAsia="SimSun" w:hAnsi="Times New Roman" w:cs="Times New Roman"/>
      <w:b/>
      <w:bCs/>
      <w:i/>
      <w:iCs/>
      <w:szCs w:val="26"/>
      <w:lang w:val="en-US"/>
    </w:rPr>
  </w:style>
  <w:style w:type="character" w:customStyle="1" w:styleId="berschrift6Zchn">
    <w:name w:val="Überschrift 6 Zchn"/>
    <w:basedOn w:val="Absatz-Standardschriftart"/>
    <w:link w:val="berschrift6"/>
    <w:uiPriority w:val="9"/>
    <w:rsid w:val="00B52A57"/>
    <w:rPr>
      <w:rFonts w:ascii="Times New Roman" w:eastAsia="SimSun" w:hAnsi="Times New Roman" w:cs="Times New Roman"/>
      <w:b/>
      <w:bCs/>
      <w:lang w:val="en-US"/>
    </w:rPr>
  </w:style>
  <w:style w:type="character" w:customStyle="1" w:styleId="berschrift7Zchn">
    <w:name w:val="Überschrift 7 Zchn"/>
    <w:basedOn w:val="Absatz-Standardschriftart"/>
    <w:link w:val="berschrift7"/>
    <w:uiPriority w:val="9"/>
    <w:rsid w:val="00B52A57"/>
    <w:rPr>
      <w:rFonts w:ascii="Times New Roman" w:eastAsia="SimSun" w:hAnsi="Times New Roman" w:cs="Times New Roman"/>
      <w:sz w:val="24"/>
      <w:szCs w:val="24"/>
      <w:lang w:val="en-US"/>
    </w:rPr>
  </w:style>
  <w:style w:type="character" w:customStyle="1" w:styleId="berschrift8Zchn">
    <w:name w:val="Überschrift 8 Zchn"/>
    <w:basedOn w:val="Absatz-Standardschriftart"/>
    <w:link w:val="berschrift8"/>
    <w:uiPriority w:val="9"/>
    <w:rsid w:val="00B52A57"/>
    <w:rPr>
      <w:rFonts w:ascii="Times New Roman" w:eastAsia="SimSun" w:hAnsi="Times New Roman" w:cs="Times New Roman"/>
      <w:i/>
      <w:iCs/>
      <w:sz w:val="24"/>
      <w:szCs w:val="24"/>
      <w:lang w:val="en-US"/>
    </w:rPr>
  </w:style>
  <w:style w:type="character" w:customStyle="1" w:styleId="berschrift9Zchn">
    <w:name w:val="Überschrift 9 Zchn"/>
    <w:basedOn w:val="Absatz-Standardschriftart"/>
    <w:link w:val="berschrift9"/>
    <w:uiPriority w:val="9"/>
    <w:rsid w:val="00B52A57"/>
    <w:rPr>
      <w:rFonts w:ascii="Arial" w:eastAsia="SimSun" w:hAnsi="Arial" w:cs="Arial"/>
      <w:lang w:val="en-US"/>
    </w:rPr>
  </w:style>
  <w:style w:type="paragraph" w:styleId="Beschriftung">
    <w:name w:val="caption"/>
    <w:aliases w:val="cap,3GPP Caption Table,Caption Char1 Char,cap Char Char1,Caption Char Char1 Char,cap Char2,Ca,cap Char Char Char Char Char Char Char,Caption Char1,Caption Char Char,Caption Char2,Caption Char Char Char,Caption Char Char1,Caption Char"/>
    <w:basedOn w:val="Standard"/>
    <w:next w:val="Standard"/>
    <w:link w:val="BeschriftungZchn"/>
    <w:uiPriority w:val="35"/>
    <w:qFormat/>
    <w:rsid w:val="00B52A57"/>
    <w:pPr>
      <w:jc w:val="center"/>
    </w:pPr>
    <w:rPr>
      <w:b/>
      <w:bCs/>
      <w:sz w:val="20"/>
      <w:szCs w:val="20"/>
    </w:rPr>
  </w:style>
  <w:style w:type="character" w:customStyle="1" w:styleId="BeschriftungZchn">
    <w:name w:val="Beschriftung Zchn"/>
    <w:aliases w:val="cap Zchn,3GPP Caption Table Zchn,Caption Char1 Char Zchn,cap Char Char1 Zchn,Caption Char Char1 Char Zchn,cap Char2 Zchn,Ca Zchn,cap Char Char Char Char Char Char Char Zchn,Caption Char1 Zchn,Caption Char Char Zchn,Caption Char2 Zchn"/>
    <w:basedOn w:val="Absatz-Standardschriftart"/>
    <w:link w:val="Beschriftung"/>
    <w:uiPriority w:val="35"/>
    <w:rsid w:val="00B52A57"/>
    <w:rPr>
      <w:rFonts w:ascii="Times New Roman" w:eastAsia="SimSun" w:hAnsi="Times New Roman" w:cs="Times New Roman"/>
      <w:b/>
      <w:bCs/>
      <w:sz w:val="20"/>
      <w:szCs w:val="20"/>
      <w:lang w:val="en-US"/>
    </w:rPr>
  </w:style>
  <w:style w:type="table" w:styleId="Tabellenraster">
    <w:name w:val="Table Grid"/>
    <w:basedOn w:val="NormaleTabelle"/>
    <w:uiPriority w:val="39"/>
    <w:rsid w:val="00B52A57"/>
    <w:pPr>
      <w:widowControl w:val="0"/>
      <w:autoSpaceDE w:val="0"/>
      <w:autoSpaceDN w:val="0"/>
      <w:adjustRightInd w:val="0"/>
      <w:spacing w:after="120" w:line="240" w:lineRule="auto"/>
      <w:jc w:val="both"/>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
    <w:basedOn w:val="Standard"/>
    <w:link w:val="ListenabsatzZchn"/>
    <w:uiPriority w:val="34"/>
    <w:qFormat/>
    <w:rsid w:val="00B52A57"/>
    <w:pPr>
      <w:ind w:firstLineChars="200" w:firstLine="420"/>
    </w:p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rsid w:val="00B52A57"/>
    <w:rPr>
      <w:rFonts w:ascii="Times New Roman" w:eastAsia="SimSun" w:hAnsi="Times New Roman" w:cs="Times New Roman"/>
      <w:lang w:val="en-US"/>
    </w:rPr>
  </w:style>
  <w:style w:type="paragraph" w:styleId="Abbildungsverzeichnis">
    <w:name w:val="table of figures"/>
    <w:basedOn w:val="Standard"/>
    <w:next w:val="Standard"/>
    <w:uiPriority w:val="99"/>
    <w:unhideWhenUsed/>
    <w:rsid w:val="004C5DCD"/>
    <w:pPr>
      <w:spacing w:after="0"/>
    </w:pPr>
  </w:style>
  <w:style w:type="character" w:styleId="Hyperlink">
    <w:name w:val="Hyperlink"/>
    <w:basedOn w:val="Absatz-Standardschriftart"/>
    <w:uiPriority w:val="99"/>
    <w:unhideWhenUsed/>
    <w:rsid w:val="004C5DCD"/>
    <w:rPr>
      <w:color w:val="0563C1" w:themeColor="hyperlink"/>
      <w:u w:val="single"/>
    </w:rPr>
  </w:style>
  <w:style w:type="paragraph" w:styleId="Kopfzeile">
    <w:name w:val="header"/>
    <w:basedOn w:val="Standard"/>
    <w:link w:val="KopfzeileZchn"/>
    <w:uiPriority w:val="99"/>
    <w:unhideWhenUsed/>
    <w:rsid w:val="009F6BA6"/>
    <w:pPr>
      <w:tabs>
        <w:tab w:val="center" w:pos="4703"/>
        <w:tab w:val="right" w:pos="9406"/>
      </w:tabs>
      <w:spacing w:after="0"/>
    </w:pPr>
  </w:style>
  <w:style w:type="character" w:customStyle="1" w:styleId="KopfzeileZchn">
    <w:name w:val="Kopfzeile Zchn"/>
    <w:basedOn w:val="Absatz-Standardschriftart"/>
    <w:link w:val="Kopfzeile"/>
    <w:uiPriority w:val="99"/>
    <w:rsid w:val="009F6BA6"/>
    <w:rPr>
      <w:rFonts w:ascii="Times New Roman" w:eastAsia="SimSun" w:hAnsi="Times New Roman" w:cs="Times New Roman"/>
      <w:lang w:val="en-US"/>
    </w:rPr>
  </w:style>
  <w:style w:type="paragraph" w:styleId="Fuzeile">
    <w:name w:val="footer"/>
    <w:basedOn w:val="Standard"/>
    <w:link w:val="FuzeileZchn"/>
    <w:uiPriority w:val="99"/>
    <w:unhideWhenUsed/>
    <w:rsid w:val="009F6BA6"/>
    <w:pPr>
      <w:tabs>
        <w:tab w:val="center" w:pos="4703"/>
        <w:tab w:val="right" w:pos="9406"/>
      </w:tabs>
      <w:spacing w:after="0"/>
    </w:pPr>
  </w:style>
  <w:style w:type="character" w:customStyle="1" w:styleId="FuzeileZchn">
    <w:name w:val="Fußzeile Zchn"/>
    <w:basedOn w:val="Absatz-Standardschriftart"/>
    <w:link w:val="Fuzeile"/>
    <w:uiPriority w:val="99"/>
    <w:rsid w:val="009F6BA6"/>
    <w:rPr>
      <w:rFonts w:ascii="Times New Roman" w:eastAsia="SimSun" w:hAnsi="Times New Roman" w:cs="Times New Roman"/>
      <w:lang w:val="en-US"/>
    </w:rPr>
  </w:style>
  <w:style w:type="paragraph" w:styleId="Sprechblasentext">
    <w:name w:val="Balloon Text"/>
    <w:basedOn w:val="Standard"/>
    <w:link w:val="SprechblasentextZchn"/>
    <w:uiPriority w:val="99"/>
    <w:semiHidden/>
    <w:unhideWhenUsed/>
    <w:rsid w:val="00D6749E"/>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6749E"/>
    <w:rPr>
      <w:rFonts w:ascii="Segoe UI" w:eastAsia="SimSun" w:hAnsi="Segoe UI" w:cs="Segoe UI"/>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1695222">
      <w:bodyDiv w:val="1"/>
      <w:marLeft w:val="0"/>
      <w:marRight w:val="0"/>
      <w:marTop w:val="0"/>
      <w:marBottom w:val="0"/>
      <w:divBdr>
        <w:top w:val="none" w:sz="0" w:space="0" w:color="auto"/>
        <w:left w:val="none" w:sz="0" w:space="0" w:color="auto"/>
        <w:bottom w:val="none" w:sz="0" w:space="0" w:color="auto"/>
        <w:right w:val="none" w:sz="0" w:space="0" w:color="auto"/>
      </w:divBdr>
    </w:div>
    <w:div w:id="1062142530">
      <w:bodyDiv w:val="1"/>
      <w:marLeft w:val="0"/>
      <w:marRight w:val="0"/>
      <w:marTop w:val="0"/>
      <w:marBottom w:val="0"/>
      <w:divBdr>
        <w:top w:val="none" w:sz="0" w:space="0" w:color="auto"/>
        <w:left w:val="none" w:sz="0" w:space="0" w:color="auto"/>
        <w:bottom w:val="none" w:sz="0" w:space="0" w:color="auto"/>
        <w:right w:val="none" w:sz="0" w:space="0" w:color="auto"/>
      </w:divBdr>
    </w:div>
    <w:div w:id="1082096702">
      <w:bodyDiv w:val="1"/>
      <w:marLeft w:val="0"/>
      <w:marRight w:val="0"/>
      <w:marTop w:val="0"/>
      <w:marBottom w:val="0"/>
      <w:divBdr>
        <w:top w:val="none" w:sz="0" w:space="0" w:color="auto"/>
        <w:left w:val="none" w:sz="0" w:space="0" w:color="auto"/>
        <w:bottom w:val="none" w:sz="0" w:space="0" w:color="auto"/>
        <w:right w:val="none" w:sz="0" w:space="0" w:color="auto"/>
      </w:divBdr>
    </w:div>
    <w:div w:id="1300182696">
      <w:bodyDiv w:val="1"/>
      <w:marLeft w:val="0"/>
      <w:marRight w:val="0"/>
      <w:marTop w:val="0"/>
      <w:marBottom w:val="0"/>
      <w:divBdr>
        <w:top w:val="none" w:sz="0" w:space="0" w:color="auto"/>
        <w:left w:val="none" w:sz="0" w:space="0" w:color="auto"/>
        <w:bottom w:val="none" w:sz="0" w:space="0" w:color="auto"/>
        <w:right w:val="none" w:sz="0" w:space="0" w:color="auto"/>
      </w:divBdr>
      <w:divsChild>
        <w:div w:id="1080366644">
          <w:marLeft w:val="0"/>
          <w:marRight w:val="0"/>
          <w:marTop w:val="0"/>
          <w:marBottom w:val="0"/>
          <w:divBdr>
            <w:top w:val="none" w:sz="0" w:space="0" w:color="auto"/>
            <w:left w:val="none" w:sz="0" w:space="0" w:color="auto"/>
            <w:bottom w:val="none" w:sz="0" w:space="0" w:color="auto"/>
            <w:right w:val="none" w:sz="0" w:space="0" w:color="auto"/>
          </w:divBdr>
        </w:div>
      </w:divsChild>
    </w:div>
    <w:div w:id="1491172356">
      <w:bodyDiv w:val="1"/>
      <w:marLeft w:val="0"/>
      <w:marRight w:val="0"/>
      <w:marTop w:val="0"/>
      <w:marBottom w:val="0"/>
      <w:divBdr>
        <w:top w:val="none" w:sz="0" w:space="0" w:color="auto"/>
        <w:left w:val="none" w:sz="0" w:space="0" w:color="auto"/>
        <w:bottom w:val="none" w:sz="0" w:space="0" w:color="auto"/>
        <w:right w:val="none" w:sz="0" w:space="0" w:color="auto"/>
      </w:divBdr>
    </w:div>
    <w:div w:id="16354044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F56CE3-A4FC-4D37-B00D-C374B2CB4E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1129</Words>
  <Characters>6438</Characters>
  <Application>Microsoft Office Word</Application>
  <DocSecurity>0</DocSecurity>
  <Lines>53</Lines>
  <Paragraphs>15</Paragraphs>
  <ScaleCrop>false</ScaleCrop>
  <HeadingPairs>
    <vt:vector size="2" baseType="variant">
      <vt:variant>
        <vt:lpstr>Titel</vt:lpstr>
      </vt:variant>
      <vt:variant>
        <vt:i4>1</vt:i4>
      </vt:variant>
    </vt:vector>
  </HeadingPairs>
  <TitlesOfParts>
    <vt:vector size="1" baseType="lpstr">
      <vt:lpstr/>
    </vt:vector>
  </TitlesOfParts>
  <Company>Fraunhofer IIS</Company>
  <LinksUpToDate>false</LinksUpToDate>
  <CharactersWithSpaces>7552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Momani, Mohammad</dc:creator>
  <cp:keywords/>
  <dc:description/>
  <cp:lastModifiedBy>Alawieh, Mohammad</cp:lastModifiedBy>
  <cp:revision>4</cp:revision>
  <dcterms:created xsi:type="dcterms:W3CDTF">2021-10-01T17:15:00Z</dcterms:created>
  <dcterms:modified xsi:type="dcterms:W3CDTF">2021-10-01T17:23:00Z</dcterms:modified>
</cp:coreProperties>
</file>