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49DAE" w14:textId="60F58242" w:rsidR="003C6591" w:rsidRPr="00FC0A61" w:rsidRDefault="003C6591" w:rsidP="003C6591">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6-bis-e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72449A">
        <w:rPr>
          <w:rFonts w:ascii="Arial" w:hAnsi="Arial" w:cs="Arial"/>
          <w:b/>
          <w:bCs/>
          <w:sz w:val="28"/>
          <w:lang w:eastAsia="zh-CN"/>
        </w:rPr>
        <w:t>09774</w:t>
      </w:r>
      <w:r>
        <w:rPr>
          <w:rFonts w:ascii="Arial" w:hAnsi="Arial" w:cs="Arial"/>
          <w:b/>
          <w:bCs/>
          <w:sz w:val="28"/>
          <w:lang w:eastAsia="zh-CN"/>
        </w:rPr>
        <w:t xml:space="preserve">    E-meeting October.11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C6591"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134B6C02"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187205">
        <w:rPr>
          <w:rFonts w:ascii="Arial" w:hAnsi="Arial" w:cs="Arial"/>
          <w:b/>
          <w:kern w:val="2"/>
          <w:sz w:val="24"/>
          <w:lang w:eastAsia="zh-CN"/>
        </w:rPr>
        <w:t>Enhancements</w:t>
      </w:r>
      <w:r w:rsidR="00187205" w:rsidRPr="00986E78">
        <w:rPr>
          <w:rFonts w:ascii="Arial" w:hAnsi="Arial" w:cs="Arial"/>
          <w:b/>
          <w:kern w:val="2"/>
          <w:sz w:val="24"/>
          <w:lang w:eastAsia="zh-CN"/>
        </w:rPr>
        <w:t xml:space="preserve"> </w:t>
      </w:r>
      <w:r w:rsidR="00A46A20" w:rsidRPr="00986E78">
        <w:rPr>
          <w:rFonts w:ascii="Arial" w:hAnsi="Arial" w:cs="Arial"/>
          <w:b/>
          <w:kern w:val="2"/>
          <w:sz w:val="24"/>
          <w:lang w:eastAsia="zh-CN"/>
        </w:rPr>
        <w:t xml:space="preserve">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187205" w:rsidRDefault="00842220" w:rsidP="00367372">
      <w:pPr>
        <w:pStyle w:val="Heading1"/>
        <w:spacing w:before="80" w:after="80"/>
        <w:ind w:left="431" w:hanging="431"/>
        <w:rPr>
          <w:rFonts w:ascii="Arial" w:hAnsi="Arial" w:cs="Arial"/>
          <w:lang w:eastAsia="zh-CN"/>
        </w:rPr>
      </w:pPr>
      <w:r w:rsidRPr="00187205">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3FD0055D"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r w:rsidR="0072449A">
              <w:rPr>
                <w:rFonts w:ascii="Times New Roman" w:hAnsi="Times New Roman" w:cs="Times New Roman"/>
                <w:sz w:val="20"/>
                <w:szCs w:val="20"/>
              </w:rPr>
              <w:t xml:space="preserve"> </w:t>
            </w:r>
            <w:r w:rsidR="0072449A" w:rsidRPr="0072449A">
              <w:rPr>
                <w:rFonts w:ascii="Times New Roman" w:hAnsi="Times New Roman" w:cs="Times New Roman"/>
                <w:sz w:val="20"/>
                <w:szCs w:val="20"/>
              </w:rPr>
              <w:t>based on Rel-15/16 TCI framework</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ListParagraph"/>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342BD1F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w:t>
      </w:r>
      <w:r>
        <w:rPr>
          <w:sz w:val="20"/>
          <w:lang w:eastAsia="zh-CN"/>
        </w:rPr>
        <w:t>, i.e. 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68C2983A" w14:textId="50476526" w:rsidR="0063077D" w:rsidRDefault="0063077D" w:rsidP="006307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5E004136" w14:textId="029B799F" w:rsidR="00FF505B" w:rsidRDefault="00FF505B" w:rsidP="00FF505B">
      <w:pPr>
        <w:spacing w:after="80"/>
        <w:rPr>
          <w:sz w:val="20"/>
          <w:lang w:eastAsia="ja-JP"/>
        </w:rPr>
      </w:pPr>
      <w:r w:rsidRPr="00B2515D">
        <w:rPr>
          <w:sz w:val="20"/>
          <w:lang w:eastAsia="ja-JP"/>
        </w:rPr>
        <w:t>In Rel.15</w:t>
      </w:r>
      <w:r>
        <w:rPr>
          <w:sz w:val="20"/>
          <w:lang w:eastAsia="ja-JP"/>
        </w:rPr>
        <w:t>/16</w:t>
      </w:r>
      <w:r w:rsidRPr="00B2515D">
        <w:rPr>
          <w:sz w:val="20"/>
          <w:lang w:eastAsia="ja-JP"/>
        </w:rPr>
        <w:t xml:space="preserve">,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Pr>
          <w:sz w:val="20"/>
          <w:lang w:eastAsia="ja-JP"/>
        </w:rPr>
        <w:t>put any constraint on</w:t>
      </w:r>
      <w:r w:rsidRPr="00B2515D">
        <w:rPr>
          <w:sz w:val="20"/>
          <w:lang w:eastAsia="ja-JP"/>
        </w:rPr>
        <w:t xml:space="preserve"> whether the two reported beams come from </w:t>
      </w:r>
      <w:r>
        <w:rPr>
          <w:sz w:val="20"/>
          <w:lang w:eastAsia="ja-JP"/>
        </w:rPr>
        <w:t xml:space="preserve">either </w:t>
      </w:r>
      <w:r w:rsidRPr="00B2515D">
        <w:rPr>
          <w:sz w:val="20"/>
          <w:lang w:eastAsia="ja-JP"/>
        </w:rPr>
        <w:t xml:space="preserve">a single TRP or separated TRPs. In addition, </w:t>
      </w:r>
      <w:r>
        <w:rPr>
          <w:sz w:val="20"/>
          <w:lang w:eastAsia="ja-JP"/>
        </w:rPr>
        <w:t xml:space="preserve">there is </w:t>
      </w:r>
      <w:r w:rsidRPr="00B2515D">
        <w:rPr>
          <w:sz w:val="20"/>
          <w:lang w:eastAsia="ja-JP"/>
        </w:rPr>
        <w:t xml:space="preserve">no information from NW side </w:t>
      </w:r>
      <w:r>
        <w:rPr>
          <w:sz w:val="20"/>
          <w:lang w:eastAsia="ja-JP"/>
        </w:rPr>
        <w:t xml:space="preserve">on </w:t>
      </w:r>
      <w:r w:rsidRPr="00B2515D">
        <w:rPr>
          <w:sz w:val="20"/>
          <w:lang w:eastAsia="ja-JP"/>
        </w:rPr>
        <w:t xml:space="preserve">whether the reported </w:t>
      </w:r>
      <w:r>
        <w:rPr>
          <w:sz w:val="20"/>
          <w:lang w:eastAsia="ja-JP"/>
        </w:rPr>
        <w:t xml:space="preserve">Q </w:t>
      </w:r>
      <w:r w:rsidRPr="00B2515D">
        <w:rPr>
          <w:sz w:val="20"/>
          <w:lang w:eastAsia="ja-JP"/>
        </w:rPr>
        <w:t>beams can be transmitted by gNB simultaneously</w:t>
      </w:r>
      <w:r>
        <w:rPr>
          <w:sz w:val="20"/>
          <w:lang w:eastAsia="ja-JP"/>
        </w:rPr>
        <w:t xml:space="preserve"> or not</w:t>
      </w:r>
      <w:r w:rsidRPr="00B2515D">
        <w:rPr>
          <w:sz w:val="20"/>
          <w:lang w:eastAsia="ja-JP"/>
        </w:rPr>
        <w:t xml:space="preserve">. </w:t>
      </w:r>
    </w:p>
    <w:p w14:paraId="0121D3D3" w14:textId="601765C9" w:rsidR="00F932BE" w:rsidRDefault="00F932BE" w:rsidP="00F932BE">
      <w:pPr>
        <w:spacing w:before="120"/>
        <w:jc w:val="center"/>
      </w:pPr>
      <w:r>
        <w:object w:dxaOrig="10230" w:dyaOrig="3510" w14:anchorId="69FF4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111.95pt" o:ole="">
            <v:imagedata r:id="rId12" o:title=""/>
          </v:shape>
          <o:OLEObject Type="Embed" ProgID="Visio.Drawing.15" ShapeID="_x0000_i1025" DrawAspect="Content" ObjectID="_1694531968" r:id="rId13"/>
        </w:object>
      </w:r>
    </w:p>
    <w:p w14:paraId="09C7F96E" w14:textId="3D2E5B01" w:rsidR="00F932BE" w:rsidRDefault="00F932BE" w:rsidP="00F932BE">
      <w:pPr>
        <w:pStyle w:val="Caption"/>
        <w:numPr>
          <w:ilvl w:val="0"/>
          <w:numId w:val="10"/>
        </w:numPr>
        <w:spacing w:after="80"/>
        <w:rPr>
          <w:rFonts w:ascii="Arial" w:hAnsi="Arial" w:cs="Arial"/>
          <w:sz w:val="18"/>
        </w:rPr>
      </w:pPr>
      <w:r>
        <w:rPr>
          <w:rFonts w:ascii="Arial" w:hAnsi="Arial" w:cs="Arial"/>
          <w:sz w:val="18"/>
        </w:rPr>
        <w:t>:</w:t>
      </w:r>
      <w:r w:rsidRPr="00986E78">
        <w:rPr>
          <w:rFonts w:ascii="Arial" w:hAnsi="Arial" w:cs="Arial"/>
          <w:sz w:val="18"/>
        </w:rPr>
        <w:t xml:space="preserve"> </w:t>
      </w:r>
      <w:r>
        <w:rPr>
          <w:rFonts w:ascii="Arial" w:hAnsi="Arial" w:cs="Arial"/>
          <w:sz w:val="18"/>
        </w:rPr>
        <w:t>t</w:t>
      </w:r>
      <w:r w:rsidRPr="00986E78">
        <w:rPr>
          <w:rFonts w:ascii="Arial" w:hAnsi="Arial" w:cs="Arial"/>
          <w:sz w:val="18"/>
        </w:rPr>
        <w:t>he group-based beam reporting for multi-TRP</w:t>
      </w:r>
    </w:p>
    <w:p w14:paraId="21956BFB" w14:textId="5EB97EE1" w:rsidR="00F932BE" w:rsidRPr="006B5B5C" w:rsidRDefault="00F932BE" w:rsidP="006B5B5C">
      <w:pPr>
        <w:pStyle w:val="ListParagraph"/>
        <w:numPr>
          <w:ilvl w:val="0"/>
          <w:numId w:val="14"/>
        </w:numPr>
        <w:spacing w:after="80"/>
        <w:ind w:left="0" w:firstLine="0"/>
        <w:rPr>
          <w:rFonts w:ascii="Arial" w:hAnsi="Arial" w:cs="Arial"/>
          <w:sz w:val="24"/>
          <w:szCs w:val="24"/>
        </w:rPr>
      </w:pPr>
      <w:r w:rsidRPr="006B5B5C">
        <w:rPr>
          <w:rFonts w:ascii="Arial" w:hAnsi="Arial" w:cs="Arial"/>
          <w:sz w:val="24"/>
          <w:szCs w:val="24"/>
        </w:rPr>
        <w:lastRenderedPageBreak/>
        <w:t xml:space="preserve"> </w:t>
      </w:r>
      <w:r w:rsidRPr="006B5B5C">
        <w:rPr>
          <w:rFonts w:ascii="Arial" w:hAnsi="Arial" w:cs="Arial"/>
          <w:b/>
          <w:sz w:val="22"/>
        </w:rPr>
        <w:t xml:space="preserve">In Rel.15/16, the group-based beam reporting was not tailored for multi-TRP operation as illustrated in </w:t>
      </w:r>
      <w:r w:rsidRPr="006B5B5C">
        <w:rPr>
          <w:rFonts w:ascii="Arial" w:hAnsi="Arial" w:cs="Arial"/>
          <w:b/>
          <w:sz w:val="22"/>
        </w:rPr>
        <w:fldChar w:fldCharType="begin"/>
      </w:r>
      <w:r w:rsidRPr="006B5B5C">
        <w:rPr>
          <w:rFonts w:ascii="Arial" w:hAnsi="Arial" w:cs="Arial"/>
          <w:b/>
          <w:sz w:val="22"/>
        </w:rPr>
        <w:instrText xml:space="preserve"> REF _Ref70427865 \r \h  \* MERGEFORMAT </w:instrText>
      </w:r>
      <w:r w:rsidRPr="006B5B5C">
        <w:rPr>
          <w:rFonts w:ascii="Arial" w:hAnsi="Arial" w:cs="Arial"/>
          <w:b/>
          <w:sz w:val="22"/>
        </w:rPr>
      </w:r>
      <w:r w:rsidRPr="006B5B5C">
        <w:rPr>
          <w:rFonts w:ascii="Arial" w:hAnsi="Arial" w:cs="Arial"/>
          <w:b/>
          <w:sz w:val="22"/>
        </w:rPr>
        <w:fldChar w:fldCharType="separate"/>
      </w:r>
      <w:r w:rsidRPr="006B5B5C">
        <w:rPr>
          <w:rFonts w:ascii="Arial" w:hAnsi="Arial" w:cs="Arial"/>
          <w:b/>
          <w:sz w:val="22"/>
        </w:rPr>
        <w:t>Figure 1</w:t>
      </w:r>
      <w:r w:rsidRPr="006B5B5C">
        <w:rPr>
          <w:rFonts w:ascii="Arial" w:hAnsi="Arial" w:cs="Arial"/>
          <w:b/>
          <w:sz w:val="22"/>
        </w:rPr>
        <w:fldChar w:fldCharType="end"/>
      </w:r>
      <w:r w:rsidRPr="006B5B5C">
        <w:rPr>
          <w:rFonts w:ascii="Arial" w:hAnsi="Arial" w:cs="Arial"/>
          <w:b/>
          <w:sz w:val="22"/>
        </w:rPr>
        <w:t>.</w:t>
      </w:r>
    </w:p>
    <w:p w14:paraId="68603753" w14:textId="06C4E853" w:rsidR="00AA6CB3" w:rsidRDefault="00F932BE" w:rsidP="00F24068">
      <w:pPr>
        <w:spacing w:after="80"/>
        <w:rPr>
          <w:sz w:val="20"/>
          <w:szCs w:val="20"/>
          <w:lang w:eastAsia="ja-JP"/>
        </w:rPr>
      </w:pPr>
      <w:r>
        <w:rPr>
          <w:sz w:val="20"/>
          <w:szCs w:val="20"/>
          <w:lang w:eastAsia="ja-JP"/>
        </w:rPr>
        <w:t>In</w:t>
      </w:r>
      <w:r w:rsidRPr="00F932BE">
        <w:rPr>
          <w:sz w:val="20"/>
          <w:szCs w:val="20"/>
          <w:lang w:eastAsia="ja-JP"/>
        </w:rPr>
        <w:t xml:space="preserve"> </w:t>
      </w:r>
      <w:r>
        <w:rPr>
          <w:sz w:val="20"/>
          <w:szCs w:val="20"/>
          <w:lang w:eastAsia="ja-JP"/>
        </w:rPr>
        <w:t>Rel.15/16</w:t>
      </w:r>
      <w:r w:rsidRPr="00F932BE">
        <w:rPr>
          <w:sz w:val="20"/>
          <w:szCs w:val="20"/>
          <w:lang w:eastAsia="ja-JP"/>
        </w:rPr>
        <w:t xml:space="preserve">, the specified group-based beam reporting (only one beam group and up to 2 Tx beams per group) seems not flexible enough in the sense of NW scheduling. The reason lies in the fact that NW is only aware of single DL Tx beam group from UE, thereby the choice for selecting </w:t>
      </w:r>
      <w:r w:rsidR="00AA6CB3">
        <w:rPr>
          <w:sz w:val="20"/>
          <w:szCs w:val="20"/>
          <w:lang w:eastAsia="ja-JP"/>
        </w:rPr>
        <w:t xml:space="preserve">multiple </w:t>
      </w:r>
      <w:r w:rsidRPr="00F932BE">
        <w:rPr>
          <w:sz w:val="20"/>
          <w:szCs w:val="20"/>
          <w:lang w:eastAsia="ja-JP"/>
        </w:rPr>
        <w:t>DL Tx beams from different TRPs is very limited.</w:t>
      </w:r>
      <w:r>
        <w:rPr>
          <w:sz w:val="20"/>
          <w:szCs w:val="20"/>
          <w:lang w:eastAsia="ja-JP"/>
        </w:rPr>
        <w:t xml:space="preserve"> </w:t>
      </w:r>
    </w:p>
    <w:p w14:paraId="08A4987A" w14:textId="5099255F" w:rsidR="0063077D" w:rsidRPr="00952094" w:rsidRDefault="00AA6CB3" w:rsidP="00952094">
      <w:pPr>
        <w:pStyle w:val="ListParagraph"/>
        <w:numPr>
          <w:ilvl w:val="0"/>
          <w:numId w:val="14"/>
        </w:numPr>
        <w:spacing w:before="80" w:after="80"/>
        <w:ind w:left="0" w:firstLine="0"/>
        <w:rPr>
          <w:sz w:val="20"/>
          <w:szCs w:val="20"/>
          <w:lang w:eastAsia="ja-JP"/>
        </w:rPr>
      </w:pPr>
      <w:r>
        <w:rPr>
          <w:rFonts w:ascii="Arial" w:hAnsi="Arial" w:cs="Arial"/>
          <w:b/>
          <w:sz w:val="22"/>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3D4BFE6D" w14:textId="63FC41C6" w:rsidR="0063077D" w:rsidRPr="00986E78" w:rsidRDefault="0029390D" w:rsidP="0063077D">
      <w:pPr>
        <w:pStyle w:val="Heading2"/>
        <w:rPr>
          <w:rFonts w:ascii="Arial" w:hAnsi="Arial" w:cs="Arial"/>
          <w:szCs w:val="24"/>
          <w:lang w:eastAsia="ja-JP"/>
        </w:rPr>
      </w:pPr>
      <w:r>
        <w:rPr>
          <w:rFonts w:ascii="Arial" w:hAnsi="Arial" w:cs="Arial"/>
          <w:szCs w:val="24"/>
          <w:lang w:eastAsia="ja-JP"/>
        </w:rPr>
        <w:t>Options (Other than Option2)</w:t>
      </w:r>
    </w:p>
    <w:p w14:paraId="1F60857F" w14:textId="1A2D9A60" w:rsidR="00154E2A" w:rsidRDefault="00154E2A" w:rsidP="0063077D">
      <w:pPr>
        <w:rPr>
          <w:sz w:val="20"/>
          <w:lang w:eastAsia="ja-JP"/>
        </w:rPr>
      </w:pPr>
      <w:r>
        <w:rPr>
          <w:sz w:val="20"/>
        </w:rPr>
        <w:t>In RAN1#10</w:t>
      </w:r>
      <w:r w:rsidR="00804A60">
        <w:rPr>
          <w:rFonts w:hint="eastAsia"/>
          <w:sz w:val="20"/>
          <w:lang w:eastAsia="zh-CN"/>
        </w:rPr>
        <w:t>4</w:t>
      </w:r>
      <w:r>
        <w:rPr>
          <w:sz w:val="20"/>
        </w:rPr>
        <w:t>e</w:t>
      </w:r>
      <w:r w:rsidRPr="00860EC3">
        <w:rPr>
          <w:sz w:val="20"/>
        </w:rPr>
        <w:t>,</w:t>
      </w:r>
      <w:r>
        <w:rPr>
          <w:sz w:val="20"/>
        </w:rPr>
        <w:t xml:space="preserve"> </w:t>
      </w:r>
      <w:r w:rsidR="00804A60">
        <w:rPr>
          <w:rFonts w:hint="eastAsia"/>
          <w:sz w:val="20"/>
          <w:lang w:eastAsia="zh-CN"/>
        </w:rPr>
        <w:t>3</w:t>
      </w:r>
      <w:r w:rsidR="00804A60">
        <w:rPr>
          <w:sz w:val="20"/>
        </w:rPr>
        <w:t xml:space="preserve"> </w:t>
      </w:r>
      <w:r w:rsidR="00804A60">
        <w:rPr>
          <w:rFonts w:hint="eastAsia"/>
          <w:sz w:val="20"/>
          <w:lang w:eastAsia="zh-CN"/>
        </w:rPr>
        <w:t>options</w:t>
      </w:r>
      <w:r w:rsidR="00804A60">
        <w:rPr>
          <w:sz w:val="20"/>
          <w:lang w:eastAsia="zh-CN"/>
        </w:rPr>
        <w:t xml:space="preserve"> of </w:t>
      </w:r>
      <w:r>
        <w:rPr>
          <w:sz w:val="20"/>
        </w:rPr>
        <w:t xml:space="preserve">group-based beam reporting </w:t>
      </w:r>
      <w:r w:rsidR="00804A60">
        <w:rPr>
          <w:sz w:val="20"/>
        </w:rPr>
        <w:t xml:space="preserve">were thoroughly </w:t>
      </w:r>
      <w:r w:rsidR="002D0C89">
        <w:rPr>
          <w:sz w:val="20"/>
        </w:rPr>
        <w:t xml:space="preserve">analyzed and </w:t>
      </w:r>
      <w:r w:rsidR="00804A60">
        <w:rPr>
          <w:sz w:val="20"/>
        </w:rPr>
        <w:t>discussed. Finally, Option 2 was agreed considering its easy usage at NW side, and Option 1 and Option 3 were under FFS</w:t>
      </w:r>
      <w:r w:rsidR="002D0C89">
        <w:rPr>
          <w:sz w:val="20"/>
        </w:rPr>
        <w:t xml:space="preserve"> as in following agreements</w:t>
      </w:r>
      <w:r w:rsidR="00804A60">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56496C28"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r w:rsidR="00804A60" w:rsidRPr="006B5B5C">
              <w:rPr>
                <w:rFonts w:ascii="Times" w:eastAsia="Batang" w:hAnsi="Times"/>
                <w:b/>
                <w:sz w:val="20"/>
                <w:szCs w:val="24"/>
                <w:lang w:val="en-GB"/>
              </w:rPr>
              <w:t xml:space="preserve"> (</w:t>
            </w:r>
            <w:r w:rsidR="00804A60">
              <w:rPr>
                <w:rFonts w:ascii="Times" w:eastAsia="Batang" w:hAnsi="Times"/>
                <w:b/>
                <w:sz w:val="20"/>
                <w:szCs w:val="24"/>
                <w:lang w:val="en-GB"/>
              </w:rPr>
              <w:t>RAN1#103e</w:t>
            </w:r>
            <w:r w:rsidR="00804A60" w:rsidRPr="006B5B5C">
              <w:rPr>
                <w:rFonts w:ascii="Times" w:eastAsia="Batang" w:hAnsi="Times"/>
                <w:b/>
                <w:sz w:val="20"/>
                <w:szCs w:val="24"/>
                <w:lang w:val="en-GB"/>
              </w:rPr>
              <w: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5F770BFD" w14:textId="77777777" w:rsidR="0034789E" w:rsidRPr="006B5B5C"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p w14:paraId="15CEE381" w14:textId="77777777" w:rsidR="00804A60" w:rsidRDefault="00804A60" w:rsidP="00804A60">
            <w:pPr>
              <w:autoSpaceDE/>
              <w:autoSpaceDN/>
              <w:adjustRightInd/>
              <w:snapToGrid/>
              <w:spacing w:after="0"/>
              <w:jc w:val="left"/>
              <w:rPr>
                <w:rFonts w:ascii="Times" w:eastAsia="Batang" w:hAnsi="Times" w:cs="Times"/>
                <w:szCs w:val="24"/>
                <w:lang w:val="en-GB" w:eastAsia="ja-JP"/>
              </w:rPr>
            </w:pPr>
          </w:p>
          <w:p w14:paraId="62DACDB0" w14:textId="5A367308" w:rsidR="00804A60" w:rsidRPr="00804A60" w:rsidRDefault="00804A60" w:rsidP="00804A60">
            <w:pPr>
              <w:autoSpaceDE/>
              <w:autoSpaceDN/>
              <w:adjustRightInd/>
              <w:spacing w:after="0"/>
              <w:rPr>
                <w:rFonts w:ascii="Times" w:eastAsia="Batang" w:hAnsi="Times" w:cs="Times"/>
                <w:b/>
                <w:bCs/>
                <w:i/>
                <w:iCs/>
                <w:sz w:val="20"/>
                <w:szCs w:val="20"/>
                <w:lang w:val="en-GB"/>
              </w:rPr>
            </w:pPr>
            <w:r w:rsidRPr="00804A60">
              <w:rPr>
                <w:rFonts w:ascii="Times" w:eastAsia="Batang" w:hAnsi="Times" w:cs="Times"/>
                <w:b/>
                <w:bCs/>
                <w:sz w:val="20"/>
                <w:szCs w:val="20"/>
                <w:highlight w:val="green"/>
                <w:lang w:val="en-GB"/>
              </w:rPr>
              <w:t>Agreement</w:t>
            </w:r>
            <w:r>
              <w:rPr>
                <w:rFonts w:ascii="Times" w:eastAsia="Batang" w:hAnsi="Times" w:cs="Times"/>
                <w:b/>
                <w:bCs/>
                <w:sz w:val="20"/>
                <w:szCs w:val="20"/>
                <w:lang w:val="en-GB"/>
              </w:rPr>
              <w:t xml:space="preserve"> </w:t>
            </w:r>
            <w:r w:rsidRPr="0048755D">
              <w:rPr>
                <w:rFonts w:ascii="Times" w:eastAsia="Batang" w:hAnsi="Times"/>
                <w:b/>
                <w:sz w:val="20"/>
                <w:szCs w:val="24"/>
                <w:lang w:val="en-GB"/>
              </w:rPr>
              <w:t>(</w:t>
            </w:r>
            <w:r>
              <w:rPr>
                <w:rFonts w:ascii="Times" w:eastAsia="Batang" w:hAnsi="Times"/>
                <w:b/>
                <w:sz w:val="20"/>
                <w:szCs w:val="24"/>
                <w:lang w:val="en-GB"/>
              </w:rPr>
              <w:t>RAN1#104e</w:t>
            </w:r>
            <w:r w:rsidRPr="0048755D">
              <w:rPr>
                <w:rFonts w:ascii="Times" w:eastAsia="Batang" w:hAnsi="Times"/>
                <w:b/>
                <w:sz w:val="20"/>
                <w:szCs w:val="24"/>
                <w:lang w:val="en-GB"/>
              </w:rPr>
              <w:t>)</w:t>
            </w:r>
          </w:p>
          <w:p w14:paraId="7F11B758" w14:textId="77777777" w:rsidR="00804A60" w:rsidRPr="00804A60" w:rsidRDefault="00804A60" w:rsidP="00804A60">
            <w:pPr>
              <w:autoSpaceDE/>
              <w:autoSpaceDN/>
              <w:adjustRightInd/>
              <w:spacing w:after="0"/>
              <w:rPr>
                <w:rFonts w:ascii="Times" w:eastAsia="Batang" w:hAnsi="Times" w:cs="Times"/>
                <w:sz w:val="20"/>
                <w:szCs w:val="20"/>
                <w:lang w:val="en-GB"/>
              </w:rPr>
            </w:pPr>
            <w:r w:rsidRPr="00804A60">
              <w:rPr>
                <w:rFonts w:ascii="Times" w:eastAsia="Batang" w:hAnsi="Times" w:cs="Times"/>
                <w:sz w:val="20"/>
                <w:szCs w:val="20"/>
                <w:lang w:val="en-GB"/>
              </w:rPr>
              <w:t xml:space="preserve">For beam measurement in support of M-TRP simultaneous transmission </w:t>
            </w:r>
          </w:p>
          <w:p w14:paraId="65B3A613" w14:textId="77777777" w:rsidR="00804A60" w:rsidRPr="00804A60" w:rsidRDefault="00804A60" w:rsidP="00804A60">
            <w:pPr>
              <w:numPr>
                <w:ilvl w:val="0"/>
                <w:numId w:val="29"/>
              </w:numPr>
              <w:autoSpaceDE/>
              <w:autoSpaceDN/>
              <w:adjustRightInd/>
              <w:snapToGrid/>
              <w:spacing w:after="0"/>
              <w:ind w:left="360"/>
              <w:jc w:val="left"/>
              <w:rPr>
                <w:rFonts w:ascii="Times" w:eastAsia="Batang" w:hAnsi="Times" w:cs="Times"/>
                <w:sz w:val="20"/>
                <w:szCs w:val="20"/>
                <w:lang w:val="en-GB"/>
              </w:rPr>
            </w:pPr>
            <w:r w:rsidRPr="00804A60">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37F71187"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M = 2</w:t>
            </w:r>
          </w:p>
          <w:p w14:paraId="1C682DBB"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extending the maximum value of N &gt; 1, exact value FFS</w:t>
            </w:r>
          </w:p>
          <w:p w14:paraId="63AF0F8F"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N=1 and N=2</w:t>
            </w:r>
          </w:p>
          <w:p w14:paraId="4DF4DCBB"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Other values larger than 2</w:t>
            </w:r>
          </w:p>
          <w:p w14:paraId="45C4CE78"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Whether the UE could report beams are received with different RX beams</w:t>
            </w:r>
          </w:p>
          <w:p w14:paraId="2A31B7F3"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Further study the support of option 1 and option 3</w:t>
            </w:r>
          </w:p>
          <w:p w14:paraId="506A9D66"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The above applies at least for L1-RSRP</w:t>
            </w:r>
          </w:p>
          <w:p w14:paraId="0D6AE2CB" w14:textId="7CCA6C15" w:rsidR="00804A60" w:rsidRPr="006B5B5C" w:rsidRDefault="00804A60" w:rsidP="006B5B5C">
            <w:pPr>
              <w:numPr>
                <w:ilvl w:val="1"/>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L1-SINR</w:t>
            </w:r>
          </w:p>
        </w:tc>
      </w:tr>
    </w:tbl>
    <w:p w14:paraId="0B804E93" w14:textId="2C4D2DE0"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151EE848" w14:textId="3072BBF5" w:rsidR="0063077D" w:rsidRDefault="006B36A4" w:rsidP="0063077D">
      <w:pPr>
        <w:pStyle w:val="ListParagraph"/>
        <w:spacing w:before="80" w:after="120"/>
        <w:ind w:left="0"/>
        <w:jc w:val="center"/>
      </w:pPr>
      <w:r w:rsidRPr="006B36A4">
        <w:lastRenderedPageBreak/>
        <w:t xml:space="preserve"> </w:t>
      </w:r>
      <w:r>
        <w:object w:dxaOrig="16921" w:dyaOrig="5341" w14:anchorId="321A85C9">
          <v:shape id="_x0000_i1026" type="#_x0000_t75" style="width:400.35pt;height:126.95pt" o:ole="">
            <v:imagedata r:id="rId14" o:title=""/>
          </v:shape>
          <o:OLEObject Type="Embed" ProgID="Visio.Drawing.15" ShapeID="_x0000_i1026" DrawAspect="Content" ObjectID="_1694531969" r:id="rId15"/>
        </w:object>
      </w:r>
    </w:p>
    <w:p w14:paraId="4FE65B09" w14:textId="49B98A74" w:rsidR="00EE37D3" w:rsidRPr="003D6D7D" w:rsidRDefault="0040536C" w:rsidP="006B5B5C">
      <w:pPr>
        <w:pStyle w:val="Caption"/>
        <w:numPr>
          <w:ilvl w:val="0"/>
          <w:numId w:val="10"/>
        </w:numPr>
        <w:spacing w:after="80"/>
        <w:rPr>
          <w:szCs w:val="22"/>
        </w:rPr>
      </w:pPr>
      <w:r>
        <w:rPr>
          <w:rFonts w:ascii="Arial" w:hAnsi="Arial" w:cs="Arial"/>
          <w:sz w:val="18"/>
        </w:rPr>
        <w:t>:</w:t>
      </w:r>
      <w:r w:rsidR="0063077D" w:rsidRPr="00986E78">
        <w:rPr>
          <w:rFonts w:ascii="Arial" w:hAnsi="Arial" w:cs="Arial"/>
          <w:sz w:val="18"/>
        </w:rPr>
        <w:t xml:space="preserve"> </w:t>
      </w:r>
      <w:bookmarkStart w:id="0"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0"/>
    </w:p>
    <w:p w14:paraId="7C6B43F4" w14:textId="211C8EBD" w:rsidR="0063077D" w:rsidRPr="009906F2" w:rsidRDefault="0063077D" w:rsidP="006B5B5C">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4368CDB3" w:rsidR="005E2989" w:rsidRPr="00986E78" w:rsidRDefault="00E03F3B" w:rsidP="00986E78">
      <w:pPr>
        <w:pStyle w:val="ListParagraph"/>
        <w:numPr>
          <w:ilvl w:val="0"/>
          <w:numId w:val="6"/>
        </w:numPr>
        <w:spacing w:before="80" w:after="80"/>
        <w:rPr>
          <w:rFonts w:ascii="Arial" w:hAnsi="Arial" w:cs="Arial"/>
          <w:i/>
          <w:color w:val="000000" w:themeColor="text1"/>
          <w:sz w:val="24"/>
          <w:lang w:eastAsia="ja-JP"/>
        </w:rPr>
      </w:pPr>
      <w:r>
        <w:rPr>
          <w:rFonts w:ascii="Arial" w:hAnsi="Arial" w:cs="Arial"/>
          <w:b/>
          <w:sz w:val="22"/>
          <w:szCs w:val="22"/>
        </w:rPr>
        <w:t xml:space="preserve"> </w:t>
      </w:r>
      <w:r w:rsidR="0063592B" w:rsidRPr="00986E78">
        <w:rPr>
          <w:rFonts w:ascii="Arial" w:hAnsi="Arial" w:cs="Arial"/>
          <w:b/>
          <w:sz w:val="22"/>
          <w:szCs w:val="22"/>
        </w:rPr>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0063592B"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 xml:space="preserve">support Option 1 </w:t>
      </w:r>
      <w:r w:rsidR="001A223E">
        <w:rPr>
          <w:rFonts w:ascii="Arial" w:hAnsi="Arial" w:cs="Arial"/>
          <w:b/>
          <w:sz w:val="22"/>
          <w:szCs w:val="22"/>
        </w:rPr>
        <w:t>of group-based beam reporting.</w:t>
      </w:r>
    </w:p>
    <w:p w14:paraId="5F6031C3" w14:textId="259AD83C" w:rsidR="00C970A9" w:rsidRDefault="00C970A9" w:rsidP="00C970A9">
      <w:pPr>
        <w:pStyle w:val="Heading2"/>
        <w:rPr>
          <w:rFonts w:ascii="Arial" w:hAnsi="Arial" w:cs="Arial"/>
          <w:szCs w:val="24"/>
          <w:lang w:eastAsia="ja-JP"/>
        </w:rPr>
      </w:pPr>
      <w:r>
        <w:rPr>
          <w:rFonts w:ascii="Arial" w:hAnsi="Arial" w:cs="Arial"/>
          <w:szCs w:val="24"/>
          <w:lang w:eastAsia="ja-JP"/>
        </w:rPr>
        <w:t>L1-SINR</w:t>
      </w:r>
      <w:r w:rsidR="00E169FB">
        <w:rPr>
          <w:rFonts w:ascii="Arial" w:hAnsi="Arial" w:cs="Arial"/>
          <w:szCs w:val="24"/>
          <w:lang w:eastAsia="ja-JP"/>
        </w:rPr>
        <w:t xml:space="preserve"> based beam selection</w:t>
      </w:r>
    </w:p>
    <w:p w14:paraId="40664525" w14:textId="5A733853" w:rsidR="00B90C29" w:rsidRPr="006B5B5C" w:rsidRDefault="00B90C29" w:rsidP="006B5B5C">
      <w:pPr>
        <w:spacing w:after="80"/>
        <w:rPr>
          <w:sz w:val="21"/>
          <w:szCs w:val="21"/>
          <w:lang w:eastAsia="zh-CN"/>
        </w:rPr>
      </w:pPr>
      <w:r w:rsidRPr="006B5B5C">
        <w:rPr>
          <w:sz w:val="21"/>
          <w:szCs w:val="21"/>
          <w:lang w:eastAsia="zh-CN"/>
        </w:rPr>
        <w:t>In RAN1#102e, the following agreement was established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F505B" w:rsidRPr="00797A8E" w14:paraId="2E9246D9" w14:textId="77777777" w:rsidTr="006B5B5C">
        <w:trPr>
          <w:trHeight w:val="1364"/>
        </w:trPr>
        <w:tc>
          <w:tcPr>
            <w:tcW w:w="9639" w:type="dxa"/>
          </w:tcPr>
          <w:p w14:paraId="18212C4E" w14:textId="77777777" w:rsidR="00FF505B" w:rsidRPr="000D0DE6" w:rsidRDefault="00FF505B" w:rsidP="00CA626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4BAD79E3" w14:textId="77777777" w:rsidR="00FF505B" w:rsidRPr="000D0DE6" w:rsidRDefault="00FF505B" w:rsidP="00CA626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5929D33A" w14:textId="77777777" w:rsidR="00FF505B" w:rsidRPr="006B5B5C" w:rsidRDefault="00FF505B" w:rsidP="00CA6266">
            <w:pPr>
              <w:numPr>
                <w:ilvl w:val="0"/>
                <w:numId w:val="20"/>
              </w:numPr>
              <w:autoSpaceDE/>
              <w:autoSpaceDN/>
              <w:adjustRightInd/>
              <w:snapToGrid/>
              <w:spacing w:after="0"/>
              <w:contextualSpacing/>
              <w:jc w:val="left"/>
              <w:rPr>
                <w:rFonts w:ascii="Times" w:eastAsia="宋体" w:hAnsi="Times" w:cs="Times"/>
                <w:sz w:val="20"/>
                <w:szCs w:val="24"/>
                <w:highlight w:val="yellow"/>
                <w:lang w:val="en-GB"/>
              </w:rPr>
            </w:pPr>
            <w:r w:rsidRPr="006B5B5C">
              <w:rPr>
                <w:rFonts w:ascii="Times" w:eastAsia="宋体" w:hAnsi="Times" w:cs="Times"/>
                <w:sz w:val="20"/>
                <w:szCs w:val="24"/>
                <w:highlight w:val="yellow"/>
                <w:lang w:val="en-GB"/>
              </w:rPr>
              <w:t>Issue 1: Consideration of inter-beam interference</w:t>
            </w:r>
          </w:p>
          <w:p w14:paraId="34994923"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7797A139"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1E654845" w14:textId="08F54AE5" w:rsidR="00FF505B" w:rsidRPr="00C30784" w:rsidRDefault="00FF505B" w:rsidP="006B5B5C">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4"/>
                <w:lang w:val="en-GB"/>
              </w:rPr>
              <w:t>NOTE: “UE panel” is used for discussion purpose only</w:t>
            </w:r>
          </w:p>
        </w:tc>
      </w:tr>
    </w:tbl>
    <w:p w14:paraId="7777D56E" w14:textId="50DCC9D5" w:rsidR="007B0C48" w:rsidRDefault="007B0C48" w:rsidP="006B5B5C">
      <w:pPr>
        <w:spacing w:before="80"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76E4DBA0" w:rsidR="007B0C48" w:rsidRPr="00927A75" w:rsidRDefault="00E03F3B" w:rsidP="006B5B5C">
      <w:pPr>
        <w:pStyle w:val="ListParagraph"/>
        <w:numPr>
          <w:ilvl w:val="0"/>
          <w:numId w:val="6"/>
        </w:numPr>
        <w:spacing w:after="80"/>
        <w:rPr>
          <w:rFonts w:ascii="Arial" w:hAnsi="Arial" w:cs="Arial"/>
          <w:i/>
          <w:color w:val="000000" w:themeColor="text1"/>
          <w:sz w:val="24"/>
          <w:lang w:eastAsia="ja-JP"/>
        </w:rPr>
      </w:pPr>
      <w:r>
        <w:rPr>
          <w:rFonts w:ascii="Arial" w:hAnsi="Arial" w:cs="Arial"/>
          <w:b/>
          <w:sz w:val="22"/>
          <w:szCs w:val="22"/>
        </w:rPr>
        <w:t xml:space="preserve"> </w:t>
      </w:r>
      <w:r w:rsidR="007B0C48">
        <w:rPr>
          <w:rFonts w:ascii="Arial" w:hAnsi="Arial" w:cs="Arial"/>
          <w:b/>
          <w:sz w:val="22"/>
          <w:szCs w:val="22"/>
        </w:rPr>
        <w:t>For group-based beam reporting of multi-TRP, support L1-SINR as beam selection metric</w:t>
      </w:r>
      <w:r w:rsidR="007B0C48" w:rsidRPr="00927A75">
        <w:rPr>
          <w:rFonts w:ascii="Arial" w:hAnsi="Arial" w:cs="Arial"/>
          <w:b/>
          <w:sz w:val="22"/>
          <w:szCs w:val="22"/>
          <w:lang w:val="en-GB"/>
        </w:rPr>
        <w:t xml:space="preserve">. </w:t>
      </w:r>
    </w:p>
    <w:p w14:paraId="5CB309C7" w14:textId="2189DD96" w:rsidR="007B0C48" w:rsidRPr="006B5B5C" w:rsidRDefault="007B0C48" w:rsidP="007B0C48">
      <w:pPr>
        <w:spacing w:after="80"/>
        <w:rPr>
          <w:rFonts w:eastAsia="MS Mincho"/>
          <w:sz w:val="21"/>
          <w:szCs w:val="21"/>
          <w:lang w:eastAsia="ja-JP"/>
        </w:rPr>
      </w:pPr>
      <w:r w:rsidRPr="006B5B5C">
        <w:rPr>
          <w:rFonts w:eastAsia="MS Mincho"/>
          <w:sz w:val="21"/>
          <w:szCs w:val="21"/>
          <w:lang w:eastAsia="ja-JP"/>
        </w:rPr>
        <w:t xml:space="preserve">If L1-SINR is supported for beam selection among multi-TRP, one question we have in mind is how to configure CMR and IMR for UE to measure. </w:t>
      </w:r>
      <w:r w:rsidR="00C41F70" w:rsidRPr="006B5B5C">
        <w:rPr>
          <w:rFonts w:eastAsia="MS Mincho"/>
          <w:sz w:val="21"/>
          <w:szCs w:val="21"/>
          <w:lang w:eastAsia="ja-JP"/>
        </w:rPr>
        <w:t xml:space="preserve">It seems straight-forward to reuse Rel.16 L1-SINR CMR/IMR configuration rule, i.e. CMR to IMR as 1-on-1 mapping in resource level. Moreover, we have one point to consider when compared with single-TRP operation, that’s inter-TRP interference. </w:t>
      </w:r>
    </w:p>
    <w:p w14:paraId="41067D56" w14:textId="4546E1A6" w:rsidR="00C41F70" w:rsidRPr="00986E78" w:rsidRDefault="00E03F3B">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C41F70">
        <w:rPr>
          <w:rFonts w:ascii="Arial" w:hAnsi="Arial" w:cs="Arial"/>
          <w:b/>
          <w:sz w:val="22"/>
          <w:szCs w:val="22"/>
        </w:rPr>
        <w:t>If L1-SINR is supported as beam selection metric, study whether L1-SIN</w:t>
      </w:r>
      <w:r w:rsidR="00166BAD">
        <w:rPr>
          <w:rFonts w:ascii="Arial" w:hAnsi="Arial" w:cs="Arial"/>
          <w:b/>
          <w:sz w:val="22"/>
          <w:szCs w:val="22"/>
        </w:rPr>
        <w:t>R</w:t>
      </w:r>
      <w:r w:rsidR="00C41F70">
        <w:rPr>
          <w:rFonts w:ascii="Arial" w:hAnsi="Arial" w:cs="Arial"/>
          <w:b/>
          <w:sz w:val="22"/>
          <w:szCs w:val="22"/>
        </w:rPr>
        <w:t xml:space="preserve"> should reflect inter-</w:t>
      </w:r>
      <w:r w:rsidR="0083013C">
        <w:rPr>
          <w:rFonts w:ascii="Arial" w:hAnsi="Arial" w:cs="Arial"/>
          <w:b/>
          <w:sz w:val="22"/>
          <w:szCs w:val="22"/>
        </w:rPr>
        <w:t>beam</w:t>
      </w:r>
      <w:r w:rsidR="00C41F70">
        <w:rPr>
          <w:rFonts w:ascii="Arial" w:hAnsi="Arial" w:cs="Arial"/>
          <w:b/>
          <w:sz w:val="22"/>
          <w:szCs w:val="22"/>
        </w:rPr>
        <w:t xml:space="preserve"> interference. </w:t>
      </w:r>
    </w:p>
    <w:p w14:paraId="68FAB3DB" w14:textId="4CC4DD6C" w:rsidR="00AA7C43" w:rsidRPr="00986E78" w:rsidRDefault="00AA7C43" w:rsidP="003C7CFE">
      <w:pPr>
        <w:pStyle w:val="Heading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1C41C8E7" w14:textId="4B4B6875" w:rsidR="00523283" w:rsidRDefault="00770AE3" w:rsidP="00986E78">
      <w:pPr>
        <w:spacing w:after="80"/>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5A6BD531" w14:textId="7D559C95" w:rsidR="00E03F3B" w:rsidRDefault="00955DD9" w:rsidP="00986E78">
      <w:pPr>
        <w:spacing w:after="80"/>
        <w:rPr>
          <w:color w:val="000000" w:themeColor="text1"/>
          <w:sz w:val="20"/>
          <w:lang w:eastAsia="ja-JP"/>
        </w:rPr>
      </w:pPr>
      <w:r>
        <w:rPr>
          <w:color w:val="000000" w:themeColor="text1"/>
          <w:sz w:val="20"/>
          <w:lang w:eastAsia="ja-JP"/>
        </w:rPr>
        <w:t xml:space="preserve">In this section, we would like to discuss </w:t>
      </w:r>
      <w:r w:rsidR="00523283">
        <w:rPr>
          <w:color w:val="000000" w:themeColor="text1"/>
          <w:sz w:val="20"/>
          <w:lang w:eastAsia="ja-JP"/>
        </w:rPr>
        <w:t>the design of TRP-specific BFR in Rel.17</w:t>
      </w:r>
      <w:r>
        <w:rPr>
          <w:color w:val="000000" w:themeColor="text1"/>
          <w:sz w:val="20"/>
          <w:lang w:eastAsia="ja-JP"/>
        </w:rPr>
        <w:t>.</w:t>
      </w:r>
      <w:r w:rsidR="00CA6266">
        <w:rPr>
          <w:color w:val="000000" w:themeColor="text1"/>
          <w:sz w:val="20"/>
          <w:lang w:eastAsia="ja-JP"/>
        </w:rPr>
        <w:t xml:space="preserve"> </w:t>
      </w:r>
    </w:p>
    <w:p w14:paraId="2DD65E64" w14:textId="077792F6" w:rsidR="00CA6266" w:rsidRDefault="00CA6266" w:rsidP="00986E78">
      <w:pPr>
        <w:spacing w:after="80"/>
        <w:rPr>
          <w:color w:val="000000" w:themeColor="text1"/>
          <w:sz w:val="20"/>
          <w:lang w:eastAsia="ja-JP"/>
        </w:rPr>
      </w:pPr>
      <w:r>
        <w:rPr>
          <w:color w:val="000000" w:themeColor="text1"/>
          <w:sz w:val="20"/>
          <w:lang w:eastAsia="ja-JP"/>
        </w:rPr>
        <w:t>The 1</w:t>
      </w:r>
      <w:r w:rsidRPr="006B5B5C">
        <w:rPr>
          <w:color w:val="000000" w:themeColor="text1"/>
          <w:sz w:val="20"/>
          <w:vertAlign w:val="superscript"/>
          <w:lang w:eastAsia="ja-JP"/>
        </w:rPr>
        <w:t>st</w:t>
      </w:r>
      <w:r>
        <w:rPr>
          <w:color w:val="000000" w:themeColor="text1"/>
          <w:sz w:val="20"/>
          <w:lang w:eastAsia="ja-JP"/>
        </w:rPr>
        <w:t xml:space="preserve"> issue is a general one that is whether cell-specific BFR and TRP-specific BFR can be configured in the same CC. In our understanding, if one CC is </w:t>
      </w:r>
      <w:r w:rsidR="00E03F3B">
        <w:rPr>
          <w:color w:val="000000" w:themeColor="text1"/>
          <w:sz w:val="20"/>
          <w:lang w:eastAsia="ja-JP"/>
        </w:rPr>
        <w:t xml:space="preserve">configured and then </w:t>
      </w:r>
      <w:r>
        <w:rPr>
          <w:color w:val="000000" w:themeColor="text1"/>
          <w:sz w:val="20"/>
          <w:lang w:eastAsia="ja-JP"/>
        </w:rPr>
        <w:t xml:space="preserve">protected either by cell-specific BFR or TRP-specific BFR, it </w:t>
      </w:r>
      <w:r w:rsidR="00E03F3B">
        <w:rPr>
          <w:color w:val="000000" w:themeColor="text1"/>
          <w:sz w:val="20"/>
          <w:lang w:eastAsia="ja-JP"/>
        </w:rPr>
        <w:t>could be more robust when compared with single BFR mechanism</w:t>
      </w:r>
      <w:r>
        <w:rPr>
          <w:color w:val="000000" w:themeColor="text1"/>
          <w:sz w:val="20"/>
          <w:lang w:eastAsia="ja-JP"/>
        </w:rPr>
        <w:t>.</w:t>
      </w:r>
      <w:r w:rsidR="00E03F3B">
        <w:rPr>
          <w:color w:val="000000" w:themeColor="text1"/>
          <w:sz w:val="20"/>
          <w:lang w:eastAsia="ja-JP"/>
        </w:rPr>
        <w:t xml:space="preserve"> For instance, if one TRP failed, a UE could transmit BFRQ to the other TRP. If both TRPs failed, TRP-specific BFR may not work, thanks to beam correspondence. But </w:t>
      </w:r>
      <w:proofErr w:type="gramStart"/>
      <w:r w:rsidR="00E03F3B">
        <w:rPr>
          <w:color w:val="000000" w:themeColor="text1"/>
          <w:sz w:val="20"/>
          <w:lang w:eastAsia="ja-JP"/>
        </w:rPr>
        <w:t>cell-specific</w:t>
      </w:r>
      <w:proofErr w:type="gramEnd"/>
      <w:r w:rsidR="00E03F3B">
        <w:rPr>
          <w:color w:val="000000" w:themeColor="text1"/>
          <w:sz w:val="20"/>
          <w:lang w:eastAsia="ja-JP"/>
        </w:rPr>
        <w:t xml:space="preserve"> BFR in Rel.15/16 could serve as a backup scheme, e.g. fallback to CFRA or CBRA scheme. Moreover, i</w:t>
      </w:r>
      <w:r>
        <w:rPr>
          <w:color w:val="000000" w:themeColor="text1"/>
          <w:sz w:val="20"/>
          <w:lang w:eastAsia="ja-JP"/>
        </w:rPr>
        <w:t xml:space="preserve">f both BFR mechanism configured on the same CC, it </w:t>
      </w:r>
      <w:r w:rsidR="00E03F3B">
        <w:rPr>
          <w:color w:val="000000" w:themeColor="text1"/>
          <w:sz w:val="20"/>
          <w:lang w:eastAsia="ja-JP"/>
        </w:rPr>
        <w:t>could work equivalently as partial BFR which was promised to be supported in Rel.17.</w:t>
      </w:r>
    </w:p>
    <w:p w14:paraId="07DE4B31" w14:textId="26D2FE6E" w:rsidR="004C2347" w:rsidRPr="006B5B5C" w:rsidRDefault="00E03F3B" w:rsidP="006B5B5C">
      <w:pPr>
        <w:pStyle w:val="ListParagraph"/>
        <w:numPr>
          <w:ilvl w:val="0"/>
          <w:numId w:val="6"/>
        </w:numPr>
        <w:spacing w:before="80" w:after="80"/>
        <w:rPr>
          <w:rFonts w:ascii="Arial" w:hAnsi="Arial" w:cs="Arial"/>
          <w:b/>
          <w:sz w:val="22"/>
          <w:lang w:eastAsia="ja-JP"/>
        </w:rPr>
      </w:pPr>
      <w:r>
        <w:rPr>
          <w:rFonts w:ascii="Arial" w:hAnsi="Arial" w:cs="Arial"/>
          <w:b/>
          <w:sz w:val="22"/>
          <w:szCs w:val="22"/>
          <w:lang w:eastAsia="ja-JP"/>
        </w:rPr>
        <w:t xml:space="preserve"> Support TRP-specific BFR and cell-specific BFR configured on the same CC</w:t>
      </w:r>
      <w:r w:rsidR="00CA6266" w:rsidRPr="00CA6266">
        <w:rPr>
          <w:rFonts w:ascii="Arial" w:hAnsi="Arial" w:cs="Arial"/>
          <w:b/>
          <w:sz w:val="22"/>
          <w:szCs w:val="22"/>
          <w:lang w:eastAsia="ja-JP"/>
        </w:rPr>
        <w:t xml:space="preserve">. </w:t>
      </w:r>
    </w:p>
    <w:p w14:paraId="3BBAB928" w14:textId="3E22C962" w:rsidR="0002528E" w:rsidRPr="00986E78" w:rsidRDefault="0002528E" w:rsidP="00BA4478">
      <w:pPr>
        <w:pStyle w:val="Heading2"/>
        <w:spacing w:after="80"/>
        <w:rPr>
          <w:rFonts w:ascii="Arial" w:hAnsi="Arial" w:cs="Arial"/>
          <w:szCs w:val="24"/>
          <w:lang w:eastAsia="ja-JP"/>
        </w:rPr>
      </w:pPr>
      <w:r w:rsidRPr="00986E78">
        <w:rPr>
          <w:rFonts w:ascii="Arial" w:hAnsi="Arial" w:cs="Arial"/>
          <w:szCs w:val="24"/>
          <w:lang w:eastAsia="ja-JP"/>
        </w:rPr>
        <w:lastRenderedPageBreak/>
        <w:t>TRP-specific BFRQ</w:t>
      </w:r>
    </w:p>
    <w:p w14:paraId="17F64F63" w14:textId="12C6B027" w:rsidR="00561CFB" w:rsidRDefault="00CA6266" w:rsidP="00561CFB">
      <w:pPr>
        <w:pStyle w:val="ListParagraph"/>
        <w:spacing w:after="80"/>
        <w:ind w:left="0"/>
        <w:rPr>
          <w:rFonts w:ascii="Times New Roman" w:hAnsi="Times New Roman" w:cs="Times New Roman"/>
          <w:sz w:val="20"/>
          <w:szCs w:val="22"/>
        </w:rPr>
      </w:pPr>
      <w:r>
        <w:rPr>
          <w:rFonts w:ascii="Times New Roman" w:eastAsia="MS Mincho" w:hAnsi="Times New Roman" w:cs="Times New Roman" w:hint="eastAsia"/>
          <w:color w:val="000000" w:themeColor="text1"/>
          <w:sz w:val="20"/>
          <w:szCs w:val="20"/>
          <w:lang w:eastAsia="ja-JP"/>
        </w:rPr>
        <w:t>B</w:t>
      </w:r>
      <w:r>
        <w:rPr>
          <w:rFonts w:ascii="Times New Roman" w:eastAsia="MS Mincho" w:hAnsi="Times New Roman" w:cs="Times New Roman"/>
          <w:color w:val="000000" w:themeColor="text1"/>
          <w:sz w:val="20"/>
          <w:szCs w:val="20"/>
          <w:lang w:eastAsia="ja-JP"/>
        </w:rPr>
        <w:t xml:space="preserve">efore UE sends BFRQ MAC CE to NW, it </w:t>
      </w:r>
      <w:proofErr w:type="gramStart"/>
      <w:r>
        <w:rPr>
          <w:rFonts w:ascii="Times New Roman" w:eastAsia="MS Mincho" w:hAnsi="Times New Roman" w:cs="Times New Roman"/>
          <w:color w:val="000000" w:themeColor="text1"/>
          <w:sz w:val="20"/>
          <w:szCs w:val="20"/>
          <w:lang w:eastAsia="ja-JP"/>
        </w:rPr>
        <w:t>has to</w:t>
      </w:r>
      <w:proofErr w:type="gramEnd"/>
      <w:r>
        <w:rPr>
          <w:rFonts w:ascii="Times New Roman" w:eastAsia="MS Mincho" w:hAnsi="Times New Roman" w:cs="Times New Roman"/>
          <w:color w:val="000000" w:themeColor="text1"/>
          <w:sz w:val="20"/>
          <w:szCs w:val="20"/>
          <w:lang w:eastAsia="ja-JP"/>
        </w:rPr>
        <w:t xml:space="preserve"> require UL resource to carry BFRQ by using pre-configured PUCCH-SR. In RAN1#104e, up to 2 dedicated PUCCH-SR resources in a cell group can be configured to a UE. </w:t>
      </w:r>
      <w:r w:rsidR="00561CFB">
        <w:rPr>
          <w:rFonts w:ascii="Times New Roman" w:hAnsi="Times New Roman" w:cs="Times New Roman" w:hint="eastAsia"/>
          <w:sz w:val="20"/>
          <w:szCs w:val="22"/>
        </w:rPr>
        <w:t>I</w:t>
      </w:r>
      <w:r w:rsidR="00561CFB">
        <w:rPr>
          <w:rFonts w:ascii="Times New Roman" w:hAnsi="Times New Roman" w:cs="Times New Roman"/>
          <w:sz w:val="20"/>
          <w:szCs w:val="22"/>
        </w:rPr>
        <w:t>n RAN1#10</w:t>
      </w:r>
      <w:r w:rsidR="00523283">
        <w:rPr>
          <w:rFonts w:ascii="Times New Roman" w:hAnsi="Times New Roman" w:cs="Times New Roman"/>
          <w:sz w:val="20"/>
          <w:szCs w:val="22"/>
        </w:rPr>
        <w:t>4bis-</w:t>
      </w:r>
      <w:r w:rsidR="00561CFB">
        <w:rPr>
          <w:rFonts w:ascii="Times New Roman" w:hAnsi="Times New Roman" w:cs="Times New Roman"/>
          <w:sz w:val="20"/>
          <w:szCs w:val="22"/>
        </w:rPr>
        <w:t>e,</w:t>
      </w:r>
      <w:r w:rsidR="00523283">
        <w:rPr>
          <w:rFonts w:ascii="Times New Roman" w:hAnsi="Times New Roman" w:cs="Times New Roman"/>
          <w:sz w:val="20"/>
          <w:szCs w:val="22"/>
        </w:rPr>
        <w:t xml:space="preserve"> the PUCCH-SR</w:t>
      </w:r>
      <w:r>
        <w:rPr>
          <w:rFonts w:ascii="Times New Roman" w:hAnsi="Times New Roman" w:cs="Times New Roman"/>
          <w:sz w:val="20"/>
          <w:szCs w:val="22"/>
        </w:rPr>
        <w:t xml:space="preserve"> selection rule was discussed with following agreement achieve. </w:t>
      </w:r>
      <w:r w:rsidR="00D36FF6">
        <w:rPr>
          <w:rFonts w:ascii="Times New Roman" w:hAnsi="Times New Roman" w:cs="Times New Roman"/>
          <w:sz w:val="20"/>
          <w:szCs w:val="22"/>
        </w:rPr>
        <w:t>In RAN105e, this issue was touched again with compromised alternatives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61CFB" w:rsidRPr="00797A8E" w14:paraId="204576E0" w14:textId="77777777" w:rsidTr="00986E78">
        <w:trPr>
          <w:trHeight w:val="264"/>
        </w:trPr>
        <w:tc>
          <w:tcPr>
            <w:tcW w:w="9639" w:type="dxa"/>
          </w:tcPr>
          <w:p w14:paraId="27FCA2CA" w14:textId="77777777" w:rsidR="00523283" w:rsidRPr="00523283" w:rsidRDefault="00523283" w:rsidP="006B5B5C">
            <w:pPr>
              <w:autoSpaceDE/>
              <w:autoSpaceDN/>
              <w:adjustRightInd/>
              <w:snapToGrid/>
              <w:spacing w:after="0"/>
              <w:jc w:val="left"/>
              <w:rPr>
                <w:rFonts w:ascii="Times" w:eastAsia="Batang" w:hAnsi="Times"/>
                <w:b/>
                <w:sz w:val="20"/>
                <w:szCs w:val="20"/>
                <w:highlight w:val="green"/>
                <w:lang w:val="en-GB"/>
              </w:rPr>
            </w:pPr>
            <w:r w:rsidRPr="00523283">
              <w:rPr>
                <w:rFonts w:ascii="Times" w:eastAsia="Batang" w:hAnsi="Times"/>
                <w:b/>
                <w:sz w:val="20"/>
                <w:szCs w:val="20"/>
                <w:highlight w:val="green"/>
                <w:lang w:val="en-GB"/>
              </w:rPr>
              <w:t>Agreement</w:t>
            </w:r>
          </w:p>
          <w:p w14:paraId="21FDF900" w14:textId="77777777" w:rsidR="00523283" w:rsidRPr="00523283" w:rsidRDefault="00523283" w:rsidP="006B5B5C">
            <w:p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For the TRP specific BFR, for a UE configured with two PUCCH-SR resources in a cell group when beam failure is detected in a one or more CCs in one or more of BFD-RS sets configured in one or more of CCs,</w:t>
            </w:r>
          </w:p>
          <w:p w14:paraId="274631C5"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en-GB"/>
              </w:rPr>
              <w:t>Down select one of the following PUCCH-SR resource selection rules when SR is triggered (or their combinations) for the study, without precluding other alternatives, in RAN1#105-e</w:t>
            </w:r>
          </w:p>
          <w:p w14:paraId="4AF011F5"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Alt-1: PUCCH-SR</w:t>
            </w:r>
            <w:r w:rsidRPr="00523283">
              <w:rPr>
                <w:rFonts w:ascii="Times" w:eastAsia="Batang" w:hAnsi="Times"/>
                <w:sz w:val="20"/>
                <w:szCs w:val="20"/>
                <w:lang w:val="en-GB"/>
              </w:rPr>
              <w:t xml:space="preserve"> resource associated with </w:t>
            </w:r>
            <w:r w:rsidRPr="00523283">
              <w:rPr>
                <w:rFonts w:ascii="Times" w:eastAsia="Batang" w:hAnsi="Times"/>
                <w:sz w:val="20"/>
                <w:szCs w:val="20"/>
                <w:lang w:val="x-none"/>
              </w:rPr>
              <w:t>other</w:t>
            </w:r>
            <w:r w:rsidRPr="00523283">
              <w:rPr>
                <w:rFonts w:ascii="Times" w:eastAsia="Batang" w:hAnsi="Times"/>
                <w:sz w:val="20"/>
                <w:szCs w:val="20"/>
                <w:lang w:val="en-GB"/>
              </w:rPr>
              <w:t>/non-failed BFD-RS set, association details FFS</w:t>
            </w:r>
          </w:p>
          <w:p w14:paraId="76EDB11A"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 xml:space="preserve">Alt-2: PUCCH-SR </w:t>
            </w:r>
            <w:r w:rsidRPr="00523283">
              <w:rPr>
                <w:rFonts w:ascii="Times" w:eastAsia="Batang" w:hAnsi="Times"/>
                <w:sz w:val="20"/>
                <w:szCs w:val="20"/>
                <w:lang w:val="en-GB"/>
              </w:rPr>
              <w:t xml:space="preserve">resource </w:t>
            </w:r>
            <w:r w:rsidRPr="00523283">
              <w:rPr>
                <w:rFonts w:ascii="Times" w:eastAsia="Batang" w:hAnsi="Times"/>
                <w:sz w:val="20"/>
                <w:szCs w:val="20"/>
                <w:lang w:val="x-none"/>
              </w:rPr>
              <w:t xml:space="preserve">associated with failed </w:t>
            </w:r>
            <w:r w:rsidRPr="00523283">
              <w:rPr>
                <w:rFonts w:ascii="Times" w:eastAsia="Batang" w:hAnsi="Times"/>
                <w:sz w:val="20"/>
                <w:szCs w:val="20"/>
                <w:lang w:val="en-GB"/>
              </w:rPr>
              <w:t>BFD-RS set, association details FFS</w:t>
            </w:r>
          </w:p>
          <w:p w14:paraId="17B02F21" w14:textId="77777777" w:rsidR="00523283" w:rsidRPr="00523283" w:rsidRDefault="00523283">
            <w:pPr>
              <w:numPr>
                <w:ilvl w:val="1"/>
                <w:numId w:val="38"/>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lang w:val="x-none"/>
              </w:rPr>
              <w:t>Alt-3: Leave it up to UE implementation</w:t>
            </w:r>
          </w:p>
          <w:p w14:paraId="5D0CC20E" w14:textId="77777777" w:rsidR="00523283" w:rsidRPr="00523283" w:rsidRDefault="00523283">
            <w:pPr>
              <w:numPr>
                <w:ilvl w:val="0"/>
                <w:numId w:val="37"/>
              </w:numPr>
              <w:autoSpaceDE/>
              <w:autoSpaceDN/>
              <w:adjustRightInd/>
              <w:snapToGrid/>
              <w:spacing w:after="0"/>
              <w:jc w:val="left"/>
              <w:rPr>
                <w:rFonts w:ascii="Times" w:eastAsia="Batang" w:hAnsi="Times"/>
                <w:sz w:val="20"/>
                <w:szCs w:val="20"/>
                <w:lang w:val="en-GB"/>
              </w:rPr>
            </w:pPr>
            <w:r w:rsidRPr="00523283">
              <w:rPr>
                <w:rFonts w:ascii="Times" w:eastAsia="Batang" w:hAnsi="Times"/>
                <w:sz w:val="20"/>
                <w:szCs w:val="20"/>
              </w:rPr>
              <w:t xml:space="preserve">Note: </w:t>
            </w:r>
            <w:r w:rsidRPr="00523283">
              <w:rPr>
                <w:rFonts w:ascii="Times" w:eastAsia="Batang" w:hAnsi="Times"/>
                <w:sz w:val="20"/>
                <w:szCs w:val="20"/>
                <w:lang w:val="en-GB"/>
              </w:rPr>
              <w:t>PUCCH-SR resource is PUCCH resource carrying SR</w:t>
            </w:r>
          </w:p>
          <w:p w14:paraId="3B954622" w14:textId="77777777" w:rsidR="00895417" w:rsidRPr="00952094" w:rsidRDefault="00523283">
            <w:pPr>
              <w:numPr>
                <w:ilvl w:val="0"/>
                <w:numId w:val="32"/>
              </w:numPr>
              <w:autoSpaceDE/>
              <w:autoSpaceDN/>
              <w:adjustRightInd/>
              <w:snapToGrid/>
              <w:spacing w:after="0"/>
              <w:jc w:val="left"/>
              <w:rPr>
                <w:rFonts w:ascii="Times" w:eastAsia="Calibri" w:hAnsi="Times" w:cs="Times"/>
                <w:sz w:val="20"/>
                <w:szCs w:val="20"/>
              </w:rPr>
            </w:pPr>
            <w:r w:rsidRPr="00523283">
              <w:rPr>
                <w:rFonts w:ascii="Times" w:eastAsia="Batang" w:hAnsi="Times"/>
                <w:sz w:val="20"/>
                <w:szCs w:val="20"/>
                <w:lang w:val="en-GB"/>
              </w:rPr>
              <w:t>FFS: Whether two PUCCH-SR resources are under the same or different SR resource configuration or SR configuration (eventual decision may or may not happen in RAN1)</w:t>
            </w:r>
          </w:p>
          <w:p w14:paraId="50646C1D" w14:textId="77777777" w:rsidR="00D36FF6" w:rsidRDefault="00D36FF6" w:rsidP="00D36FF6">
            <w:pPr>
              <w:autoSpaceDE/>
              <w:autoSpaceDN/>
              <w:adjustRightInd/>
              <w:snapToGrid/>
              <w:spacing w:after="0"/>
              <w:jc w:val="left"/>
              <w:rPr>
                <w:rFonts w:ascii="Times" w:eastAsia="Batang" w:hAnsi="Times" w:cs="Times"/>
                <w:sz w:val="20"/>
                <w:szCs w:val="20"/>
                <w:lang w:val="en-GB"/>
              </w:rPr>
            </w:pPr>
          </w:p>
          <w:p w14:paraId="32E5CAC6" w14:textId="77777777" w:rsidR="00D36FF6" w:rsidRPr="00D36FF6" w:rsidRDefault="00D36FF6" w:rsidP="00D36FF6">
            <w:pPr>
              <w:autoSpaceDE/>
              <w:autoSpaceDN/>
              <w:adjustRightInd/>
              <w:snapToGrid/>
              <w:spacing w:after="0"/>
              <w:ind w:left="1440" w:hanging="1440"/>
              <w:jc w:val="left"/>
              <w:rPr>
                <w:rFonts w:eastAsia="Batang"/>
                <w:b/>
                <w:bCs/>
                <w:sz w:val="20"/>
                <w:szCs w:val="20"/>
                <w:highlight w:val="green"/>
                <w:lang w:val="en-GB"/>
              </w:rPr>
            </w:pPr>
            <w:r w:rsidRPr="00D36FF6">
              <w:rPr>
                <w:rFonts w:eastAsia="Batang"/>
                <w:b/>
                <w:bCs/>
                <w:sz w:val="20"/>
                <w:szCs w:val="20"/>
                <w:highlight w:val="green"/>
                <w:lang w:val="en-GB"/>
              </w:rPr>
              <w:t>Agreement</w:t>
            </w:r>
          </w:p>
          <w:p w14:paraId="34A0D5F0" w14:textId="77777777" w:rsidR="00D36FF6" w:rsidRPr="00D36FF6" w:rsidRDefault="00D36FF6" w:rsidP="00D36FF6">
            <w:pPr>
              <w:autoSpaceDE/>
              <w:autoSpaceDN/>
              <w:adjustRightInd/>
              <w:snapToGrid/>
              <w:spacing w:after="0"/>
              <w:ind w:left="1440" w:hanging="1440"/>
              <w:jc w:val="left"/>
              <w:rPr>
                <w:rFonts w:eastAsia="Batang"/>
                <w:sz w:val="20"/>
                <w:szCs w:val="20"/>
                <w:lang w:val="en-GB"/>
              </w:rPr>
            </w:pPr>
            <w:r w:rsidRPr="00D36FF6">
              <w:rPr>
                <w:rFonts w:eastAsia="Batang"/>
                <w:sz w:val="20"/>
                <w:szCs w:val="20"/>
                <w:lang w:val="en-GB"/>
              </w:rPr>
              <w:t>Select one of the following alternatives with possible modification in RAN1#106-e</w:t>
            </w:r>
          </w:p>
          <w:p w14:paraId="193C2105"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A:</w:t>
            </w:r>
          </w:p>
          <w:p w14:paraId="32CB8593"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PUCCH-SR resource selection rule when SR is triggered and 2 PUCCH-SR resources are configured, there is no consensus to adopt alt-1 or alt-2. PUCCH-SR resource selection is up to UE implementation.</w:t>
            </w:r>
          </w:p>
          <w:p w14:paraId="44D01A30"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B: </w:t>
            </w:r>
          </w:p>
          <w:p w14:paraId="7E898FB5"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E5AFEA6" w14:textId="77777777" w:rsidR="00D36FF6" w:rsidRPr="00D36FF6" w:rsidRDefault="00D36FF6" w:rsidP="00D36FF6">
            <w:pPr>
              <w:numPr>
                <w:ilvl w:val="0"/>
                <w:numId w:val="40"/>
              </w:numPr>
              <w:autoSpaceDE/>
              <w:autoSpaceDN/>
              <w:adjustRightInd/>
              <w:snapToGrid/>
              <w:spacing w:after="0"/>
              <w:ind w:left="360"/>
              <w:jc w:val="left"/>
              <w:rPr>
                <w:rFonts w:eastAsia="宋体"/>
                <w:sz w:val="20"/>
                <w:szCs w:val="20"/>
                <w:lang w:eastAsia="ko-KR"/>
              </w:rPr>
            </w:pPr>
            <w:r w:rsidRPr="00D36FF6">
              <w:rPr>
                <w:rFonts w:eastAsia="宋体"/>
                <w:sz w:val="20"/>
                <w:szCs w:val="20"/>
                <w:lang w:eastAsia="ko-KR"/>
              </w:rPr>
              <w:t>Alt 2.5.2 C: </w:t>
            </w:r>
          </w:p>
          <w:p w14:paraId="03E815BA" w14:textId="77777777" w:rsidR="00D36FF6" w:rsidRPr="00D36FF6" w:rsidRDefault="00D36FF6" w:rsidP="00D36FF6">
            <w:pPr>
              <w:numPr>
                <w:ilvl w:val="1"/>
                <w:numId w:val="41"/>
              </w:numPr>
              <w:autoSpaceDE/>
              <w:autoSpaceDN/>
              <w:adjustRightInd/>
              <w:snapToGrid/>
              <w:spacing w:after="0"/>
              <w:ind w:left="720"/>
              <w:jc w:val="left"/>
              <w:rPr>
                <w:rFonts w:eastAsia="宋体"/>
                <w:sz w:val="20"/>
                <w:szCs w:val="20"/>
                <w:lang w:eastAsia="zh-CN"/>
              </w:rPr>
            </w:pPr>
            <w:r w:rsidRPr="00D36FF6">
              <w:rPr>
                <w:rFonts w:eastAsia="宋体"/>
                <w:sz w:val="20"/>
                <w:szCs w:val="20"/>
                <w:lang w:eastAsia="ko-KR"/>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799637F0" w14:textId="77777777" w:rsidR="00D36FF6" w:rsidRPr="00D36FF6" w:rsidRDefault="00D36FF6" w:rsidP="00D36FF6">
            <w:pPr>
              <w:numPr>
                <w:ilvl w:val="0"/>
                <w:numId w:val="41"/>
              </w:numPr>
              <w:autoSpaceDE/>
              <w:autoSpaceDN/>
              <w:adjustRightInd/>
              <w:snapToGrid/>
              <w:spacing w:after="0"/>
              <w:ind w:left="360"/>
              <w:jc w:val="left"/>
              <w:rPr>
                <w:rFonts w:eastAsia="宋体"/>
                <w:sz w:val="20"/>
                <w:szCs w:val="20"/>
                <w:lang w:eastAsia="zh-CN"/>
              </w:rPr>
            </w:pPr>
            <w:r w:rsidRPr="00D36FF6">
              <w:rPr>
                <w:rFonts w:eastAsia="宋体"/>
                <w:sz w:val="20"/>
                <w:szCs w:val="20"/>
                <w:lang w:eastAsia="ko-KR"/>
              </w:rPr>
              <w:t xml:space="preserve">Alt 2.5.2 </w:t>
            </w:r>
            <w:r w:rsidRPr="00D36FF6">
              <w:rPr>
                <w:rFonts w:eastAsia="宋体"/>
                <w:sz w:val="20"/>
                <w:szCs w:val="20"/>
                <w:lang w:eastAsia="zh-CN"/>
              </w:rPr>
              <w:t>D</w:t>
            </w:r>
            <w:r w:rsidRPr="00D36FF6">
              <w:rPr>
                <w:rFonts w:eastAsia="宋体"/>
                <w:sz w:val="20"/>
                <w:szCs w:val="20"/>
                <w:lang w:eastAsia="ko-KR"/>
              </w:rPr>
              <w:t>: </w:t>
            </w:r>
          </w:p>
          <w:p w14:paraId="70A5B609" w14:textId="4BFF9B69" w:rsidR="00D36FF6" w:rsidRPr="00952094" w:rsidRDefault="00D36FF6" w:rsidP="00952094">
            <w:pPr>
              <w:numPr>
                <w:ilvl w:val="1"/>
                <w:numId w:val="41"/>
              </w:numPr>
              <w:autoSpaceDE/>
              <w:autoSpaceDN/>
              <w:adjustRightInd/>
              <w:snapToGrid/>
              <w:spacing w:after="0"/>
              <w:ind w:left="720"/>
              <w:jc w:val="left"/>
              <w:rPr>
                <w:rFonts w:eastAsia="宋体"/>
                <w:sz w:val="20"/>
                <w:szCs w:val="20"/>
                <w:lang w:eastAsia="zh-CN"/>
              </w:rPr>
            </w:pPr>
            <w:bookmarkStart w:id="1" w:name="_Hlk73050134"/>
            <w:r w:rsidRPr="00D36FF6">
              <w:rPr>
                <w:rFonts w:eastAsia="宋体"/>
                <w:sz w:val="20"/>
                <w:szCs w:val="20"/>
                <w:lang w:eastAsia="zh-CN"/>
              </w:rPr>
              <w:t>Revert the past agreement on supporting configuration of up to 2 PUCCH-SR resources. A UE can be configured up to 1 PUCCH-SR resource in a cell group.</w:t>
            </w:r>
            <w:bookmarkEnd w:id="1"/>
            <w:r w:rsidRPr="00D36FF6">
              <w:rPr>
                <w:rFonts w:eastAsia="宋体"/>
                <w:sz w:val="20"/>
                <w:szCs w:val="20"/>
                <w:lang w:eastAsia="zh-CN"/>
              </w:rPr>
              <w:t xml:space="preserve"> </w:t>
            </w:r>
          </w:p>
        </w:tc>
      </w:tr>
    </w:tbl>
    <w:p w14:paraId="3E71FB7F" w14:textId="46D8963D" w:rsidR="004F1E6C" w:rsidRDefault="004F1E6C"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eastAsia="MS Mincho" w:hAnsi="Times New Roman" w:cs="Times New Roman"/>
          <w:color w:val="000000" w:themeColor="text1"/>
          <w:sz w:val="20"/>
          <w:szCs w:val="20"/>
          <w:lang w:eastAsia="ja-JP"/>
        </w:rPr>
        <w:t>When one TRP is blocked, a nature choice for UE is to transmit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another TRP which is hopefully not failed. But which one TRP will be in failure is unpredictable, so UE should be able to send PUCCH</w:t>
      </w:r>
      <w:r w:rsidR="00CA6266">
        <w:rPr>
          <w:rFonts w:ascii="Times New Roman" w:eastAsia="MS Mincho" w:hAnsi="Times New Roman" w:cs="Times New Roman"/>
          <w:color w:val="000000" w:themeColor="text1"/>
          <w:sz w:val="20"/>
          <w:szCs w:val="20"/>
          <w:lang w:eastAsia="ja-JP"/>
        </w:rPr>
        <w:t>-</w:t>
      </w:r>
      <w:r>
        <w:rPr>
          <w:rFonts w:ascii="Times New Roman" w:eastAsia="MS Mincho" w:hAnsi="Times New Roman" w:cs="Times New Roman"/>
          <w:color w:val="000000" w:themeColor="text1"/>
          <w:sz w:val="20"/>
          <w:szCs w:val="20"/>
          <w:lang w:eastAsia="ja-JP"/>
        </w:rPr>
        <w:t>SR to any TRP</w:t>
      </w:r>
      <w:r w:rsidR="00CA6266">
        <w:rPr>
          <w:rFonts w:ascii="Times New Roman" w:eastAsia="MS Mincho" w:hAnsi="Times New Roman" w:cs="Times New Roman"/>
          <w:color w:val="000000" w:themeColor="text1"/>
          <w:sz w:val="20"/>
          <w:szCs w:val="20"/>
          <w:lang w:eastAsia="ja-JP"/>
        </w:rPr>
        <w:t xml:space="preserve"> priori to BFR</w:t>
      </w:r>
      <w:r>
        <w:rPr>
          <w:rFonts w:ascii="Times New Roman" w:eastAsia="MS Mincho" w:hAnsi="Times New Roman" w:cs="Times New Roman"/>
          <w:color w:val="000000" w:themeColor="text1"/>
          <w:sz w:val="20"/>
          <w:szCs w:val="20"/>
          <w:lang w:eastAsia="ja-JP"/>
        </w:rPr>
        <w:t>.</w:t>
      </w:r>
      <w:r w:rsidR="00D36FF6">
        <w:rPr>
          <w:rFonts w:ascii="Times New Roman" w:eastAsia="MS Mincho" w:hAnsi="Times New Roman" w:cs="Times New Roman"/>
          <w:color w:val="000000" w:themeColor="text1"/>
          <w:sz w:val="20"/>
          <w:szCs w:val="20"/>
          <w:lang w:eastAsia="ja-JP"/>
        </w:rPr>
        <w:t xml:space="preserve"> If no </w:t>
      </w:r>
      <w:r w:rsidR="005521FB">
        <w:rPr>
          <w:rFonts w:ascii="Times New Roman" w:eastAsia="MS Mincho" w:hAnsi="Times New Roman" w:cs="Times New Roman"/>
          <w:color w:val="000000" w:themeColor="text1"/>
          <w:sz w:val="20"/>
          <w:szCs w:val="20"/>
          <w:lang w:eastAsia="ja-JP"/>
        </w:rPr>
        <w:t xml:space="preserve">consensus can be achieved among companies, we think the only way left is up to UE selection on which PUCCH-SR resource to use. One simple implementation would be to pick up the PUCCH-SR resource whose PUCCH occasion comes earliest in time so that NW can know the TRP-specific BFR event as early as possible. </w:t>
      </w:r>
    </w:p>
    <w:p w14:paraId="11D1CA96" w14:textId="35C26E17" w:rsidR="004F1E6C" w:rsidRPr="00986E78"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5521FB">
        <w:rPr>
          <w:rFonts w:ascii="Arial" w:hAnsi="Arial" w:cs="Arial"/>
          <w:b/>
          <w:sz w:val="22"/>
          <w:szCs w:val="22"/>
        </w:rPr>
        <w:t>If PUCCH-SR resource is associated with BFD-RS set</w:t>
      </w:r>
      <w:r w:rsidR="004F1E6C">
        <w:rPr>
          <w:rFonts w:ascii="Arial" w:hAnsi="Arial" w:cs="Arial"/>
          <w:b/>
          <w:sz w:val="22"/>
          <w:szCs w:val="22"/>
        </w:rPr>
        <w:t xml:space="preserve">, </w:t>
      </w:r>
      <w:r w:rsidR="00CA6266">
        <w:rPr>
          <w:rFonts w:ascii="Arial" w:hAnsi="Arial" w:cs="Arial"/>
          <w:b/>
          <w:sz w:val="22"/>
          <w:szCs w:val="22"/>
        </w:rPr>
        <w:t xml:space="preserve">support UE to select the PUCCH-SR </w:t>
      </w:r>
      <w:r w:rsidR="005521FB">
        <w:rPr>
          <w:rFonts w:ascii="Arial" w:hAnsi="Arial" w:cs="Arial"/>
          <w:b/>
          <w:sz w:val="22"/>
          <w:szCs w:val="22"/>
        </w:rPr>
        <w:t xml:space="preserve">resource </w:t>
      </w:r>
      <w:r w:rsidR="00CA6266">
        <w:rPr>
          <w:rFonts w:ascii="Arial" w:hAnsi="Arial" w:cs="Arial"/>
          <w:b/>
          <w:sz w:val="22"/>
          <w:szCs w:val="22"/>
        </w:rPr>
        <w:t>associated with non-failed TRP</w:t>
      </w:r>
      <w:r w:rsidR="004F1E6C">
        <w:rPr>
          <w:rFonts w:ascii="Arial" w:hAnsi="Arial" w:cs="Arial"/>
          <w:b/>
          <w:sz w:val="22"/>
          <w:szCs w:val="22"/>
        </w:rPr>
        <w:t>.</w:t>
      </w:r>
      <w:r w:rsidR="005521FB">
        <w:rPr>
          <w:rFonts w:ascii="Arial" w:hAnsi="Arial" w:cs="Arial"/>
          <w:b/>
          <w:sz w:val="22"/>
          <w:szCs w:val="22"/>
        </w:rPr>
        <w:t xml:space="preserve"> Otherwise, support UE implementation on PUCCH-SR resource selection (Alt 2.5.2 C).  </w:t>
      </w:r>
    </w:p>
    <w:p w14:paraId="7A1D43CA" w14:textId="2243B4E1" w:rsidR="00A65D9B" w:rsidRDefault="00A65D9B" w:rsidP="00986E78">
      <w:pPr>
        <w:pStyle w:val="ListParagraph"/>
        <w:spacing w:after="80"/>
        <w:ind w:left="0"/>
        <w:rPr>
          <w:rFonts w:ascii="Times New Roman" w:hAnsi="Times New Roman" w:cs="Times New Roman"/>
          <w:color w:val="000000" w:themeColor="text1"/>
          <w:sz w:val="20"/>
          <w:szCs w:val="20"/>
          <w:lang w:eastAsia="ja-JP"/>
        </w:rPr>
      </w:pPr>
      <w:r w:rsidRPr="73DFAA64">
        <w:rPr>
          <w:rFonts w:ascii="Times New Roman" w:hAnsi="Times New Roman" w:cs="Times New Roman"/>
          <w:color w:val="000000" w:themeColor="text1"/>
          <w:sz w:val="20"/>
          <w:szCs w:val="20"/>
          <w:lang w:eastAsia="ja-JP"/>
        </w:rPr>
        <w:t xml:space="preserve">From signaling perspective, </w:t>
      </w:r>
      <w:r w:rsidR="009B52C8" w:rsidRPr="73DFAA64">
        <w:rPr>
          <w:rFonts w:ascii="Times New Roman" w:hAnsi="Times New Roman" w:cs="Times New Roman"/>
          <w:color w:val="000000" w:themeColor="text1"/>
          <w:sz w:val="20"/>
          <w:szCs w:val="20"/>
          <w:lang w:eastAsia="ja-JP"/>
        </w:rPr>
        <w:t xml:space="preserve">the BFRQ MAC CE should provide enough information on BFR to NW. </w:t>
      </w:r>
      <w:r w:rsidR="00AE4DB8">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ince </w:t>
      </w:r>
      <w:r w:rsidR="009B52C8" w:rsidRPr="73DFAA64">
        <w:rPr>
          <w:rFonts w:ascii="Times New Roman" w:hAnsi="Times New Roman" w:cs="Times New Roman"/>
          <w:color w:val="000000" w:themeColor="text1"/>
          <w:sz w:val="20"/>
          <w:szCs w:val="20"/>
          <w:lang w:eastAsia="ja-JP"/>
        </w:rPr>
        <w:t xml:space="preserve">each </w:t>
      </w:r>
      <w:r w:rsidRPr="73DFAA64">
        <w:rPr>
          <w:rFonts w:ascii="Times New Roman" w:hAnsi="Times New Roman" w:cs="Times New Roman"/>
          <w:color w:val="000000" w:themeColor="text1"/>
          <w:sz w:val="20"/>
          <w:szCs w:val="20"/>
          <w:lang w:eastAsia="ja-JP"/>
        </w:rPr>
        <w:t xml:space="preserve">TRP can be identified by </w:t>
      </w:r>
      <w:r w:rsidR="009B52C8" w:rsidRPr="73DFAA64">
        <w:rPr>
          <w:rFonts w:ascii="Times New Roman" w:hAnsi="Times New Roman" w:cs="Times New Roman"/>
          <w:color w:val="000000" w:themeColor="text1"/>
          <w:sz w:val="20"/>
          <w:szCs w:val="20"/>
          <w:lang w:eastAsia="ja-JP"/>
        </w:rPr>
        <w:t xml:space="preserve">a </w:t>
      </w:r>
      <w:proofErr w:type="spellStart"/>
      <w:r w:rsidRPr="73DFAA64">
        <w:rPr>
          <w:rFonts w:ascii="Times New Roman" w:hAnsi="Times New Roman" w:cs="Times New Roman"/>
          <w:i/>
          <w:iCs/>
          <w:color w:val="000000" w:themeColor="text1"/>
          <w:sz w:val="20"/>
          <w:szCs w:val="20"/>
          <w:lang w:eastAsia="ja-JP"/>
        </w:rPr>
        <w:t>CORESETPoolIndex</w:t>
      </w:r>
      <w:proofErr w:type="spellEnd"/>
      <w:r w:rsidRPr="73DFAA64">
        <w:rPr>
          <w:rFonts w:ascii="Times New Roman" w:hAnsi="Times New Roman" w:cs="Times New Roman"/>
          <w:color w:val="000000" w:themeColor="text1"/>
          <w:sz w:val="20"/>
          <w:szCs w:val="20"/>
          <w:lang w:eastAsia="ja-JP"/>
        </w:rPr>
        <w:t xml:space="preserve">, it is </w:t>
      </w:r>
      <w:r w:rsidR="009B52C8" w:rsidRPr="73DFAA64">
        <w:rPr>
          <w:rFonts w:ascii="Times New Roman" w:hAnsi="Times New Roman" w:cs="Times New Roman"/>
          <w:color w:val="000000" w:themeColor="text1"/>
          <w:sz w:val="20"/>
          <w:szCs w:val="20"/>
          <w:lang w:eastAsia="ja-JP"/>
        </w:rPr>
        <w:t xml:space="preserve">straight </w:t>
      </w:r>
      <w:r w:rsidR="0F446970" w:rsidRPr="73DFAA64">
        <w:rPr>
          <w:rFonts w:ascii="Times New Roman" w:hAnsi="Times New Roman" w:cs="Times New Roman"/>
          <w:color w:val="000000" w:themeColor="text1"/>
          <w:sz w:val="20"/>
          <w:szCs w:val="20"/>
          <w:lang w:eastAsia="ja-JP"/>
        </w:rPr>
        <w:t>for</w:t>
      </w:r>
      <w:r w:rsidR="009B52C8" w:rsidRPr="73DFAA64">
        <w:rPr>
          <w:rFonts w:ascii="Times New Roman" w:hAnsi="Times New Roman" w:cs="Times New Roman"/>
          <w:color w:val="000000" w:themeColor="text1"/>
          <w:sz w:val="20"/>
          <w:szCs w:val="20"/>
          <w:lang w:eastAsia="ja-JP"/>
        </w:rPr>
        <w:t>ward</w:t>
      </w:r>
      <w:r w:rsidRPr="73DFAA64">
        <w:rPr>
          <w:rFonts w:ascii="Times New Roman" w:hAnsi="Times New Roman" w:cs="Times New Roman"/>
          <w:color w:val="000000" w:themeColor="text1"/>
          <w:sz w:val="20"/>
          <w:szCs w:val="20"/>
          <w:lang w:eastAsia="ja-JP"/>
        </w:rPr>
        <w:t xml:space="preserve"> for</w:t>
      </w:r>
      <w:r w:rsidR="4ECAFB33" w:rsidRPr="73DFAA64">
        <w:rPr>
          <w:rFonts w:ascii="Times New Roman" w:hAnsi="Times New Roman" w:cs="Times New Roman"/>
          <w:color w:val="000000" w:themeColor="text1"/>
          <w:sz w:val="20"/>
          <w:szCs w:val="20"/>
          <w:lang w:eastAsia="ja-JP"/>
        </w:rPr>
        <w:t xml:space="preserve"> a</w:t>
      </w:r>
      <w:r w:rsidRPr="73DFAA64">
        <w:rPr>
          <w:rFonts w:ascii="Times New Roman" w:hAnsi="Times New Roman" w:cs="Times New Roman"/>
          <w:color w:val="000000" w:themeColor="text1"/>
          <w:sz w:val="20"/>
          <w:szCs w:val="20"/>
          <w:lang w:eastAsia="ja-JP"/>
        </w:rPr>
        <w:t xml:space="preserve"> UE to report such TRP “ID” to NW. Therefore, </w:t>
      </w:r>
      <w:r w:rsidRPr="73DFAA64">
        <w:rPr>
          <w:rFonts w:ascii="Times New Roman" w:hAnsi="Times New Roman" w:cs="Times New Roman"/>
          <w:color w:val="000000" w:themeColor="text1"/>
          <w:sz w:val="20"/>
          <w:szCs w:val="20"/>
        </w:rPr>
        <w:t>NW</w:t>
      </w:r>
      <w:r w:rsidRPr="73DFAA64">
        <w:rPr>
          <w:rFonts w:ascii="Times New Roman" w:hAnsi="Times New Roman" w:cs="Times New Roman"/>
          <w:color w:val="000000" w:themeColor="text1"/>
          <w:sz w:val="20"/>
          <w:szCs w:val="20"/>
          <w:lang w:eastAsia="ja-JP"/>
        </w:rPr>
        <w:t xml:space="preserve"> can </w:t>
      </w:r>
      <w:r w:rsidR="0078004C">
        <w:rPr>
          <w:rFonts w:ascii="Times New Roman" w:hAnsi="Times New Roman" w:cs="Times New Roman"/>
          <w:color w:val="000000" w:themeColor="text1"/>
          <w:sz w:val="20"/>
          <w:szCs w:val="20"/>
          <w:lang w:eastAsia="ja-JP"/>
        </w:rPr>
        <w:t xml:space="preserve">know </w:t>
      </w:r>
      <w:r w:rsidRPr="73DFAA64">
        <w:rPr>
          <w:rFonts w:ascii="Times New Roman" w:hAnsi="Times New Roman" w:cs="Times New Roman"/>
          <w:color w:val="000000" w:themeColor="text1"/>
          <w:sz w:val="20"/>
          <w:szCs w:val="20"/>
          <w:lang w:eastAsia="ja-JP"/>
        </w:rPr>
        <w:t>which TRP</w:t>
      </w:r>
      <w:r w:rsidR="0078004C">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a UE experience</w:t>
      </w:r>
      <w:r w:rsidR="009B52C8" w:rsidRPr="73DFAA64">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beam failure.</w:t>
      </w:r>
      <w:r w:rsidR="009B52C8" w:rsidRPr="73DFAA64">
        <w:rPr>
          <w:rFonts w:ascii="Times New Roman" w:hAnsi="Times New Roman" w:cs="Times New Roman"/>
          <w:color w:val="000000" w:themeColor="text1"/>
          <w:sz w:val="20"/>
          <w:szCs w:val="20"/>
          <w:lang w:eastAsia="ja-JP"/>
        </w:rPr>
        <w:t xml:space="preserve"> </w:t>
      </w:r>
      <w:r w:rsidR="0078004C">
        <w:rPr>
          <w:rFonts w:ascii="Times New Roman" w:hAnsi="Times New Roman" w:cs="Times New Roman"/>
          <w:color w:val="000000" w:themeColor="text1"/>
          <w:sz w:val="20"/>
          <w:szCs w:val="20"/>
          <w:lang w:eastAsia="ja-JP"/>
        </w:rPr>
        <w:t xml:space="preserve">In addition, there is </w:t>
      </w:r>
      <w:r w:rsidR="00AE4DB8">
        <w:rPr>
          <w:rFonts w:ascii="Times New Roman" w:hAnsi="Times New Roman" w:cs="Times New Roman"/>
          <w:color w:val="000000" w:themeColor="text1"/>
          <w:sz w:val="20"/>
          <w:szCs w:val="20"/>
          <w:lang w:eastAsia="ja-JP"/>
        </w:rPr>
        <w:t xml:space="preserve">a </w:t>
      </w:r>
      <w:r w:rsidR="0078004C">
        <w:rPr>
          <w:rFonts w:ascii="Times New Roman" w:hAnsi="Times New Roman" w:cs="Times New Roman"/>
          <w:color w:val="000000" w:themeColor="text1"/>
          <w:sz w:val="20"/>
          <w:szCs w:val="20"/>
          <w:lang w:eastAsia="ja-JP"/>
        </w:rPr>
        <w:t xml:space="preserve">possibility that both TRPs within a CC fail at the same time. Hence, the BFRQ should be designed to facilitate UE to convey both failed TRPs to NW in one MAC CE. </w:t>
      </w:r>
      <w:r w:rsidR="000E3FC7" w:rsidRPr="73DFAA64">
        <w:rPr>
          <w:rFonts w:ascii="Times New Roman" w:hAnsi="Times New Roman" w:cs="Times New Roman"/>
          <w:color w:val="000000" w:themeColor="text1"/>
          <w:sz w:val="20"/>
          <w:szCs w:val="20"/>
          <w:lang w:eastAsia="ja-JP"/>
        </w:rPr>
        <w:t xml:space="preserve">This is similarly design in Rel.16 for </w:t>
      </w:r>
      <w:r w:rsidR="004F1E6C">
        <w:rPr>
          <w:rFonts w:ascii="Times New Roman" w:hAnsi="Times New Roman" w:cs="Times New Roman"/>
          <w:color w:val="000000" w:themeColor="text1"/>
          <w:sz w:val="20"/>
          <w:szCs w:val="20"/>
          <w:lang w:eastAsia="ja-JP"/>
        </w:rPr>
        <w:t xml:space="preserve">multiple </w:t>
      </w:r>
      <w:proofErr w:type="spellStart"/>
      <w:r w:rsidR="000E3FC7" w:rsidRPr="73DFAA64">
        <w:rPr>
          <w:rFonts w:ascii="Times New Roman" w:hAnsi="Times New Roman" w:cs="Times New Roman"/>
          <w:color w:val="000000" w:themeColor="text1"/>
          <w:sz w:val="20"/>
          <w:szCs w:val="20"/>
          <w:lang w:eastAsia="ja-JP"/>
        </w:rPr>
        <w:t>SCell</w:t>
      </w:r>
      <w:proofErr w:type="spellEnd"/>
      <w:r w:rsidR="000E3FC7" w:rsidRPr="73DFAA64">
        <w:rPr>
          <w:rFonts w:ascii="Times New Roman" w:hAnsi="Times New Roman" w:cs="Times New Roman"/>
          <w:color w:val="000000" w:themeColor="text1"/>
          <w:sz w:val="20"/>
          <w:szCs w:val="20"/>
          <w:lang w:eastAsia="ja-JP"/>
        </w:rPr>
        <w:t xml:space="preserve"> BFRQ. </w:t>
      </w:r>
    </w:p>
    <w:p w14:paraId="1BBEFE9F" w14:textId="7306D4A5" w:rsidR="000E3FC7" w:rsidRPr="00986E78" w:rsidRDefault="00E03F3B" w:rsidP="00BA4478">
      <w:pPr>
        <w:pStyle w:val="ListParagraph"/>
        <w:numPr>
          <w:ilvl w:val="0"/>
          <w:numId w:val="6"/>
        </w:numPr>
        <w:spacing w:after="80"/>
        <w:rPr>
          <w:rFonts w:ascii="Arial" w:hAnsi="Arial" w:cs="Arial"/>
          <w:b/>
        </w:rPr>
      </w:pPr>
      <w:bookmarkStart w:id="2" w:name="_Hlk61601950"/>
      <w:r>
        <w:rPr>
          <w:rFonts w:ascii="Arial" w:hAnsi="Arial" w:cs="Arial"/>
          <w:b/>
          <w:sz w:val="22"/>
          <w:szCs w:val="22"/>
        </w:rPr>
        <w:t xml:space="preserve"> </w:t>
      </w:r>
      <w:r w:rsidR="00AE4DB8">
        <w:rPr>
          <w:rFonts w:ascii="Arial" w:hAnsi="Arial" w:cs="Arial"/>
          <w:b/>
          <w:sz w:val="22"/>
          <w:szCs w:val="22"/>
        </w:rPr>
        <w:t xml:space="preserve">For </w:t>
      </w:r>
      <w:r w:rsidR="00CA6266">
        <w:rPr>
          <w:rFonts w:ascii="Arial" w:hAnsi="Arial" w:cs="Arial"/>
          <w:b/>
          <w:sz w:val="22"/>
          <w:szCs w:val="22"/>
        </w:rPr>
        <w:t>TRP-specific</w:t>
      </w:r>
      <w:r w:rsidR="00AE4DB8">
        <w:rPr>
          <w:rFonts w:ascii="Arial" w:hAnsi="Arial" w:cs="Arial"/>
          <w:b/>
          <w:sz w:val="22"/>
          <w:szCs w:val="22"/>
        </w:rPr>
        <w:t xml:space="preserve"> BFRQ, support to use </w:t>
      </w:r>
      <w:proofErr w:type="spellStart"/>
      <w:r w:rsidR="00AE4DB8" w:rsidRPr="00927A75">
        <w:rPr>
          <w:rFonts w:ascii="Arial" w:hAnsi="Arial" w:cs="Arial"/>
          <w:b/>
          <w:i/>
          <w:sz w:val="22"/>
          <w:szCs w:val="22"/>
        </w:rPr>
        <w:t>CORESETPoolIndex</w:t>
      </w:r>
      <w:proofErr w:type="spellEnd"/>
      <w:r w:rsidR="00AE4DB8">
        <w:rPr>
          <w:rFonts w:ascii="Arial" w:hAnsi="Arial" w:cs="Arial"/>
          <w:b/>
          <w:i/>
          <w:sz w:val="22"/>
          <w:szCs w:val="22"/>
        </w:rPr>
        <w:t>(es)</w:t>
      </w:r>
      <w:r w:rsidR="00AE4DB8" w:rsidRPr="00927A75">
        <w:rPr>
          <w:rFonts w:ascii="Arial" w:hAnsi="Arial" w:cs="Arial"/>
          <w:b/>
          <w:sz w:val="22"/>
          <w:szCs w:val="22"/>
        </w:rPr>
        <w:t xml:space="preserve"> </w:t>
      </w:r>
      <w:r w:rsidR="00AE4DB8">
        <w:rPr>
          <w:rFonts w:ascii="Arial" w:hAnsi="Arial" w:cs="Arial"/>
          <w:b/>
          <w:sz w:val="22"/>
          <w:szCs w:val="22"/>
        </w:rPr>
        <w:t>in</w:t>
      </w:r>
      <w:r w:rsidR="00AE4DB8" w:rsidRPr="00986E78">
        <w:rPr>
          <w:rFonts w:ascii="Arial" w:hAnsi="Arial" w:cs="Arial"/>
          <w:b/>
          <w:sz w:val="22"/>
          <w:szCs w:val="22"/>
        </w:rPr>
        <w:t xml:space="preserve"> </w:t>
      </w:r>
      <w:r w:rsidR="00AE4DB8">
        <w:rPr>
          <w:rFonts w:ascii="Arial" w:hAnsi="Arial" w:cs="Arial"/>
          <w:b/>
          <w:sz w:val="22"/>
          <w:szCs w:val="22"/>
        </w:rPr>
        <w:t xml:space="preserve">one BFRQ </w:t>
      </w:r>
      <w:r w:rsidR="000E3FC7" w:rsidRPr="00986E78">
        <w:rPr>
          <w:rFonts w:ascii="Arial" w:hAnsi="Arial" w:cs="Arial"/>
          <w:b/>
          <w:sz w:val="22"/>
          <w:szCs w:val="22"/>
        </w:rPr>
        <w:t xml:space="preserve">MAC CE </w:t>
      </w:r>
      <w:r w:rsidR="00AE4DB8">
        <w:rPr>
          <w:rFonts w:ascii="Arial" w:hAnsi="Arial" w:cs="Arial"/>
          <w:b/>
          <w:sz w:val="22"/>
          <w:szCs w:val="22"/>
        </w:rPr>
        <w:t xml:space="preserve">as </w:t>
      </w:r>
      <w:r w:rsidR="000E3FC7" w:rsidRPr="00986E78">
        <w:rPr>
          <w:rFonts w:ascii="Arial" w:hAnsi="Arial" w:cs="Arial"/>
          <w:b/>
          <w:sz w:val="22"/>
          <w:szCs w:val="22"/>
        </w:rPr>
        <w:t>failed TRP ID(s)</w:t>
      </w:r>
      <w:r w:rsidR="00AE4DB8">
        <w:rPr>
          <w:rFonts w:ascii="Arial" w:hAnsi="Arial" w:cs="Arial"/>
          <w:b/>
          <w:sz w:val="22"/>
          <w:szCs w:val="22"/>
        </w:rPr>
        <w:t>.</w:t>
      </w:r>
    </w:p>
    <w:p w14:paraId="59EE3FE3" w14:textId="120A1837" w:rsidR="00463B9B" w:rsidRPr="00927A75" w:rsidRDefault="008E463C" w:rsidP="00463B9B">
      <w:pPr>
        <w:pStyle w:val="Heading2"/>
        <w:spacing w:after="80"/>
        <w:rPr>
          <w:rFonts w:ascii="Arial" w:hAnsi="Arial" w:cs="Arial"/>
          <w:szCs w:val="24"/>
          <w:lang w:eastAsia="ja-JP"/>
        </w:rPr>
      </w:pPr>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637263A" w14:textId="37021B96" w:rsidR="009B2FA4"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w:t>
      </w:r>
      <w:r w:rsidR="009B2FA4">
        <w:rPr>
          <w:color w:val="000000" w:themeColor="text1"/>
          <w:sz w:val="20"/>
          <w:szCs w:val="20"/>
          <w:lang w:eastAsia="ja-JP"/>
        </w:rPr>
        <w:t>In RAN#96e, the following agreement on BFRR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2FA4" w:rsidRPr="00797A8E" w14:paraId="54BDCC65" w14:textId="77777777" w:rsidTr="004236B7">
        <w:trPr>
          <w:trHeight w:val="1364"/>
        </w:trPr>
        <w:tc>
          <w:tcPr>
            <w:tcW w:w="9639" w:type="dxa"/>
          </w:tcPr>
          <w:p w14:paraId="3B24830B" w14:textId="77777777" w:rsidR="009B2FA4" w:rsidRPr="009B2FA4" w:rsidRDefault="009B2FA4" w:rsidP="009B2FA4">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9B2FA4">
              <w:rPr>
                <w:rFonts w:ascii="Times" w:eastAsia="Batang" w:hAnsi="Times" w:cs="Times"/>
                <w:b/>
                <w:bCs/>
                <w:sz w:val="20"/>
                <w:szCs w:val="20"/>
                <w:highlight w:val="green"/>
                <w:lang w:val="en-GB" w:eastAsia="x-none"/>
              </w:rPr>
              <w:lastRenderedPageBreak/>
              <w:t>Agreement</w:t>
            </w:r>
          </w:p>
          <w:p w14:paraId="02C3FFD6"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43A691E"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How to associate CORESET(s) with failed BFD-RS set</w:t>
            </w:r>
          </w:p>
          <w:p w14:paraId="3FDF7C77"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SCS configuration of 28 symbols</w:t>
            </w:r>
          </w:p>
          <w:p w14:paraId="7BB6C688"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FFS: Update of QCL assumption for other DL channels/RSs, UL spatial filter/power control assumption for PUCCH, and other UL channels/RSs </w:t>
            </w:r>
          </w:p>
          <w:p w14:paraId="2DEB3F6D"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FFS: the case of CORESETs with 2 activated TCI states per CORESET. </w:t>
            </w:r>
          </w:p>
          <w:p w14:paraId="34ED015B"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The above applies to </w:t>
            </w:r>
            <w:proofErr w:type="spellStart"/>
            <w:r w:rsidRPr="009B2FA4">
              <w:rPr>
                <w:rFonts w:eastAsia="Malgun Gothic" w:cs="Batang"/>
                <w:sz w:val="20"/>
                <w:szCs w:val="20"/>
                <w:lang w:val="en-GB"/>
              </w:rPr>
              <w:t>SCell</w:t>
            </w:r>
            <w:proofErr w:type="spellEnd"/>
            <w:r w:rsidRPr="009B2FA4">
              <w:rPr>
                <w:rFonts w:eastAsia="Malgun Gothic" w:cs="Batang"/>
                <w:sz w:val="20"/>
                <w:szCs w:val="20"/>
                <w:lang w:val="en-GB"/>
              </w:rPr>
              <w:t xml:space="preserve"> and </w:t>
            </w:r>
            <w:proofErr w:type="spellStart"/>
            <w:r w:rsidRPr="009B2FA4">
              <w:rPr>
                <w:rFonts w:eastAsia="Malgun Gothic" w:cs="Batang"/>
                <w:sz w:val="20"/>
                <w:szCs w:val="20"/>
                <w:lang w:val="en-GB"/>
              </w:rPr>
              <w:t>SpCell</w:t>
            </w:r>
            <w:proofErr w:type="spellEnd"/>
          </w:p>
          <w:p w14:paraId="349BB6BA" w14:textId="15045FA5" w:rsidR="009B2FA4" w:rsidRPr="005836EA" w:rsidRDefault="009B2FA4" w:rsidP="005836EA">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The above applies at least for the multi-DCI case</w:t>
            </w:r>
          </w:p>
        </w:tc>
      </w:tr>
    </w:tbl>
    <w:p w14:paraId="0E79EE8F" w14:textId="080B457D" w:rsidR="009D3B6B" w:rsidRDefault="009D3B6B" w:rsidP="009B2FA4">
      <w:pPr>
        <w:spacing w:before="80" w:after="80"/>
        <w:rPr>
          <w:color w:val="000000" w:themeColor="text1"/>
          <w:sz w:val="20"/>
          <w:szCs w:val="20"/>
          <w:lang w:eastAsia="ja-JP"/>
        </w:rPr>
      </w:pPr>
      <w:proofErr w:type="gramStart"/>
      <w:r>
        <w:rPr>
          <w:color w:val="000000" w:themeColor="text1"/>
          <w:sz w:val="20"/>
          <w:szCs w:val="20"/>
          <w:lang w:eastAsia="ja-JP"/>
        </w:rPr>
        <w:t>It is clear that the</w:t>
      </w:r>
      <w:proofErr w:type="gramEnd"/>
      <w:r>
        <w:rPr>
          <w:color w:val="000000" w:themeColor="text1"/>
          <w:sz w:val="20"/>
          <w:szCs w:val="20"/>
          <w:lang w:eastAsia="ja-JP"/>
        </w:rPr>
        <w:t xml:space="preserve"> QCL assumption of all CORESETs associated with failed BFD-RS set are updated to the newly reported beam. Due to the nature of TRP-specific BFR, those CORESETs belonging to the failed TRP link are configured (or by default) with the same </w:t>
      </w:r>
      <w:proofErr w:type="spellStart"/>
      <w:r>
        <w:rPr>
          <w:color w:val="000000" w:themeColor="text1"/>
          <w:sz w:val="20"/>
          <w:szCs w:val="20"/>
          <w:lang w:eastAsia="ja-JP"/>
        </w:rPr>
        <w:t>CORESETPoolIndex</w:t>
      </w:r>
      <w:proofErr w:type="spellEnd"/>
      <w:r>
        <w:rPr>
          <w:color w:val="000000" w:themeColor="text1"/>
          <w:sz w:val="20"/>
          <w:szCs w:val="20"/>
          <w:lang w:eastAsia="ja-JP"/>
        </w:rPr>
        <w:t xml:space="preserve">, which we think is the key parameter to associated with BFD-RS set. </w:t>
      </w:r>
    </w:p>
    <w:p w14:paraId="6C69F13E" w14:textId="738F2C85" w:rsidR="004834DF" w:rsidRDefault="008E463C" w:rsidP="009B2FA4">
      <w:pPr>
        <w:spacing w:before="80" w:after="80"/>
        <w:rPr>
          <w:color w:val="000000" w:themeColor="text1"/>
          <w:sz w:val="20"/>
          <w:szCs w:val="20"/>
          <w:lang w:eastAsia="ja-JP"/>
        </w:rPr>
      </w:pPr>
      <w:r>
        <w:rPr>
          <w:color w:val="000000" w:themeColor="text1"/>
          <w:sz w:val="20"/>
          <w:szCs w:val="20"/>
          <w:lang w:eastAsia="ja-JP"/>
        </w:rPr>
        <w:t xml:space="preserve">Following the same rule, the reported new DL beam (if any) should be used for UE to determine new UL Tx spatial filter </w:t>
      </w:r>
      <w:r w:rsidR="004834DF">
        <w:rPr>
          <w:color w:val="000000" w:themeColor="text1"/>
          <w:sz w:val="20"/>
          <w:szCs w:val="20"/>
          <w:lang w:eastAsia="ja-JP"/>
        </w:rPr>
        <w:t xml:space="preserve">and power control assumption </w:t>
      </w:r>
      <w:r>
        <w:rPr>
          <w:color w:val="000000" w:themeColor="text1"/>
          <w:sz w:val="20"/>
          <w:szCs w:val="20"/>
          <w:lang w:eastAsia="ja-JP"/>
        </w:rPr>
        <w:t xml:space="preserve">for TRP-specific PUCCH transmission. </w:t>
      </w:r>
    </w:p>
    <w:p w14:paraId="17BFC357" w14:textId="6B4B9D25" w:rsidR="008E463C" w:rsidRDefault="009B2FA4" w:rsidP="005836EA">
      <w:pPr>
        <w:spacing w:before="80" w:after="80"/>
        <w:rPr>
          <w:color w:val="000000" w:themeColor="text1"/>
          <w:sz w:val="20"/>
          <w:szCs w:val="20"/>
          <w:lang w:eastAsia="ja-JP"/>
        </w:rPr>
      </w:pPr>
      <w:r>
        <w:rPr>
          <w:color w:val="000000" w:themeColor="text1"/>
          <w:sz w:val="20"/>
          <w:szCs w:val="20"/>
          <w:lang w:eastAsia="ja-JP"/>
        </w:rPr>
        <w:t>C</w:t>
      </w:r>
      <w:r w:rsidR="008E463C">
        <w:rPr>
          <w:color w:val="000000" w:themeColor="text1"/>
          <w:sz w:val="20"/>
          <w:szCs w:val="20"/>
          <w:lang w:eastAsia="ja-JP"/>
        </w:rPr>
        <w:t xml:space="preserve">onsidering UE’s processing time and new beam retuning time, the new beam shall apply after a period of time, </w:t>
      </w:r>
      <w:proofErr w:type="gramStart"/>
      <w:r w:rsidR="00D40A23">
        <w:rPr>
          <w:color w:val="000000" w:themeColor="text1"/>
          <w:sz w:val="20"/>
          <w:szCs w:val="20"/>
          <w:lang w:eastAsia="ja-JP"/>
        </w:rPr>
        <w:t>i.e.</w:t>
      </w:r>
      <w:proofErr w:type="gramEnd"/>
      <w:r w:rsidR="008E463C">
        <w:rPr>
          <w:color w:val="000000" w:themeColor="text1"/>
          <w:sz w:val="20"/>
          <w:szCs w:val="20"/>
          <w:lang w:eastAsia="ja-JP"/>
        </w:rPr>
        <w:t xml:space="preserve"> 28 OFDM symbols</w:t>
      </w:r>
      <w:r w:rsidR="00D40A23">
        <w:rPr>
          <w:color w:val="000000" w:themeColor="text1"/>
          <w:sz w:val="20"/>
          <w:szCs w:val="20"/>
          <w:lang w:eastAsia="ja-JP"/>
        </w:rPr>
        <w:t>,</w:t>
      </w:r>
      <w:r w:rsidR="008E463C">
        <w:rPr>
          <w:color w:val="000000" w:themeColor="text1"/>
          <w:sz w:val="20"/>
          <w:szCs w:val="20"/>
          <w:lang w:eastAsia="ja-JP"/>
        </w:rPr>
        <w:t xml:space="preserve"> when counting on the smallest SCS of </w:t>
      </w:r>
      <w:r w:rsidR="00D40A23">
        <w:rPr>
          <w:color w:val="000000" w:themeColor="text1"/>
          <w:sz w:val="20"/>
          <w:szCs w:val="20"/>
          <w:lang w:eastAsia="ja-JP"/>
        </w:rPr>
        <w:t>active DL BWP carrying the DCI (for BFRR) and active BWP of CC(s) reported in the MAC CE of BFRQ</w:t>
      </w:r>
      <w:r w:rsidR="008E463C">
        <w:rPr>
          <w:color w:val="000000" w:themeColor="text1"/>
          <w:sz w:val="20"/>
          <w:szCs w:val="20"/>
          <w:lang w:eastAsia="ja-JP"/>
        </w:rPr>
        <w:t xml:space="preserve">.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6F3E3E0C" w:rsidR="008E463C" w:rsidRPr="005836EA" w:rsidRDefault="00E03F3B" w:rsidP="00986E78">
      <w:pPr>
        <w:pStyle w:val="ListParagraph"/>
        <w:numPr>
          <w:ilvl w:val="0"/>
          <w:numId w:val="6"/>
        </w:numPr>
        <w:spacing w:after="80"/>
        <w:rPr>
          <w:rFonts w:ascii="Arial" w:hAnsi="Arial" w:cs="Arial"/>
          <w:b/>
        </w:rPr>
      </w:pPr>
      <w:r>
        <w:rPr>
          <w:rFonts w:ascii="Arial" w:hAnsi="Arial" w:cs="Arial"/>
          <w:b/>
          <w:sz w:val="22"/>
          <w:szCs w:val="22"/>
        </w:rPr>
        <w:t xml:space="preserve"> </w:t>
      </w:r>
      <w:r w:rsidR="00D40A23">
        <w:rPr>
          <w:rFonts w:ascii="Arial" w:hAnsi="Arial" w:cs="Arial"/>
          <w:b/>
          <w:sz w:val="22"/>
          <w:szCs w:val="22"/>
        </w:rPr>
        <w:t>On</w:t>
      </w:r>
      <w:r w:rsidR="008E463C">
        <w:rPr>
          <w:rFonts w:ascii="Arial" w:hAnsi="Arial" w:cs="Arial"/>
          <w:b/>
          <w:sz w:val="22"/>
          <w:szCs w:val="22"/>
        </w:rPr>
        <w:t xml:space="preserve"> </w:t>
      </w:r>
      <w:r w:rsidR="00D40A23">
        <w:rPr>
          <w:rFonts w:ascii="Arial" w:hAnsi="Arial" w:cs="Arial"/>
          <w:b/>
          <w:sz w:val="22"/>
          <w:szCs w:val="22"/>
        </w:rPr>
        <w:t xml:space="preserve">new QCL assumption for DL and </w:t>
      </w:r>
      <w:r w:rsidR="008E463C">
        <w:rPr>
          <w:rFonts w:ascii="Arial" w:hAnsi="Arial" w:cs="Arial"/>
          <w:b/>
          <w:sz w:val="22"/>
          <w:szCs w:val="22"/>
        </w:rPr>
        <w:t xml:space="preserve">spatial relation </w:t>
      </w:r>
      <w:r w:rsidR="00D40A23">
        <w:rPr>
          <w:rFonts w:ascii="Arial" w:hAnsi="Arial" w:cs="Arial"/>
          <w:b/>
          <w:sz w:val="22"/>
          <w:szCs w:val="22"/>
        </w:rPr>
        <w:t>and power control for</w:t>
      </w:r>
      <w:r w:rsidR="008E463C">
        <w:rPr>
          <w:rFonts w:ascii="Arial" w:hAnsi="Arial" w:cs="Arial"/>
          <w:b/>
          <w:sz w:val="22"/>
          <w:szCs w:val="22"/>
        </w:rPr>
        <w:t xml:space="preserve"> UL after BFRR, support to reuse </w:t>
      </w:r>
      <w:r w:rsidR="008E463C">
        <w:rPr>
          <w:rFonts w:ascii="Arial" w:hAnsi="Arial" w:cs="Arial"/>
          <w:b/>
          <w:iCs/>
          <w:sz w:val="22"/>
          <w:szCs w:val="22"/>
        </w:rPr>
        <w:t>Rel.16 rule</w:t>
      </w:r>
      <w:r w:rsidR="00D40A23">
        <w:rPr>
          <w:rFonts w:ascii="Arial" w:hAnsi="Arial" w:cs="Arial"/>
          <w:b/>
          <w:iCs/>
          <w:sz w:val="22"/>
          <w:szCs w:val="22"/>
        </w:rPr>
        <w:t>s</w:t>
      </w:r>
      <w:r w:rsidR="008E463C">
        <w:rPr>
          <w:rFonts w:ascii="Arial" w:hAnsi="Arial" w:cs="Arial"/>
          <w:b/>
          <w:iCs/>
          <w:sz w:val="22"/>
          <w:szCs w:val="22"/>
        </w:rPr>
        <w:t xml:space="preserve"> in a </w:t>
      </w:r>
      <w:r w:rsidR="008E463C" w:rsidRPr="00927A75">
        <w:rPr>
          <w:rFonts w:ascii="Arial" w:hAnsi="Arial" w:cs="Arial"/>
          <w:b/>
          <w:sz w:val="22"/>
          <w:szCs w:val="22"/>
        </w:rPr>
        <w:t>TRP</w:t>
      </w:r>
      <w:r w:rsidR="008E463C">
        <w:rPr>
          <w:rFonts w:ascii="Arial" w:hAnsi="Arial" w:cs="Arial"/>
          <w:b/>
          <w:sz w:val="22"/>
          <w:szCs w:val="22"/>
        </w:rPr>
        <w:t>-specific manner</w:t>
      </w:r>
    </w:p>
    <w:p w14:paraId="5E908DC6" w14:textId="3C73220A" w:rsidR="00D40A23" w:rsidRDefault="00D40A23" w:rsidP="00D40A23">
      <w:pPr>
        <w:pStyle w:val="ListParagraph"/>
        <w:numPr>
          <w:ilvl w:val="0"/>
          <w:numId w:val="43"/>
        </w:numPr>
        <w:spacing w:after="80"/>
        <w:rPr>
          <w:rFonts w:ascii="Arial" w:hAnsi="Arial" w:cs="Arial"/>
          <w:b/>
        </w:rPr>
      </w:pPr>
      <w:r>
        <w:rPr>
          <w:rFonts w:ascii="Arial" w:hAnsi="Arial" w:cs="Arial"/>
          <w:b/>
        </w:rPr>
        <w:t xml:space="preserve">CORESETs with the same </w:t>
      </w:r>
      <w:proofErr w:type="spellStart"/>
      <w:r w:rsidRPr="005836EA">
        <w:rPr>
          <w:rFonts w:ascii="Arial" w:hAnsi="Arial" w:cs="Arial"/>
          <w:b/>
          <w:i/>
          <w:iCs/>
        </w:rPr>
        <w:t>CORESETPoolIndex</w:t>
      </w:r>
      <w:proofErr w:type="spellEnd"/>
      <w:r>
        <w:rPr>
          <w:rFonts w:ascii="Arial" w:hAnsi="Arial" w:cs="Arial"/>
          <w:b/>
        </w:rPr>
        <w:t xml:space="preserve"> can be associated with BFD-RS set.</w:t>
      </w:r>
    </w:p>
    <w:p w14:paraId="27EDA995" w14:textId="6301FC3B" w:rsidR="00D40A23" w:rsidRDefault="00D40A23" w:rsidP="00D40A23">
      <w:pPr>
        <w:pStyle w:val="ListParagraph"/>
        <w:numPr>
          <w:ilvl w:val="0"/>
          <w:numId w:val="43"/>
        </w:numPr>
        <w:spacing w:after="80"/>
        <w:rPr>
          <w:rFonts w:ascii="Arial" w:hAnsi="Arial" w:cs="Arial"/>
          <w:b/>
        </w:rPr>
      </w:pPr>
      <w:r>
        <w:rPr>
          <w:rFonts w:ascii="Arial" w:hAnsi="Arial" w:cs="Arial" w:hint="eastAsia"/>
          <w:b/>
        </w:rPr>
        <w:t>S</w:t>
      </w:r>
      <w:r>
        <w:rPr>
          <w:rFonts w:ascii="Arial" w:hAnsi="Arial" w:cs="Arial"/>
          <w:b/>
        </w:rPr>
        <w:t>patial relation and power control parameters should be updated accordingly for PUCCH resources.</w:t>
      </w:r>
    </w:p>
    <w:p w14:paraId="128CC7B8" w14:textId="09D28C69" w:rsidR="00D40A23" w:rsidRPr="00986E78" w:rsidRDefault="00D40A23" w:rsidP="005836EA">
      <w:pPr>
        <w:pStyle w:val="ListParagraph"/>
        <w:numPr>
          <w:ilvl w:val="0"/>
          <w:numId w:val="43"/>
        </w:numPr>
        <w:spacing w:after="80"/>
        <w:rPr>
          <w:rFonts w:ascii="Arial" w:hAnsi="Arial" w:cs="Arial"/>
          <w:b/>
        </w:rPr>
      </w:pPr>
      <w:r>
        <w:rPr>
          <w:rFonts w:ascii="Arial" w:hAnsi="Arial" w:cs="Arial" w:hint="eastAsia"/>
          <w:b/>
        </w:rPr>
        <w:t>T</w:t>
      </w:r>
      <w:r>
        <w:rPr>
          <w:rFonts w:ascii="Arial" w:hAnsi="Arial" w:cs="Arial"/>
          <w:b/>
        </w:rPr>
        <w:t xml:space="preserve">he SCS of new beam application gap, </w:t>
      </w:r>
      <w:proofErr w:type="gramStart"/>
      <w:r>
        <w:rPr>
          <w:rFonts w:ascii="Arial" w:hAnsi="Arial" w:cs="Arial"/>
          <w:b/>
        </w:rPr>
        <w:t>i.e.</w:t>
      </w:r>
      <w:proofErr w:type="gramEnd"/>
      <w:r>
        <w:rPr>
          <w:rFonts w:ascii="Arial" w:hAnsi="Arial" w:cs="Arial"/>
          <w:b/>
        </w:rPr>
        <w:t xml:space="preserve"> 28 symbols is the smallest one between DL active BWP of UL DCI (for BFRR) reception and the active BWP(s) of reported CC(s) in BFRQ.</w:t>
      </w:r>
    </w:p>
    <w:bookmarkEnd w:id="2"/>
    <w:p w14:paraId="4612FDE0" w14:textId="6E82E1EC" w:rsidR="00E8797D" w:rsidRPr="00986E78" w:rsidRDefault="00E8797D" w:rsidP="00E879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99CD3AD"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Caption"/>
        <w:numPr>
          <w:ilvl w:val="0"/>
          <w:numId w:val="10"/>
        </w:numPr>
        <w:rPr>
          <w:rFonts w:ascii="Arial" w:hAnsi="Arial" w:cs="Arial"/>
          <w:sz w:val="16"/>
          <w:lang w:eastAsia="zh-CN"/>
        </w:rPr>
      </w:pPr>
      <w:r w:rsidRPr="00986E78">
        <w:rPr>
          <w:rFonts w:ascii="Arial" w:hAnsi="Arial" w:cs="Arial"/>
          <w:sz w:val="16"/>
          <w:lang w:eastAsia="zh-CN"/>
        </w:rPr>
        <w:lastRenderedPageBreak/>
        <w:t xml:space="preserve"> </w:t>
      </w:r>
      <w:bookmarkStart w:id="3" w:name="_Ref528673795"/>
      <w:r w:rsidRPr="00986E78">
        <w:rPr>
          <w:rFonts w:ascii="Arial" w:hAnsi="Arial" w:cs="Arial"/>
          <w:sz w:val="18"/>
          <w:szCs w:val="22"/>
          <w:lang w:eastAsia="ja-JP"/>
        </w:rPr>
        <w:t>UE side antenna panel deployment</w:t>
      </w:r>
      <w:bookmarkEnd w:id="3"/>
    </w:p>
    <w:p w14:paraId="706FBADF" w14:textId="29A702F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SRS resource sets on different </w:t>
      </w:r>
      <w:r w:rsidR="00654619"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0728ECD0"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811AB73" w:rsidR="00E8797D" w:rsidRPr="00986E78" w:rsidRDefault="00E03F3B" w:rsidP="00160C4B">
      <w:pPr>
        <w:pStyle w:val="ListParagraph"/>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Specify the QCL relationship among SRS resource sets/CSI-RS resource sets/SSBs on different BWPs/CCs (intra band).</w:t>
      </w:r>
    </w:p>
    <w:p w14:paraId="10874485" w14:textId="5BDE1061" w:rsidR="00573EF8" w:rsidRPr="00986E78" w:rsidRDefault="00A27C49" w:rsidP="007529CF">
      <w:pPr>
        <w:pStyle w:val="Heading1"/>
        <w:spacing w:after="80"/>
        <w:jc w:val="left"/>
        <w:rPr>
          <w:rFonts w:ascii="Arial" w:hAnsi="Arial" w:cs="Arial"/>
          <w:szCs w:val="32"/>
          <w:lang w:eastAsia="zh-CN"/>
        </w:rPr>
      </w:pPr>
      <w:r>
        <w:rPr>
          <w:rFonts w:ascii="Arial" w:hAnsi="Arial" w:cs="Arial"/>
          <w:szCs w:val="32"/>
          <w:lang w:eastAsia="zh-CN"/>
        </w:rPr>
        <w:t>UE a</w:t>
      </w:r>
      <w:r w:rsidR="00312585" w:rsidRPr="00986E78">
        <w:rPr>
          <w:rFonts w:ascii="Arial" w:hAnsi="Arial" w:cs="Arial"/>
          <w:szCs w:val="32"/>
          <w:lang w:eastAsia="zh-CN"/>
        </w:rPr>
        <w:t>ntenna panels</w:t>
      </w:r>
    </w:p>
    <w:p w14:paraId="22D0B0C8" w14:textId="08A5AF05" w:rsidR="00EC7601" w:rsidRDefault="00573EF8">
      <w:pPr>
        <w:spacing w:after="80"/>
        <w:rPr>
          <w:sz w:val="20"/>
          <w:lang w:eastAsia="zh-CN"/>
        </w:rPr>
      </w:pPr>
      <w:r w:rsidRPr="00573EF8">
        <w:rPr>
          <w:sz w:val="20"/>
          <w:lang w:eastAsia="zh-CN"/>
        </w:rPr>
        <w:t>Though the term of “antenna panel” has been intensively used in the discussion so far</w:t>
      </w:r>
      <w:r w:rsidR="00EC7601">
        <w:rPr>
          <w:sz w:val="20"/>
          <w:lang w:eastAsia="zh-CN"/>
        </w:rPr>
        <w:t xml:space="preserve"> and one may find following agreement in Section 8.1.1 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C7601" w14:paraId="12665550" w14:textId="77777777" w:rsidTr="00926785">
        <w:trPr>
          <w:trHeight w:val="1138"/>
        </w:trPr>
        <w:tc>
          <w:tcPr>
            <w:tcW w:w="9639" w:type="dxa"/>
          </w:tcPr>
          <w:p w14:paraId="120F3DD4"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t>Agreement</w:t>
            </w:r>
          </w:p>
          <w:p w14:paraId="6DC3B8B7" w14:textId="77777777" w:rsidR="00EC7601" w:rsidRPr="00E11552" w:rsidRDefault="00EC7601" w:rsidP="00926785">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0892485C"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6EEE98E8"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526CF1E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3889A51B"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138FC365" w14:textId="77777777" w:rsidR="00EC7601" w:rsidRPr="00E11552"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0D47B137" w14:textId="77777777" w:rsidR="00EC7601" w:rsidRPr="002C39E1" w:rsidRDefault="00EC7601" w:rsidP="00EC7601">
            <w:pPr>
              <w:numPr>
                <w:ilvl w:val="0"/>
                <w:numId w:val="39"/>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650CAE93" w14:textId="4B028461" w:rsidR="00DC6045" w:rsidRPr="00573EF8" w:rsidRDefault="00EC7601" w:rsidP="006B5B5C">
      <w:pPr>
        <w:spacing w:before="80" w:after="80"/>
        <w:rPr>
          <w:sz w:val="20"/>
          <w:lang w:eastAsia="zh-CN"/>
        </w:rPr>
      </w:pPr>
      <w:r>
        <w:rPr>
          <w:rFonts w:hint="eastAsia"/>
          <w:sz w:val="20"/>
          <w:lang w:eastAsia="zh-CN"/>
        </w:rPr>
        <w:t>A</w:t>
      </w:r>
      <w:r w:rsidR="00573EF8" w:rsidRPr="00573EF8">
        <w:rPr>
          <w:sz w:val="20"/>
          <w:lang w:eastAsia="zh-CN"/>
        </w:rPr>
        <w:t xml:space="preserve">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A9D4745" w:rsidR="00573EF8" w:rsidRPr="00986E78" w:rsidRDefault="00573EF8" w:rsidP="00160C4B">
      <w:pPr>
        <w:pStyle w:val="ListParagraph"/>
        <w:numPr>
          <w:ilvl w:val="0"/>
          <w:numId w:val="14"/>
        </w:numPr>
        <w:spacing w:after="80"/>
        <w:ind w:left="0" w:firstLine="0"/>
        <w:rPr>
          <w:rFonts w:ascii="Arial" w:hAnsi="Arial" w:cs="Arial"/>
          <w:b/>
          <w:sz w:val="22"/>
          <w:lang w:eastAsia="ja-JP"/>
        </w:rPr>
      </w:pPr>
      <w:r w:rsidRPr="00986E78">
        <w:rPr>
          <w:rFonts w:ascii="Arial" w:hAnsi="Arial" w:cs="Arial"/>
          <w:b/>
          <w:bCs/>
          <w:sz w:val="22"/>
        </w:rPr>
        <w:t xml:space="preserve"> A definition of “</w:t>
      </w:r>
      <w:r w:rsidR="003D6D7D">
        <w:rPr>
          <w:rFonts w:ascii="Arial" w:hAnsi="Arial" w:cs="Arial"/>
          <w:b/>
          <w:bCs/>
          <w:sz w:val="22"/>
        </w:rPr>
        <w:t xml:space="preserve">UE </w:t>
      </w:r>
      <w:r w:rsidRPr="00986E78">
        <w:rPr>
          <w:rFonts w:ascii="Arial" w:hAnsi="Arial" w:cs="Arial"/>
          <w:b/>
          <w:bCs/>
          <w:sz w:val="22"/>
        </w:rPr>
        <w:t xml:space="preserve">antenna panel” is needed to pave the </w:t>
      </w:r>
      <w:r w:rsidR="00DB5F11">
        <w:rPr>
          <w:rFonts w:ascii="Arial" w:hAnsi="Arial" w:cs="Arial"/>
          <w:b/>
          <w:bCs/>
          <w:sz w:val="22"/>
        </w:rPr>
        <w:t>way</w:t>
      </w:r>
      <w:r w:rsidR="00DB5F11" w:rsidRPr="00986E78">
        <w:rPr>
          <w:rFonts w:ascii="Arial" w:hAnsi="Arial" w:cs="Arial"/>
          <w:b/>
          <w:bCs/>
          <w:sz w:val="22"/>
        </w:rPr>
        <w:t xml:space="preserve"> </w:t>
      </w:r>
      <w:r w:rsidRPr="00986E78">
        <w:rPr>
          <w:rFonts w:ascii="Arial" w:hAnsi="Arial" w:cs="Arial"/>
          <w:b/>
          <w:bCs/>
          <w:sz w:val="22"/>
        </w:rPr>
        <w:t>for the progress on multi-panel operation</w:t>
      </w:r>
      <w:r w:rsidRPr="00986E78">
        <w:rPr>
          <w:rFonts w:ascii="Arial" w:hAnsi="Arial" w:cs="Arial"/>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beams</w:t>
      </w:r>
    </w:p>
    <w:p w14:paraId="7EF283B5"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Whether a UE-panel supports beam correspondence (BC)</w:t>
      </w:r>
    </w:p>
    <w:p w14:paraId="38B3BEF9"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vertAlign w:val="subscript"/>
          <w:lang w:eastAsia="ko-KR"/>
        </w:rPr>
        <w:t>RX</w:t>
      </w:r>
      <w:r w:rsidRPr="00986E78">
        <w:rPr>
          <w:rFonts w:ascii="Times New Roman" w:hAnsi="Times New Roman" w:cs="Times New Roman"/>
          <w:sz w:val="20"/>
          <w:szCs w:val="20"/>
          <w:lang w:eastAsia="ko-KR"/>
        </w:rPr>
        <w:t xml:space="preserve"> independent Rx/TX-beams (from the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986E78">
        <w:rPr>
          <w:rFonts w:ascii="Times New Roman" w:hAnsi="Times New Roman" w:cs="Times New Roman"/>
          <w:sz w:val="20"/>
          <w:szCs w:val="20"/>
          <w:lang w:eastAsia="ko-KR"/>
        </w:rPr>
        <w:t xml:space="preserve">Each beam from a UE-panel may support one or two polarizations when </w:t>
      </w:r>
      <w:r w:rsidRPr="00986E78">
        <w:rPr>
          <w:rFonts w:ascii="Times New Roman" w:hAnsi="Times New Roman" w:cs="Times New Roman"/>
          <w:bCs/>
          <w:sz w:val="20"/>
          <w:szCs w:val="20"/>
          <w:lang w:eastAsia="ko-KR"/>
        </w:rPr>
        <w:t>receiving/transmitting</w:t>
      </w:r>
      <w:r w:rsidRPr="00573EF8">
        <w:rPr>
          <w:bCs/>
          <w:sz w:val="20"/>
          <w:szCs w:val="20"/>
          <w:lang w:eastAsia="ko-KR"/>
        </w:rPr>
        <w:t xml:space="preserve"> </w:t>
      </w:r>
    </w:p>
    <w:p w14:paraId="7E2B2CAD" w14:textId="206DB596" w:rsidR="0032645E" w:rsidRPr="00C30784" w:rsidRDefault="0032645E" w:rsidP="00160C4B">
      <w:pPr>
        <w:spacing w:after="80" w:line="240" w:lineRule="atLeast"/>
        <w:contextualSpacing/>
        <w:rPr>
          <w:sz w:val="20"/>
        </w:rPr>
      </w:pPr>
      <w:r>
        <w:rPr>
          <w:sz w:val="20"/>
          <w:lang w:eastAsia="zh-CN"/>
        </w:rPr>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r w:rsidR="00955DD9">
        <w:rPr>
          <w:sz w:val="20"/>
          <w:lang w:eastAsia="zh-CN"/>
        </w:rPr>
        <w:t>Therefore,</w:t>
      </w:r>
      <w:r>
        <w:rPr>
          <w:sz w:val="20"/>
          <w:lang w:eastAsia="zh-CN"/>
        </w:rPr>
        <w:t xml:space="preserve"> we have </w:t>
      </w:r>
    </w:p>
    <w:p w14:paraId="6225E52C" w14:textId="68EB23FB" w:rsidR="0032645E" w:rsidRPr="00986E78" w:rsidRDefault="00E03F3B" w:rsidP="00160C4B">
      <w:pPr>
        <w:pStyle w:val="ListParagraph"/>
        <w:numPr>
          <w:ilvl w:val="0"/>
          <w:numId w:val="6"/>
        </w:numPr>
        <w:spacing w:after="80"/>
        <w:rPr>
          <w:rFonts w:ascii="Arial" w:hAnsi="Arial" w:cs="Arial"/>
          <w:b/>
          <w:sz w:val="22"/>
          <w:szCs w:val="22"/>
        </w:rPr>
      </w:pPr>
      <w:r>
        <w:rPr>
          <w:rFonts w:ascii="Arial" w:hAnsi="Arial" w:cs="Arial"/>
          <w:b/>
          <w:bCs/>
          <w:sz w:val="22"/>
        </w:rPr>
        <w:t xml:space="preserve"> </w:t>
      </w:r>
      <w:r w:rsidR="00E4060B" w:rsidRPr="00986E78">
        <w:rPr>
          <w:rFonts w:ascii="Arial" w:hAnsi="Arial" w:cs="Arial"/>
          <w:b/>
          <w:bCs/>
          <w:sz w:val="22"/>
        </w:rPr>
        <w:t>A</w:t>
      </w:r>
      <w:r w:rsidR="0032645E" w:rsidRPr="00986E78">
        <w:rPr>
          <w:rFonts w:ascii="Arial" w:hAnsi="Arial" w:cs="Arial"/>
          <w:b/>
          <w:bCs/>
          <w:sz w:val="22"/>
        </w:rPr>
        <w:t xml:space="preserve"> panel ID explicitly configured in</w:t>
      </w:r>
      <w:r w:rsidR="0032645E" w:rsidRPr="00986E78">
        <w:rPr>
          <w:rFonts w:ascii="Arial" w:hAnsi="Arial" w:cs="Arial"/>
          <w:b/>
          <w:bCs/>
          <w:i/>
          <w:iCs/>
          <w:sz w:val="22"/>
        </w:rPr>
        <w:t xml:space="preserve"> </w:t>
      </w:r>
      <w:proofErr w:type="spellStart"/>
      <w:r w:rsidR="0032645E" w:rsidRPr="00986E78">
        <w:rPr>
          <w:rFonts w:ascii="Arial" w:hAnsi="Arial" w:cs="Arial"/>
          <w:b/>
          <w:bCs/>
          <w:i/>
          <w:iCs/>
          <w:sz w:val="22"/>
        </w:rPr>
        <w:t>spatialRelationInfo</w:t>
      </w:r>
      <w:proofErr w:type="spellEnd"/>
      <w:r w:rsidR="0032645E" w:rsidRPr="00986E78">
        <w:rPr>
          <w:rFonts w:ascii="Arial" w:hAnsi="Arial" w:cs="Arial"/>
          <w:b/>
          <w:bCs/>
          <w:sz w:val="22"/>
        </w:rPr>
        <w:t xml:space="preserve"> or unified TCI </w:t>
      </w:r>
      <w:r w:rsidR="00E4060B" w:rsidRPr="00986E78">
        <w:rPr>
          <w:rFonts w:ascii="Arial" w:hAnsi="Arial" w:cs="Arial"/>
          <w:b/>
          <w:bCs/>
          <w:sz w:val="22"/>
        </w:rPr>
        <w:t xml:space="preserve">can be beneficial </w:t>
      </w:r>
      <w:r w:rsidR="0032645E" w:rsidRPr="00986E78">
        <w:rPr>
          <w:rFonts w:ascii="Arial" w:hAnsi="Arial" w:cs="Arial"/>
          <w:b/>
          <w:bCs/>
          <w:sz w:val="22"/>
        </w:rPr>
        <w:t>for panel specific operation</w:t>
      </w:r>
      <w:r w:rsidR="0032645E" w:rsidRPr="00986E78">
        <w:rPr>
          <w:rFonts w:ascii="Arial" w:hAnsi="Arial" w:cs="Arial"/>
          <w:b/>
          <w:sz w:val="22"/>
          <w:szCs w:val="22"/>
        </w:rPr>
        <w:t>.</w:t>
      </w:r>
    </w:p>
    <w:p w14:paraId="053C3A7B" w14:textId="2917C903" w:rsidR="00CD7400" w:rsidRPr="00986E78" w:rsidRDefault="00842220" w:rsidP="007529CF">
      <w:pPr>
        <w:pStyle w:val="Heading1"/>
        <w:spacing w:after="80"/>
        <w:jc w:val="left"/>
        <w:rPr>
          <w:rFonts w:ascii="Arial" w:hAnsi="Arial" w:cs="Arial"/>
          <w:szCs w:val="32"/>
          <w:lang w:eastAsia="zh-CN"/>
        </w:rPr>
      </w:pPr>
      <w:r w:rsidRPr="00986E78">
        <w:rPr>
          <w:rFonts w:ascii="Arial" w:hAnsi="Arial" w:cs="Arial"/>
          <w:szCs w:val="32"/>
          <w:lang w:eastAsia="zh-CN"/>
        </w:rPr>
        <w:t>Conclusions</w:t>
      </w:r>
    </w:p>
    <w:p w14:paraId="7C4707BC" w14:textId="018A41AB" w:rsidR="00EC7601" w:rsidRPr="00926785" w:rsidRDefault="00345197" w:rsidP="006B5B5C">
      <w:pPr>
        <w:spacing w:after="80"/>
        <w:rPr>
          <w:bCs/>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761F3575" w14:textId="77777777" w:rsidR="00EC7601" w:rsidRPr="00986E78" w:rsidRDefault="00EC7601">
      <w:pPr>
        <w:pStyle w:val="ListParagraph"/>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 xml:space="preserve">support Option 1 </w:t>
      </w:r>
      <w:r>
        <w:rPr>
          <w:rFonts w:ascii="Arial" w:hAnsi="Arial" w:cs="Arial"/>
          <w:b/>
          <w:sz w:val="22"/>
          <w:szCs w:val="22"/>
        </w:rPr>
        <w:t>of group-based beam reporting.</w:t>
      </w:r>
    </w:p>
    <w:p w14:paraId="4B3F141A" w14:textId="77777777" w:rsidR="00EC7601" w:rsidRPr="00927A75"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lastRenderedPageBreak/>
        <w:t>For group-based beam reporting of multi-TRP, support L1-SINR as beam selection metric</w:t>
      </w:r>
      <w:r w:rsidRPr="00927A75">
        <w:rPr>
          <w:rFonts w:ascii="Arial" w:hAnsi="Arial" w:cs="Arial"/>
          <w:b/>
          <w:sz w:val="22"/>
          <w:szCs w:val="22"/>
          <w:lang w:val="en-GB"/>
        </w:rPr>
        <w:t xml:space="preserve">. </w:t>
      </w:r>
    </w:p>
    <w:p w14:paraId="02436DB0" w14:textId="77777777" w:rsidR="00EC7601" w:rsidRPr="00986E78" w:rsidRDefault="00EC7601" w:rsidP="006B5B5C">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 xml:space="preserve">If L1-SINR is supported as beam selection metric, study whether L1-SINR should reflect inter-beam interference. </w:t>
      </w:r>
    </w:p>
    <w:p w14:paraId="28F72B3F" w14:textId="77777777" w:rsidR="00EC7601" w:rsidRPr="00926785" w:rsidRDefault="00EC7601">
      <w:pPr>
        <w:pStyle w:val="ListParagraph"/>
        <w:numPr>
          <w:ilvl w:val="0"/>
          <w:numId w:val="33"/>
        </w:numPr>
        <w:spacing w:before="80" w:after="80"/>
        <w:rPr>
          <w:rFonts w:ascii="Arial" w:hAnsi="Arial" w:cs="Arial"/>
          <w:b/>
          <w:sz w:val="22"/>
          <w:lang w:eastAsia="ja-JP"/>
        </w:rPr>
      </w:pPr>
      <w:r>
        <w:rPr>
          <w:rFonts w:ascii="Arial" w:hAnsi="Arial" w:cs="Arial"/>
          <w:b/>
          <w:sz w:val="22"/>
          <w:szCs w:val="22"/>
          <w:lang w:eastAsia="ja-JP"/>
        </w:rPr>
        <w:t>Support TRP-specific BFR and cell-specific BFR configured on the same CC</w:t>
      </w:r>
      <w:r w:rsidRPr="00CA6266">
        <w:rPr>
          <w:rFonts w:ascii="Arial" w:hAnsi="Arial" w:cs="Arial"/>
          <w:b/>
          <w:sz w:val="22"/>
          <w:szCs w:val="22"/>
          <w:lang w:eastAsia="ja-JP"/>
        </w:rPr>
        <w:t xml:space="preserve">. </w:t>
      </w:r>
    </w:p>
    <w:p w14:paraId="41D2552F" w14:textId="4C8CF388" w:rsidR="00523F88" w:rsidRPr="005836EA" w:rsidRDefault="005521FB" w:rsidP="00523F88">
      <w:pPr>
        <w:pStyle w:val="ListParagraph"/>
        <w:numPr>
          <w:ilvl w:val="0"/>
          <w:numId w:val="33"/>
        </w:numPr>
        <w:spacing w:after="80"/>
        <w:rPr>
          <w:rFonts w:ascii="Arial" w:hAnsi="Arial" w:cs="Arial"/>
          <w:b/>
        </w:rPr>
      </w:pPr>
      <w:r>
        <w:rPr>
          <w:rFonts w:ascii="Arial" w:hAnsi="Arial" w:cs="Arial"/>
          <w:b/>
          <w:sz w:val="22"/>
          <w:szCs w:val="22"/>
        </w:rPr>
        <w:t xml:space="preserve">If PUCCH-SR resource is associated with BFD-RS set, support UE to select the PUCCH-SR resource associated with non-failed TRP. Otherwise, support UE implementation on PUCCH-SR resource selection (Alt 2.5.2 C).  </w:t>
      </w:r>
    </w:p>
    <w:p w14:paraId="1910E8A5" w14:textId="21CB1DCE" w:rsidR="00523F88" w:rsidRPr="00523F88" w:rsidRDefault="00523F88">
      <w:pPr>
        <w:pStyle w:val="ListParagraph"/>
        <w:numPr>
          <w:ilvl w:val="0"/>
          <w:numId w:val="33"/>
        </w:numPr>
        <w:spacing w:after="80"/>
        <w:rPr>
          <w:rFonts w:ascii="Arial" w:hAnsi="Arial" w:cs="Arial"/>
          <w:b/>
        </w:rPr>
      </w:pPr>
      <w:r>
        <w:rPr>
          <w:rFonts w:ascii="Arial" w:hAnsi="Arial" w:cs="Arial"/>
          <w:b/>
          <w:sz w:val="22"/>
          <w:szCs w:val="22"/>
        </w:rPr>
        <w:t xml:space="preserve">For TRP-specific BFRQ, support to use </w:t>
      </w:r>
      <w:proofErr w:type="spellStart"/>
      <w:r w:rsidRPr="00927A75">
        <w:rPr>
          <w:rFonts w:ascii="Arial" w:hAnsi="Arial" w:cs="Arial"/>
          <w:b/>
          <w:i/>
          <w:sz w:val="22"/>
          <w:szCs w:val="22"/>
        </w:rPr>
        <w:t>CORESETPoolIndex</w:t>
      </w:r>
      <w:proofErr w:type="spellEnd"/>
      <w:r>
        <w:rPr>
          <w:rFonts w:ascii="Arial" w:hAnsi="Arial" w:cs="Arial"/>
          <w:b/>
          <w:i/>
          <w:sz w:val="22"/>
          <w:szCs w:val="22"/>
        </w:rPr>
        <w:t>(es)</w:t>
      </w:r>
      <w:r w:rsidRPr="00927A75">
        <w:rPr>
          <w:rFonts w:ascii="Arial" w:hAnsi="Arial" w:cs="Arial"/>
          <w:b/>
          <w:sz w:val="22"/>
          <w:szCs w:val="22"/>
        </w:rPr>
        <w:t xml:space="preserve"> </w:t>
      </w:r>
      <w:r>
        <w:rPr>
          <w:rFonts w:ascii="Arial" w:hAnsi="Arial" w:cs="Arial"/>
          <w:b/>
          <w:sz w:val="22"/>
          <w:szCs w:val="22"/>
        </w:rPr>
        <w:t>in</w:t>
      </w:r>
      <w:r w:rsidRPr="00986E78">
        <w:rPr>
          <w:rFonts w:ascii="Arial" w:hAnsi="Arial" w:cs="Arial"/>
          <w:b/>
          <w:sz w:val="22"/>
          <w:szCs w:val="22"/>
        </w:rPr>
        <w:t xml:space="preserve"> </w:t>
      </w:r>
      <w:r>
        <w:rPr>
          <w:rFonts w:ascii="Arial" w:hAnsi="Arial" w:cs="Arial"/>
          <w:b/>
          <w:sz w:val="22"/>
          <w:szCs w:val="22"/>
        </w:rPr>
        <w:t xml:space="preserve">one BFRQ </w:t>
      </w:r>
      <w:r w:rsidRPr="00986E78">
        <w:rPr>
          <w:rFonts w:ascii="Arial" w:hAnsi="Arial" w:cs="Arial"/>
          <w:b/>
          <w:sz w:val="22"/>
          <w:szCs w:val="22"/>
        </w:rPr>
        <w:t xml:space="preserve">MAC CE </w:t>
      </w:r>
      <w:r>
        <w:rPr>
          <w:rFonts w:ascii="Arial" w:hAnsi="Arial" w:cs="Arial"/>
          <w:b/>
          <w:sz w:val="22"/>
          <w:szCs w:val="22"/>
        </w:rPr>
        <w:t xml:space="preserve">as </w:t>
      </w:r>
      <w:r w:rsidRPr="00986E78">
        <w:rPr>
          <w:rFonts w:ascii="Arial" w:hAnsi="Arial" w:cs="Arial"/>
          <w:b/>
          <w:sz w:val="22"/>
          <w:szCs w:val="22"/>
        </w:rPr>
        <w:t>failed TRP ID(s)</w:t>
      </w:r>
      <w:r>
        <w:rPr>
          <w:rFonts w:ascii="Arial" w:hAnsi="Arial" w:cs="Arial"/>
          <w:b/>
          <w:sz w:val="22"/>
          <w:szCs w:val="22"/>
        </w:rPr>
        <w:t>.</w:t>
      </w:r>
    </w:p>
    <w:p w14:paraId="1121A72C" w14:textId="77777777" w:rsidR="00523F88" w:rsidRPr="002B6CC4" w:rsidRDefault="00523F88" w:rsidP="005836EA">
      <w:pPr>
        <w:pStyle w:val="ListParagraph"/>
        <w:numPr>
          <w:ilvl w:val="0"/>
          <w:numId w:val="33"/>
        </w:numPr>
        <w:spacing w:after="80"/>
        <w:rPr>
          <w:rFonts w:ascii="Arial" w:hAnsi="Arial" w:cs="Arial"/>
          <w:b/>
        </w:rPr>
      </w:pPr>
      <w:r>
        <w:rPr>
          <w:rFonts w:ascii="Arial" w:hAnsi="Arial" w:cs="Arial"/>
          <w:b/>
          <w:sz w:val="22"/>
          <w:szCs w:val="22"/>
        </w:rPr>
        <w:t xml:space="preserve">On new QCL assumption for DL and spatial relation and power control for UL after BFRR, support to reuse </w:t>
      </w:r>
      <w:r>
        <w:rPr>
          <w:rFonts w:ascii="Arial" w:hAnsi="Arial" w:cs="Arial"/>
          <w:b/>
          <w:iCs/>
          <w:sz w:val="22"/>
          <w:szCs w:val="22"/>
        </w:rPr>
        <w:t xml:space="preserve">Rel.16 rules in a </w:t>
      </w:r>
      <w:r w:rsidRPr="00927A75">
        <w:rPr>
          <w:rFonts w:ascii="Arial" w:hAnsi="Arial" w:cs="Arial"/>
          <w:b/>
          <w:sz w:val="22"/>
          <w:szCs w:val="22"/>
        </w:rPr>
        <w:t>TRP</w:t>
      </w:r>
      <w:r>
        <w:rPr>
          <w:rFonts w:ascii="Arial" w:hAnsi="Arial" w:cs="Arial"/>
          <w:b/>
          <w:sz w:val="22"/>
          <w:szCs w:val="22"/>
        </w:rPr>
        <w:t>-specific manner</w:t>
      </w:r>
    </w:p>
    <w:p w14:paraId="53170D3D" w14:textId="77777777" w:rsidR="00523F88" w:rsidRDefault="00523F88" w:rsidP="00523F88">
      <w:pPr>
        <w:pStyle w:val="ListParagraph"/>
        <w:numPr>
          <w:ilvl w:val="0"/>
          <w:numId w:val="43"/>
        </w:numPr>
        <w:spacing w:after="80"/>
        <w:rPr>
          <w:rFonts w:ascii="Arial" w:hAnsi="Arial" w:cs="Arial"/>
          <w:b/>
        </w:rPr>
      </w:pPr>
      <w:r>
        <w:rPr>
          <w:rFonts w:ascii="Arial" w:hAnsi="Arial" w:cs="Arial"/>
          <w:b/>
        </w:rPr>
        <w:t xml:space="preserve">CORESETs with the same </w:t>
      </w:r>
      <w:proofErr w:type="spellStart"/>
      <w:r w:rsidRPr="005836EA">
        <w:rPr>
          <w:rFonts w:ascii="Arial" w:hAnsi="Arial" w:cs="Arial"/>
          <w:b/>
          <w:i/>
          <w:iCs/>
        </w:rPr>
        <w:t>CORESETPoolIndex</w:t>
      </w:r>
      <w:proofErr w:type="spellEnd"/>
      <w:r>
        <w:rPr>
          <w:rFonts w:ascii="Arial" w:hAnsi="Arial" w:cs="Arial"/>
          <w:b/>
        </w:rPr>
        <w:t xml:space="preserve"> can be associated with BFD-RS set.</w:t>
      </w:r>
    </w:p>
    <w:p w14:paraId="6CC5F0CD" w14:textId="0B62738E" w:rsidR="0072449A" w:rsidRDefault="00523F88" w:rsidP="00523F88">
      <w:pPr>
        <w:pStyle w:val="ListParagraph"/>
        <w:numPr>
          <w:ilvl w:val="0"/>
          <w:numId w:val="43"/>
        </w:numPr>
        <w:spacing w:after="80"/>
        <w:rPr>
          <w:rFonts w:ascii="Arial" w:hAnsi="Arial" w:cs="Arial"/>
          <w:b/>
        </w:rPr>
      </w:pPr>
      <w:r>
        <w:rPr>
          <w:rFonts w:ascii="Arial" w:hAnsi="Arial" w:cs="Arial" w:hint="eastAsia"/>
          <w:b/>
        </w:rPr>
        <w:t>S</w:t>
      </w:r>
      <w:r>
        <w:rPr>
          <w:rFonts w:ascii="Arial" w:hAnsi="Arial" w:cs="Arial"/>
          <w:b/>
        </w:rPr>
        <w:t>patial relation and power control parameters should be updated accordingly for PUCCH resources.</w:t>
      </w:r>
    </w:p>
    <w:p w14:paraId="2CBD3A73" w14:textId="08E1BB0F" w:rsidR="008D1297" w:rsidRPr="005836EA" w:rsidRDefault="00523F88" w:rsidP="005836EA">
      <w:pPr>
        <w:pStyle w:val="ListParagraph"/>
        <w:numPr>
          <w:ilvl w:val="0"/>
          <w:numId w:val="43"/>
        </w:numPr>
        <w:spacing w:after="80"/>
        <w:rPr>
          <w:rFonts w:ascii="Arial" w:hAnsi="Arial" w:cs="Arial"/>
          <w:b/>
        </w:rPr>
      </w:pPr>
      <w:proofErr w:type="spellStart"/>
      <w:r w:rsidRPr="005836EA">
        <w:rPr>
          <w:rFonts w:ascii="Arial" w:hAnsi="Arial" w:cs="Arial"/>
          <w:b/>
        </w:rPr>
        <w:t>The</w:t>
      </w:r>
      <w:proofErr w:type="spellEnd"/>
      <w:r w:rsidRPr="005836EA">
        <w:rPr>
          <w:rFonts w:ascii="Arial" w:hAnsi="Arial" w:cs="Arial"/>
          <w:b/>
        </w:rPr>
        <w:t xml:space="preserve"> SCS of new beam application gap, </w:t>
      </w:r>
      <w:proofErr w:type="gramStart"/>
      <w:r w:rsidRPr="005836EA">
        <w:rPr>
          <w:rFonts w:ascii="Arial" w:hAnsi="Arial" w:cs="Arial"/>
          <w:b/>
        </w:rPr>
        <w:t>i.e.</w:t>
      </w:r>
      <w:proofErr w:type="gramEnd"/>
      <w:r w:rsidRPr="005836EA">
        <w:rPr>
          <w:rFonts w:ascii="Arial" w:hAnsi="Arial" w:cs="Arial"/>
          <w:b/>
        </w:rPr>
        <w:t xml:space="preserve"> 28 symbols is the smallest one between DL active BWP of UL DCI (for BFRR) reception and the active BWP(s) of reported CC(s) in BFRQ.</w:t>
      </w:r>
    </w:p>
    <w:p w14:paraId="2CFBC696"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 on different directional antenna panels.</w:t>
      </w:r>
    </w:p>
    <w:p w14:paraId="21189601"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65055A2C" w14:textId="77777777" w:rsidR="00EC7601" w:rsidRPr="00986E78"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4E65379D" w14:textId="4E202304" w:rsidR="00EC7601" w:rsidRPr="00EC7601" w:rsidRDefault="00EC7601" w:rsidP="006B5B5C">
      <w:pPr>
        <w:pStyle w:val="ListParagraph"/>
        <w:numPr>
          <w:ilvl w:val="0"/>
          <w:numId w:val="33"/>
        </w:numPr>
        <w:spacing w:before="80" w:after="80"/>
        <w:rPr>
          <w:rFonts w:ascii="Arial" w:hAnsi="Arial" w:cs="Arial"/>
          <w:b/>
          <w:sz w:val="22"/>
          <w:szCs w:val="22"/>
        </w:rPr>
      </w:pPr>
      <w:r w:rsidRPr="00986E78">
        <w:rPr>
          <w:rFonts w:ascii="Arial" w:hAnsi="Arial" w:cs="Arial"/>
          <w:b/>
          <w:bCs/>
          <w:sz w:val="22"/>
        </w:rPr>
        <w:t>A panel ID explicitly configured in</w:t>
      </w:r>
      <w:r w:rsidRPr="00986E78">
        <w:rPr>
          <w:rFonts w:ascii="Arial" w:hAnsi="Arial" w:cs="Arial"/>
          <w:b/>
          <w:bCs/>
          <w:i/>
          <w:iCs/>
          <w:sz w:val="22"/>
        </w:rPr>
        <w:t xml:space="preserve"> </w:t>
      </w:r>
      <w:proofErr w:type="spellStart"/>
      <w:r w:rsidRPr="00986E78">
        <w:rPr>
          <w:rFonts w:ascii="Arial" w:hAnsi="Arial" w:cs="Arial"/>
          <w:b/>
          <w:bCs/>
          <w:i/>
          <w:iCs/>
          <w:sz w:val="22"/>
        </w:rPr>
        <w:t>spatialRelationInfo</w:t>
      </w:r>
      <w:proofErr w:type="spellEnd"/>
      <w:r w:rsidRPr="00986E78">
        <w:rPr>
          <w:rFonts w:ascii="Arial" w:hAnsi="Arial" w:cs="Arial"/>
          <w:b/>
          <w:bCs/>
          <w:sz w:val="22"/>
        </w:rPr>
        <w:t xml:space="preserve"> or unified TCI can be beneficial for panel specific operation</w:t>
      </w:r>
      <w:r w:rsidRPr="00986E78">
        <w:rPr>
          <w:rFonts w:ascii="Arial" w:hAnsi="Arial" w:cs="Arial"/>
          <w:b/>
          <w:sz w:val="22"/>
          <w:szCs w:val="22"/>
        </w:rPr>
        <w:t>.</w:t>
      </w:r>
    </w:p>
    <w:p w14:paraId="1A7ED4E3" w14:textId="7A89C3D2" w:rsidR="002348EF" w:rsidRPr="00986E78" w:rsidRDefault="002348EF" w:rsidP="002348EF">
      <w:pPr>
        <w:pStyle w:val="Heading1"/>
        <w:spacing w:after="80"/>
        <w:jc w:val="left"/>
        <w:rPr>
          <w:rFonts w:ascii="Arial" w:hAnsi="Arial" w:cs="Arial"/>
          <w:szCs w:val="32"/>
          <w:lang w:eastAsia="zh-CN"/>
        </w:rPr>
      </w:pPr>
      <w:r w:rsidRPr="00986E78">
        <w:rPr>
          <w:rFonts w:ascii="Arial" w:hAnsi="Arial" w:cs="Arial"/>
          <w:szCs w:val="32"/>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4" w:name="_Ref47619030"/>
      <w:r w:rsidRPr="00160C4B">
        <w:rPr>
          <w:rFonts w:ascii="Times New Roman" w:hAnsi="Times New Roman" w:cs="Times New Roman"/>
        </w:rPr>
        <w:t>R1-2005560, “Considerations on the enhancement of multi-beam operation”, Sony</w:t>
      </w:r>
      <w:bookmarkEnd w:id="4"/>
    </w:p>
    <w:sectPr w:rsidR="000F6EB0" w:rsidRPr="00160C4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9D7BE" w14:textId="77777777" w:rsidR="00082F9A" w:rsidRDefault="00082F9A">
      <w:r>
        <w:separator/>
      </w:r>
    </w:p>
  </w:endnote>
  <w:endnote w:type="continuationSeparator" w:id="0">
    <w:p w14:paraId="113D762B" w14:textId="77777777" w:rsidR="00082F9A" w:rsidRDefault="00082F9A">
      <w:r>
        <w:continuationSeparator/>
      </w:r>
    </w:p>
  </w:endnote>
  <w:endnote w:type="continuationNotice" w:id="1">
    <w:p w14:paraId="3C91FFDE" w14:textId="77777777" w:rsidR="00082F9A" w:rsidRDefault="00082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DA810" w14:textId="77777777" w:rsidR="00082F9A" w:rsidRDefault="00082F9A">
      <w:r>
        <w:separator/>
      </w:r>
    </w:p>
  </w:footnote>
  <w:footnote w:type="continuationSeparator" w:id="0">
    <w:p w14:paraId="27D6CEF7" w14:textId="77777777" w:rsidR="00082F9A" w:rsidRDefault="00082F9A">
      <w:r>
        <w:continuationSeparator/>
      </w:r>
    </w:p>
  </w:footnote>
  <w:footnote w:type="continuationNotice" w:id="1">
    <w:p w14:paraId="6FD4DBDA" w14:textId="77777777" w:rsidR="00082F9A" w:rsidRDefault="00082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9244B1F2"/>
    <w:lvl w:ilvl="0" w:tplc="38A46192">
      <w:start w:val="1"/>
      <w:numFmt w:val="decimal"/>
      <w:lvlText w:val="Observation %1:"/>
      <w:lvlJc w:val="left"/>
      <w:pPr>
        <w:ind w:left="927" w:hanging="360"/>
      </w:pPr>
      <w:rPr>
        <w:rFonts w:ascii="Arial" w:hAnsi="Arial" w:cs="Arial" w:hint="default"/>
        <w:b/>
        <w:sz w:val="22"/>
        <w:szCs w:val="22"/>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27198"/>
    <w:multiLevelType w:val="hybridMultilevel"/>
    <w:tmpl w:val="4BEE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836F4"/>
    <w:multiLevelType w:val="hybridMultilevel"/>
    <w:tmpl w:val="D73246D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E360135"/>
    <w:multiLevelType w:val="hybridMultilevel"/>
    <w:tmpl w:val="AEC2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24161C"/>
    <w:multiLevelType w:val="hybridMultilevel"/>
    <w:tmpl w:val="23A86BB4"/>
    <w:lvl w:ilvl="0" w:tplc="56B25A08">
      <w:start w:val="1"/>
      <w:numFmt w:val="decimal"/>
      <w:lvlText w:val="Observation %1:"/>
      <w:lvlJc w:val="left"/>
      <w:pPr>
        <w:ind w:left="420" w:hanging="420"/>
      </w:pPr>
      <w:rPr>
        <w:rFonts w:ascii="Arial" w:hAnsi="Arial" w:cs="Arial" w:hint="default"/>
        <w:b/>
        <w:sz w:val="24"/>
        <w:szCs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9474C414"/>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22"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24"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2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7"/>
  </w:num>
  <w:num w:numId="4">
    <w:abstractNumId w:val="25"/>
  </w:num>
  <w:num w:numId="5">
    <w:abstractNumId w:val="33"/>
  </w:num>
  <w:num w:numId="6">
    <w:abstractNumId w:val="13"/>
  </w:num>
  <w:num w:numId="7">
    <w:abstractNumId w:val="32"/>
  </w:num>
  <w:num w:numId="8">
    <w:abstractNumId w:val="23"/>
  </w:num>
  <w:num w:numId="9">
    <w:abstractNumId w:val="10"/>
  </w:num>
  <w:num w:numId="10">
    <w:abstractNumId w:val="5"/>
  </w:num>
  <w:num w:numId="11">
    <w:abstractNumId w:val="12"/>
  </w:num>
  <w:num w:numId="12">
    <w:abstractNumId w:val="20"/>
  </w:num>
  <w:num w:numId="13">
    <w:abstractNumId w:val="1"/>
  </w:num>
  <w:num w:numId="14">
    <w:abstractNumId w:val="0"/>
  </w:num>
  <w:num w:numId="15">
    <w:abstractNumId w:val="17"/>
  </w:num>
  <w:num w:numId="16">
    <w:abstractNumId w:val="17"/>
  </w:num>
  <w:num w:numId="17">
    <w:abstractNumId w:val="17"/>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7"/>
  </w:num>
  <w:num w:numId="21">
    <w:abstractNumId w:val="26"/>
  </w:num>
  <w:num w:numId="22">
    <w:abstractNumId w:val="26"/>
  </w:num>
  <w:num w:numId="23">
    <w:abstractNumId w:val="4"/>
  </w:num>
  <w:num w:numId="24">
    <w:abstractNumId w:val="19"/>
  </w:num>
  <w:num w:numId="25">
    <w:abstractNumId w:val="18"/>
  </w:num>
  <w:num w:numId="26">
    <w:abstractNumId w:val="36"/>
  </w:num>
  <w:num w:numId="27">
    <w:abstractNumId w:val="11"/>
  </w:num>
  <w:num w:numId="28">
    <w:abstractNumId w:val="29"/>
  </w:num>
  <w:num w:numId="29">
    <w:abstractNumId w:val="35"/>
  </w:num>
  <w:num w:numId="30">
    <w:abstractNumId w:val="6"/>
  </w:num>
  <w:num w:numId="31">
    <w:abstractNumId w:val="2"/>
  </w:num>
  <w:num w:numId="32">
    <w:abstractNumId w:val="3"/>
  </w:num>
  <w:num w:numId="33">
    <w:abstractNumId w:val="22"/>
  </w:num>
  <w:num w:numId="34">
    <w:abstractNumId w:val="31"/>
  </w:num>
  <w:num w:numId="35">
    <w:abstractNumId w:val="16"/>
  </w:num>
  <w:num w:numId="36">
    <w:abstractNumId w:val="24"/>
  </w:num>
  <w:num w:numId="37">
    <w:abstractNumId w:val="28"/>
  </w:num>
  <w:num w:numId="38">
    <w:abstractNumId w:val="7"/>
  </w:num>
  <w:num w:numId="39">
    <w:abstractNumId w:val="14"/>
  </w:num>
  <w:num w:numId="40">
    <w:abstractNumId w:val="15"/>
  </w:num>
  <w:num w:numId="41">
    <w:abstractNumId w:val="8"/>
  </w:num>
  <w:num w:numId="42">
    <w:abstractNumId w:val="38"/>
  </w:num>
  <w:num w:numId="4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9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2F9A"/>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1D22"/>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B2"/>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05"/>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23E"/>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1E"/>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08"/>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90D"/>
    <w:rsid w:val="00293E57"/>
    <w:rsid w:val="00294234"/>
    <w:rsid w:val="002947D1"/>
    <w:rsid w:val="002948DF"/>
    <w:rsid w:val="00294B55"/>
    <w:rsid w:val="00294D90"/>
    <w:rsid w:val="00294EA2"/>
    <w:rsid w:val="002963DE"/>
    <w:rsid w:val="00296F52"/>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C89"/>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2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31"/>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591"/>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6D7D"/>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4DF"/>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4C"/>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283"/>
    <w:rsid w:val="005234F5"/>
    <w:rsid w:val="00523838"/>
    <w:rsid w:val="00523F04"/>
    <w:rsid w:val="00523F88"/>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1FB"/>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37"/>
    <w:rsid w:val="005836EA"/>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196"/>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B5C"/>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0A57"/>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45B"/>
    <w:rsid w:val="00721D9B"/>
    <w:rsid w:val="00722121"/>
    <w:rsid w:val="007224B9"/>
    <w:rsid w:val="00722993"/>
    <w:rsid w:val="00722F94"/>
    <w:rsid w:val="00723791"/>
    <w:rsid w:val="00723AA7"/>
    <w:rsid w:val="00723E3F"/>
    <w:rsid w:val="007242E1"/>
    <w:rsid w:val="0072432E"/>
    <w:rsid w:val="0072449A"/>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7A2"/>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5FBE"/>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8C2"/>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A60"/>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13C"/>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297"/>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2094"/>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065"/>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2FA4"/>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3B6B"/>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4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A7"/>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6CB3"/>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0F6"/>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C29"/>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77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7E0"/>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41D"/>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266"/>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6FF6"/>
    <w:rsid w:val="00D3710C"/>
    <w:rsid w:val="00D379AB"/>
    <w:rsid w:val="00D37E19"/>
    <w:rsid w:val="00D405B3"/>
    <w:rsid w:val="00D40A2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168"/>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5F11"/>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45"/>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3F3B"/>
    <w:rsid w:val="00E04022"/>
    <w:rsid w:val="00E04BC7"/>
    <w:rsid w:val="00E05D4A"/>
    <w:rsid w:val="00E05D7A"/>
    <w:rsid w:val="00E05DFF"/>
    <w:rsid w:val="00E06552"/>
    <w:rsid w:val="00E065A5"/>
    <w:rsid w:val="00E068D7"/>
    <w:rsid w:val="00E0728F"/>
    <w:rsid w:val="00E0755C"/>
    <w:rsid w:val="00E07595"/>
    <w:rsid w:val="00E07758"/>
    <w:rsid w:val="00E118A3"/>
    <w:rsid w:val="00E1214E"/>
    <w:rsid w:val="00E121C1"/>
    <w:rsid w:val="00E1243D"/>
    <w:rsid w:val="00E138FF"/>
    <w:rsid w:val="00E143E7"/>
    <w:rsid w:val="00E145D6"/>
    <w:rsid w:val="00E14946"/>
    <w:rsid w:val="00E14A42"/>
    <w:rsid w:val="00E14A7E"/>
    <w:rsid w:val="00E151E1"/>
    <w:rsid w:val="00E163A5"/>
    <w:rsid w:val="00E169FB"/>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8D5"/>
    <w:rsid w:val="00E22CCD"/>
    <w:rsid w:val="00E23A11"/>
    <w:rsid w:val="00E23FB7"/>
    <w:rsid w:val="00E24769"/>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AA4"/>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1C6"/>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601"/>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0E35"/>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2BE"/>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5B"/>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 w:type="paragraph" w:customStyle="1" w:styleId="xmsonormal">
    <w:name w:val="x_msonormal"/>
    <w:basedOn w:val="Normal"/>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3.xml><?xml version="1.0" encoding="utf-8"?>
<ds:datastoreItem xmlns:ds="http://schemas.openxmlformats.org/officeDocument/2006/customXml" ds:itemID="{391EC68F-EEB4-4774-998F-87DDB80765C4}">
  <ds:schemaRefs>
    <ds:schemaRef ds:uri="http://schemas.openxmlformats.org/officeDocument/2006/bibliography"/>
  </ds:schemaRefs>
</ds:datastoreItem>
</file>

<file path=customXml/itemProps4.xml><?xml version="1.0" encoding="utf-8"?>
<ds:datastoreItem xmlns:ds="http://schemas.openxmlformats.org/officeDocument/2006/customXml" ds:itemID="{69166DA2-ADE0-465C-AE7B-B399397E5491}">
  <ds:schemaRefs>
    <ds:schemaRef ds:uri="http://schemas.openxmlformats.org/officeDocument/2006/bibliography"/>
  </ds:schemaRefs>
</ds:datastoreItem>
</file>

<file path=customXml/itemProps5.xml><?xml version="1.0" encoding="utf-8"?>
<ds:datastoreItem xmlns:ds="http://schemas.openxmlformats.org/officeDocument/2006/customXml" ds:itemID="{C9F2167F-5592-4A85-808C-BF3FAA21C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3314</Words>
  <Characters>18894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4</cp:revision>
  <cp:lastPrinted>2016-05-13T20:14:00Z</cp:lastPrinted>
  <dcterms:created xsi:type="dcterms:W3CDTF">2021-09-27T07:23:00Z</dcterms:created>
  <dcterms:modified xsi:type="dcterms:W3CDTF">2021-09-30T10:09:00Z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