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2154C1">
        <w:rPr>
          <w:rFonts w:ascii="Arial" w:hAnsi="Arial" w:cs="Arial"/>
          <w:b/>
          <w:bCs/>
          <w:lang w:eastAsia="zh-CN"/>
        </w:rPr>
        <w:t>6</w:t>
      </w:r>
      <w:r w:rsidR="00006A4C">
        <w:rPr>
          <w:rFonts w:ascii="Arial" w:hAnsi="Arial" w:cs="Arial" w:hint="eastAsia"/>
          <w:b/>
          <w:bCs/>
          <w:lang w:eastAsia="zh-CN"/>
        </w:rPr>
        <w:t>bis</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w:t>
      </w:r>
      <w:r w:rsidR="00283C32">
        <w:rPr>
          <w:rFonts w:ascii="Arial" w:hAnsi="Arial" w:cs="Arial" w:hint="eastAsia"/>
          <w:b/>
          <w:bCs/>
          <w:lang w:eastAsia="zh-CN"/>
        </w:rPr>
        <w:t>9320</w:t>
      </w:r>
    </w:p>
    <w:p w:rsidR="00B10CF4" w:rsidRPr="00F4047E" w:rsidRDefault="009C7296" w:rsidP="009C7296">
      <w:pPr>
        <w:pStyle w:val="ad"/>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6555BD">
        <w:rPr>
          <w:rFonts w:ascii="Arial" w:hAnsi="Arial" w:cs="Arial" w:hint="eastAsia"/>
          <w:b/>
          <w:bCs/>
          <w:lang w:eastAsia="zh-CN"/>
        </w:rPr>
        <w:t>October</w:t>
      </w:r>
      <w:r w:rsidR="006555BD">
        <w:rPr>
          <w:rFonts w:ascii="Arial" w:hAnsi="Arial" w:cs="Arial"/>
          <w:b/>
          <w:bCs/>
          <w:lang w:eastAsia="zh-CN"/>
        </w:rPr>
        <w:t xml:space="preserve"> </w:t>
      </w:r>
      <w:r w:rsidR="00C652FE">
        <w:rPr>
          <w:rFonts w:ascii="Arial" w:hAnsi="Arial" w:cs="Arial"/>
          <w:b/>
          <w:bCs/>
        </w:rPr>
        <w:t>1</w:t>
      </w:r>
      <w:r w:rsidR="006555BD">
        <w:rPr>
          <w:rFonts w:ascii="Arial" w:hAnsi="Arial" w:cs="Arial"/>
          <w:b/>
          <w:bCs/>
        </w:rPr>
        <w:t>1</w:t>
      </w:r>
      <w:r w:rsidR="00AF68B0">
        <w:rPr>
          <w:rFonts w:ascii="Arial" w:hAnsi="Arial" w:cs="Arial"/>
          <w:b/>
          <w:bCs/>
        </w:rPr>
        <w:t xml:space="preserve"> – </w:t>
      </w:r>
      <w:r w:rsidR="006555BD">
        <w:rPr>
          <w:rFonts w:ascii="Arial" w:hAnsi="Arial" w:cs="Arial" w:hint="eastAsia"/>
          <w:b/>
          <w:bCs/>
          <w:lang w:eastAsia="zh-CN"/>
        </w:rPr>
        <w:t>October</w:t>
      </w:r>
      <w:r w:rsidR="001846F7">
        <w:rPr>
          <w:rFonts w:ascii="Arial" w:hAnsi="Arial" w:cs="Arial"/>
          <w:b/>
          <w:bCs/>
          <w:lang w:eastAsia="zh-CN"/>
        </w:rPr>
        <w:t xml:space="preserve"> </w:t>
      </w:r>
      <w:r w:rsidR="006555BD">
        <w:rPr>
          <w:rFonts w:ascii="Arial" w:hAnsi="Arial" w:cs="Arial"/>
          <w:b/>
          <w:bCs/>
        </w:rPr>
        <w:t>19</w:t>
      </w:r>
      <w:r w:rsidRPr="009C7296">
        <w:rPr>
          <w:rFonts w:ascii="Arial" w:hAnsi="Arial" w:cs="Arial"/>
          <w:b/>
          <w:bCs/>
        </w:rPr>
        <w:t>, 202</w:t>
      </w:r>
      <w:r w:rsidR="00616D9E">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rsidR="00A1361D" w:rsidRPr="00132206" w:rsidRDefault="00A1361D" w:rsidP="00B46803">
      <w:pPr>
        <w:pStyle w:val="af"/>
        <w:numPr>
          <w:ilvl w:val="0"/>
          <w:numId w:val="14"/>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increase in maximum TBS of e.g.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rsidR="00A1361D" w:rsidRPr="00132206" w:rsidRDefault="00A1361D" w:rsidP="00B46803">
      <w:pPr>
        <w:pStyle w:val="af"/>
        <w:numPr>
          <w:ilvl w:val="1"/>
          <w:numId w:val="14"/>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rsidR="00FD635D" w:rsidRPr="00F55C9B" w:rsidRDefault="00FD635D" w:rsidP="00FD635D">
      <w:pPr>
        <w:pStyle w:val="af"/>
        <w:ind w:left="785"/>
        <w:rPr>
          <w:rFonts w:ascii="Times New Roman" w:hAnsi="Times New Roman"/>
          <w:bCs/>
          <w:i/>
          <w:sz w:val="20"/>
          <w:szCs w:val="20"/>
        </w:rPr>
      </w:pPr>
    </w:p>
    <w:p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rsidR="0010038B" w:rsidRPr="0010038B" w:rsidRDefault="0010038B" w:rsidP="0010038B">
      <w:pPr>
        <w:spacing w:after="0"/>
        <w:rPr>
          <w:sz w:val="20"/>
          <w:szCs w:val="20"/>
          <w:lang/>
        </w:rPr>
      </w:pPr>
      <w:bookmarkStart w:id="2" w:name="_Hlk82071951"/>
    </w:p>
    <w:p w:rsidR="0010038B" w:rsidRPr="0010038B" w:rsidRDefault="0010038B" w:rsidP="0010038B">
      <w:pPr>
        <w:spacing w:after="0"/>
        <w:rPr>
          <w:sz w:val="20"/>
          <w:szCs w:val="16"/>
          <w:highlight w:val="green"/>
        </w:rPr>
      </w:pPr>
      <w:r w:rsidRPr="0010038B">
        <w:rPr>
          <w:sz w:val="20"/>
          <w:szCs w:val="16"/>
          <w:highlight w:val="green"/>
          <w:lang w:eastAsia="zh-CN"/>
        </w:rPr>
        <w:t>Agreement</w:t>
      </w:r>
      <w:r w:rsidRPr="0010038B">
        <w:rPr>
          <w:sz w:val="20"/>
          <w:szCs w:val="16"/>
          <w:highlight w:val="green"/>
        </w:rPr>
        <w:t>:</w:t>
      </w:r>
    </w:p>
    <w:p w:rsidR="0010038B" w:rsidRPr="0010038B" w:rsidRDefault="0010038B" w:rsidP="0010038B">
      <w:pPr>
        <w:spacing w:after="0"/>
        <w:rPr>
          <w:sz w:val="20"/>
          <w:szCs w:val="16"/>
          <w:highlight w:val="cyan"/>
          <w:lang/>
        </w:rPr>
      </w:pPr>
      <w:r w:rsidRPr="0010038B">
        <w:rPr>
          <w:sz w:val="20"/>
          <w:szCs w:val="16"/>
        </w:rPr>
        <w:t>Confirm the following working assumption:</w:t>
      </w:r>
    </w:p>
    <w:p w:rsidR="0010038B" w:rsidRPr="0010038B" w:rsidRDefault="0010038B" w:rsidP="0010038B">
      <w:pPr>
        <w:numPr>
          <w:ilvl w:val="0"/>
          <w:numId w:val="27"/>
        </w:numPr>
        <w:autoSpaceDE/>
        <w:autoSpaceDN/>
        <w:adjustRightInd/>
        <w:snapToGrid/>
        <w:spacing w:after="0"/>
        <w:jc w:val="left"/>
        <w:rPr>
          <w:sz w:val="20"/>
          <w:szCs w:val="16"/>
        </w:rPr>
      </w:pPr>
      <w:r w:rsidRPr="0010038B">
        <w:rPr>
          <w:sz w:val="20"/>
          <w:szCs w:val="16"/>
        </w:rPr>
        <w:t>Working Assumption</w:t>
      </w:r>
    </w:p>
    <w:p w:rsidR="0010038B" w:rsidRPr="0010038B" w:rsidRDefault="0010038B" w:rsidP="0010038B">
      <w:pPr>
        <w:numPr>
          <w:ilvl w:val="1"/>
          <w:numId w:val="27"/>
        </w:numPr>
        <w:autoSpaceDE/>
        <w:autoSpaceDN/>
        <w:adjustRightInd/>
        <w:snapToGrid/>
        <w:spacing w:after="0"/>
        <w:jc w:val="left"/>
        <w:rPr>
          <w:sz w:val="20"/>
          <w:szCs w:val="16"/>
        </w:rPr>
      </w:pPr>
      <w:r w:rsidRPr="0010038B">
        <w:rPr>
          <w:sz w:val="20"/>
          <w:szCs w:val="16"/>
        </w:rPr>
        <w:t>Support 16-QAM for NPUSCH in PUR procedure.</w:t>
      </w:r>
    </w:p>
    <w:p w:rsidR="0010038B" w:rsidRPr="0010038B" w:rsidRDefault="0010038B" w:rsidP="0010038B">
      <w:pPr>
        <w:spacing w:after="0"/>
        <w:rPr>
          <w:sz w:val="20"/>
          <w:szCs w:val="16"/>
        </w:rPr>
      </w:pPr>
    </w:p>
    <w:p w:rsidR="0010038B" w:rsidRPr="0010038B" w:rsidRDefault="0010038B" w:rsidP="0010038B">
      <w:pPr>
        <w:spacing w:after="0"/>
        <w:rPr>
          <w:sz w:val="20"/>
          <w:szCs w:val="16"/>
          <w:highlight w:val="green"/>
          <w:lang w:eastAsia="zh-CN"/>
        </w:rPr>
      </w:pPr>
      <w:r w:rsidRPr="0010038B">
        <w:rPr>
          <w:sz w:val="20"/>
          <w:szCs w:val="16"/>
          <w:highlight w:val="green"/>
          <w:lang w:eastAsia="zh-CN"/>
        </w:rPr>
        <w:t>Confirm the working assumption:</w:t>
      </w:r>
    </w:p>
    <w:p w:rsidR="0010038B" w:rsidRPr="0010038B" w:rsidRDefault="0010038B" w:rsidP="0010038B">
      <w:pPr>
        <w:spacing w:after="0"/>
        <w:rPr>
          <w:sz w:val="20"/>
          <w:szCs w:val="16"/>
        </w:rPr>
      </w:pPr>
      <w:r w:rsidRPr="0010038B">
        <w:rPr>
          <w:sz w:val="20"/>
          <w:szCs w:val="16"/>
        </w:rPr>
        <w:t>Working Assumption</w:t>
      </w:r>
    </w:p>
    <w:p w:rsidR="0010038B" w:rsidRPr="0010038B" w:rsidRDefault="0010038B" w:rsidP="0010038B">
      <w:pPr>
        <w:spacing w:after="0"/>
        <w:ind w:leftChars="200" w:left="440"/>
        <w:rPr>
          <w:sz w:val="20"/>
          <w:szCs w:val="16"/>
          <w:lang w:eastAsia="zh-CN"/>
        </w:rPr>
      </w:pPr>
      <w:r w:rsidRPr="0010038B">
        <w:rPr>
          <w:sz w:val="20"/>
          <w:szCs w:val="16"/>
        </w:rPr>
        <w:t>For the indication of 16-QAM in uplink</w:t>
      </w:r>
    </w:p>
    <w:p w:rsidR="0010038B" w:rsidRPr="0010038B" w:rsidRDefault="0010038B" w:rsidP="0010038B">
      <w:pPr>
        <w:numPr>
          <w:ilvl w:val="0"/>
          <w:numId w:val="28"/>
        </w:numPr>
        <w:overflowPunct w:val="0"/>
        <w:autoSpaceDE/>
        <w:autoSpaceDN/>
        <w:adjustRightInd/>
        <w:snapToGrid/>
        <w:spacing w:after="0"/>
        <w:ind w:leftChars="364" w:left="1161"/>
        <w:contextualSpacing/>
        <w:jc w:val="left"/>
        <w:textAlignment w:val="baseline"/>
        <w:rPr>
          <w:sz w:val="20"/>
          <w:szCs w:val="16"/>
          <w:lang w:eastAsia="zh-CN"/>
        </w:rPr>
      </w:pPr>
      <w:r w:rsidRPr="0010038B">
        <w:rPr>
          <w:sz w:val="20"/>
          <w:szCs w:val="16"/>
          <w:lang w:eastAsia="zh-CN"/>
        </w:rPr>
        <w:t>The “Modulation and coding scheme” field in DCI Format N0 is utilized as in legacy for scheduling QPSK.</w:t>
      </w:r>
    </w:p>
    <w:p w:rsidR="0010038B" w:rsidRPr="0010038B" w:rsidRDefault="0010038B" w:rsidP="0010038B">
      <w:pPr>
        <w:numPr>
          <w:ilvl w:val="0"/>
          <w:numId w:val="28"/>
        </w:numPr>
        <w:overflowPunct w:val="0"/>
        <w:autoSpaceDE/>
        <w:autoSpaceDN/>
        <w:adjustRightInd/>
        <w:snapToGrid/>
        <w:spacing w:after="0"/>
        <w:ind w:leftChars="364" w:left="1161"/>
        <w:contextualSpacing/>
        <w:jc w:val="left"/>
        <w:textAlignment w:val="baseline"/>
        <w:rPr>
          <w:sz w:val="20"/>
          <w:szCs w:val="16"/>
          <w:lang w:eastAsia="zh-CN"/>
        </w:rPr>
      </w:pPr>
      <w:r w:rsidRPr="0010038B">
        <w:rPr>
          <w:sz w:val="20"/>
          <w:szCs w:val="16"/>
          <w:lang w:eastAsia="zh-CN"/>
        </w:rPr>
        <w:t>One reserved state in the “Modulation and coding scheme” field in DCI Format N0 is utilized to indicate the use of 16QAM.</w:t>
      </w:r>
    </w:p>
    <w:p w:rsidR="0010038B" w:rsidRPr="0010038B" w:rsidRDefault="0010038B" w:rsidP="0010038B">
      <w:pPr>
        <w:numPr>
          <w:ilvl w:val="0"/>
          <w:numId w:val="28"/>
        </w:numPr>
        <w:overflowPunct w:val="0"/>
        <w:autoSpaceDE/>
        <w:autoSpaceDN/>
        <w:adjustRightInd/>
        <w:snapToGrid/>
        <w:spacing w:after="0"/>
        <w:ind w:leftChars="364" w:left="1161"/>
        <w:contextualSpacing/>
        <w:jc w:val="left"/>
        <w:textAlignment w:val="baseline"/>
        <w:rPr>
          <w:sz w:val="20"/>
          <w:szCs w:val="16"/>
          <w:lang w:eastAsia="zh-CN"/>
        </w:rPr>
      </w:pPr>
      <w:r w:rsidRPr="0010038B">
        <w:rPr>
          <w:sz w:val="20"/>
          <w:szCs w:val="16"/>
        </w:rPr>
        <w:t>The “Repetition number” field in DCI Format N0 is utilized to indicate the TBS indices (i.e., I_TBS indices from 14 to 21) for 16-QAM in UL.</w:t>
      </w:r>
    </w:p>
    <w:p w:rsidR="0010038B" w:rsidRPr="0010038B" w:rsidRDefault="0010038B" w:rsidP="0010038B">
      <w:pPr>
        <w:spacing w:after="0"/>
        <w:rPr>
          <w:sz w:val="20"/>
          <w:szCs w:val="20"/>
        </w:rPr>
      </w:pPr>
    </w:p>
    <w:p w:rsidR="0010038B" w:rsidRPr="0010038B" w:rsidRDefault="0010038B" w:rsidP="0010038B">
      <w:pPr>
        <w:spacing w:after="0"/>
        <w:rPr>
          <w:sz w:val="20"/>
          <w:szCs w:val="20"/>
          <w:highlight w:val="green"/>
          <w:lang w:eastAsia="zh-CN"/>
        </w:rPr>
      </w:pPr>
      <w:r w:rsidRPr="0010038B">
        <w:rPr>
          <w:sz w:val="20"/>
          <w:szCs w:val="20"/>
          <w:highlight w:val="green"/>
          <w:lang w:eastAsia="zh-CN"/>
        </w:rPr>
        <w:t>Agreement</w:t>
      </w:r>
    </w:p>
    <w:p w:rsidR="0010038B" w:rsidRPr="0010038B" w:rsidRDefault="0010038B" w:rsidP="0010038B">
      <w:pPr>
        <w:spacing w:after="0"/>
        <w:rPr>
          <w:bCs/>
          <w:sz w:val="20"/>
          <w:szCs w:val="20"/>
        </w:rPr>
      </w:pPr>
      <w:r w:rsidRPr="0010038B">
        <w:rPr>
          <w:bCs/>
          <w:sz w:val="20"/>
          <w:szCs w:val="20"/>
        </w:rPr>
        <w:t xml:space="preserve">For the UE configured with 16-QAM for NPDSCH, the deployment of the carrier is signaled by </w:t>
      </w:r>
      <w:r w:rsidRPr="0010038B">
        <w:rPr>
          <w:bCs/>
          <w:i/>
          <w:sz w:val="20"/>
          <w:szCs w:val="20"/>
        </w:rPr>
        <w:t>operationModeInfo</w:t>
      </w:r>
      <w:r w:rsidRPr="0010038B">
        <w:rPr>
          <w:bCs/>
          <w:sz w:val="20"/>
          <w:szCs w:val="20"/>
        </w:rPr>
        <w:t xml:space="preserve"> in MIB or </w:t>
      </w:r>
      <w:r w:rsidRPr="0010038B">
        <w:rPr>
          <w:bCs/>
          <w:i/>
          <w:sz w:val="20"/>
          <w:szCs w:val="20"/>
        </w:rPr>
        <w:t>inbandCarrierInfo</w:t>
      </w:r>
      <w:r w:rsidRPr="0010038B">
        <w:rPr>
          <w:bCs/>
          <w:sz w:val="20"/>
          <w:szCs w:val="20"/>
        </w:rPr>
        <w:t xml:space="preserve"> in SIB.</w:t>
      </w:r>
    </w:p>
    <w:p w:rsidR="0010038B" w:rsidRPr="0010038B" w:rsidRDefault="0010038B" w:rsidP="0010038B">
      <w:pPr>
        <w:spacing w:after="0"/>
        <w:rPr>
          <w:sz w:val="20"/>
          <w:szCs w:val="20"/>
          <w:lang w:eastAsia="ar-SA"/>
        </w:rPr>
      </w:pPr>
    </w:p>
    <w:p w:rsidR="0010038B" w:rsidRPr="0010038B" w:rsidRDefault="0010038B" w:rsidP="0010038B">
      <w:pPr>
        <w:spacing w:after="0"/>
        <w:rPr>
          <w:b/>
          <w:sz w:val="20"/>
          <w:szCs w:val="20"/>
          <w:highlight w:val="green"/>
        </w:rPr>
      </w:pPr>
      <w:r w:rsidRPr="0010038B">
        <w:rPr>
          <w:b/>
          <w:sz w:val="20"/>
          <w:szCs w:val="20"/>
          <w:highlight w:val="green"/>
        </w:rPr>
        <w:t>Confirm working assumption:</w:t>
      </w:r>
    </w:p>
    <w:p w:rsidR="0010038B" w:rsidRPr="0010038B" w:rsidRDefault="0010038B" w:rsidP="0010038B">
      <w:pPr>
        <w:overflowPunct w:val="0"/>
        <w:spacing w:after="0"/>
        <w:textAlignment w:val="baseline"/>
        <w:rPr>
          <w:rFonts w:eastAsia="Times New Roman"/>
          <w:sz w:val="20"/>
          <w:szCs w:val="16"/>
          <w:lang w:eastAsia="en-GB"/>
        </w:rPr>
      </w:pPr>
      <w:r w:rsidRPr="0010038B">
        <w:rPr>
          <w:rFonts w:eastAsia="Times New Roman"/>
          <w:sz w:val="20"/>
          <w:szCs w:val="16"/>
          <w:lang w:eastAsia="en-GB"/>
        </w:rPr>
        <w:t>Working Assumption</w:t>
      </w:r>
    </w:p>
    <w:p w:rsidR="0010038B" w:rsidRPr="0010038B" w:rsidRDefault="0010038B" w:rsidP="0010038B">
      <w:pPr>
        <w:overflowPunct w:val="0"/>
        <w:spacing w:after="0"/>
        <w:ind w:leftChars="200" w:left="440"/>
        <w:textAlignment w:val="baseline"/>
        <w:rPr>
          <w:rFonts w:eastAsia="Times New Roman"/>
          <w:sz w:val="20"/>
          <w:szCs w:val="16"/>
          <w:lang w:eastAsia="en-GB"/>
        </w:rPr>
      </w:pPr>
      <w:r w:rsidRPr="0010038B">
        <w:rPr>
          <w:rFonts w:eastAsia="Times New Roman"/>
          <w:sz w:val="20"/>
          <w:szCs w:val="16"/>
          <w:lang w:eastAsia="en-GB"/>
        </w:rPr>
        <w:t>For downlink power allocation to support 16QAM:</w:t>
      </w:r>
    </w:p>
    <w:p w:rsidR="0010038B" w:rsidRPr="0010038B" w:rsidRDefault="0010038B" w:rsidP="0010038B">
      <w:pPr>
        <w:numPr>
          <w:ilvl w:val="0"/>
          <w:numId w:val="29"/>
        </w:numPr>
        <w:autoSpaceDE/>
        <w:autoSpaceDN/>
        <w:adjustRightInd/>
        <w:snapToGrid/>
        <w:spacing w:after="0"/>
        <w:ind w:leftChars="364" w:left="1161"/>
        <w:jc w:val="left"/>
        <w:rPr>
          <w:sz w:val="20"/>
          <w:szCs w:val="16"/>
          <w:lang w:eastAsia="ja-JP"/>
        </w:rPr>
      </w:pPr>
      <w:r w:rsidRPr="0010038B">
        <w:rPr>
          <w:sz w:val="20"/>
          <w:szCs w:val="16"/>
          <w:lang w:eastAsia="ja-JP"/>
        </w:rPr>
        <w:t>For standalone and guard-band deployments:</w:t>
      </w:r>
    </w:p>
    <w:p w:rsidR="0010038B" w:rsidRPr="0010038B" w:rsidRDefault="0010038B" w:rsidP="0010038B">
      <w:pPr>
        <w:numPr>
          <w:ilvl w:val="1"/>
          <w:numId w:val="29"/>
        </w:numPr>
        <w:autoSpaceDE/>
        <w:autoSpaceDN/>
        <w:adjustRightInd/>
        <w:snapToGrid/>
        <w:spacing w:after="0"/>
        <w:ind w:leftChars="691" w:left="1880"/>
        <w:jc w:val="left"/>
        <w:rPr>
          <w:sz w:val="20"/>
          <w:szCs w:val="16"/>
          <w:lang w:eastAsia="ja-JP"/>
        </w:rPr>
      </w:pPr>
      <w:r w:rsidRPr="0010038B">
        <w:rPr>
          <w:sz w:val="20"/>
          <w:szCs w:val="16"/>
          <w:lang w:eastAsia="ja-JP"/>
        </w:rPr>
        <w:t>One power ratio is signaled optionally</w:t>
      </w:r>
    </w:p>
    <w:p w:rsidR="0010038B" w:rsidRPr="0010038B" w:rsidRDefault="0010038B" w:rsidP="0010038B">
      <w:pPr>
        <w:numPr>
          <w:ilvl w:val="2"/>
          <w:numId w:val="29"/>
        </w:numPr>
        <w:autoSpaceDE/>
        <w:autoSpaceDN/>
        <w:adjustRightInd/>
        <w:snapToGrid/>
        <w:spacing w:after="0"/>
        <w:ind w:leftChars="1018" w:left="2600"/>
        <w:jc w:val="left"/>
        <w:rPr>
          <w:sz w:val="20"/>
          <w:szCs w:val="16"/>
          <w:lang w:eastAsia="ja-JP"/>
        </w:rPr>
      </w:pPr>
      <w:r w:rsidRPr="0010038B">
        <w:rPr>
          <w:sz w:val="20"/>
          <w:szCs w:val="16"/>
          <w:lang w:eastAsia="ja-JP"/>
        </w:rPr>
        <w:t>NPDSCH EPRE to NRS EPRE in symbols without NRS</w:t>
      </w:r>
    </w:p>
    <w:p w:rsidR="0010038B" w:rsidRPr="0010038B" w:rsidRDefault="0010038B" w:rsidP="0010038B">
      <w:pPr>
        <w:numPr>
          <w:ilvl w:val="1"/>
          <w:numId w:val="29"/>
        </w:numPr>
        <w:autoSpaceDE/>
        <w:autoSpaceDN/>
        <w:adjustRightInd/>
        <w:snapToGrid/>
        <w:spacing w:after="0"/>
        <w:ind w:leftChars="691" w:left="1880"/>
        <w:jc w:val="left"/>
        <w:rPr>
          <w:sz w:val="20"/>
          <w:szCs w:val="16"/>
          <w:lang w:eastAsia="ja-JP"/>
        </w:rPr>
      </w:pPr>
      <w:r w:rsidRPr="0010038B">
        <w:rPr>
          <w:sz w:val="20"/>
          <w:szCs w:val="16"/>
          <w:lang w:eastAsia="ja-JP"/>
        </w:rPr>
        <w:t>The same transmit power is assumed across different symbols.</w:t>
      </w:r>
    </w:p>
    <w:p w:rsidR="0010038B" w:rsidRPr="0010038B" w:rsidRDefault="0010038B" w:rsidP="0010038B">
      <w:pPr>
        <w:numPr>
          <w:ilvl w:val="1"/>
          <w:numId w:val="29"/>
        </w:numPr>
        <w:autoSpaceDE/>
        <w:autoSpaceDN/>
        <w:adjustRightInd/>
        <w:snapToGrid/>
        <w:spacing w:after="0"/>
        <w:ind w:leftChars="691" w:left="1880"/>
        <w:jc w:val="left"/>
        <w:rPr>
          <w:sz w:val="20"/>
          <w:szCs w:val="16"/>
          <w:lang w:eastAsia="ja-JP"/>
        </w:rPr>
      </w:pPr>
      <w:r w:rsidRPr="0010038B">
        <w:rPr>
          <w:sz w:val="20"/>
          <w:szCs w:val="16"/>
          <w:lang w:eastAsia="ja-JP"/>
        </w:rPr>
        <w:t>If the signalling is not indicated, the legacy power allocation is used.</w:t>
      </w:r>
    </w:p>
    <w:p w:rsidR="0010038B" w:rsidRPr="0010038B" w:rsidRDefault="0010038B" w:rsidP="0010038B">
      <w:pPr>
        <w:numPr>
          <w:ilvl w:val="2"/>
          <w:numId w:val="29"/>
        </w:numPr>
        <w:autoSpaceDE/>
        <w:autoSpaceDN/>
        <w:adjustRightInd/>
        <w:snapToGrid/>
        <w:spacing w:after="0"/>
        <w:ind w:leftChars="1018" w:left="2600"/>
        <w:jc w:val="left"/>
        <w:rPr>
          <w:sz w:val="20"/>
          <w:szCs w:val="16"/>
          <w:lang w:eastAsia="ja-JP"/>
        </w:rPr>
      </w:pPr>
      <w:r w:rsidRPr="0010038B">
        <w:rPr>
          <w:sz w:val="20"/>
          <w:szCs w:val="16"/>
          <w:lang w:eastAsia="ja-JP"/>
        </w:rPr>
        <w:t>i.e., the ratio of NPDSCH EPRE to NRS EPRE is 0dB for one NRS antenna port, and -3dB for two NRS antenna ports</w:t>
      </w:r>
    </w:p>
    <w:p w:rsidR="0010038B" w:rsidRPr="0010038B" w:rsidRDefault="0010038B" w:rsidP="0010038B">
      <w:pPr>
        <w:numPr>
          <w:ilvl w:val="0"/>
          <w:numId w:val="29"/>
        </w:numPr>
        <w:autoSpaceDE/>
        <w:autoSpaceDN/>
        <w:adjustRightInd/>
        <w:snapToGrid/>
        <w:spacing w:after="0"/>
        <w:ind w:leftChars="364" w:left="1161"/>
        <w:jc w:val="left"/>
        <w:rPr>
          <w:sz w:val="20"/>
          <w:szCs w:val="16"/>
          <w:lang w:eastAsia="ja-JP"/>
        </w:rPr>
      </w:pPr>
      <w:r w:rsidRPr="0010038B">
        <w:rPr>
          <w:sz w:val="20"/>
          <w:szCs w:val="16"/>
          <w:lang w:eastAsia="ja-JP"/>
        </w:rPr>
        <w:t>UE specific signalling is used</w:t>
      </w:r>
    </w:p>
    <w:p w:rsidR="0010038B" w:rsidRPr="0010038B" w:rsidRDefault="0010038B" w:rsidP="0010038B">
      <w:pPr>
        <w:spacing w:after="0"/>
        <w:rPr>
          <w:sz w:val="20"/>
          <w:szCs w:val="20"/>
          <w:lang w:eastAsia="ar-SA"/>
        </w:rPr>
      </w:pPr>
    </w:p>
    <w:p w:rsidR="0010038B" w:rsidRPr="0010038B" w:rsidRDefault="0010038B" w:rsidP="0010038B">
      <w:pPr>
        <w:spacing w:after="0"/>
        <w:rPr>
          <w:sz w:val="20"/>
          <w:szCs w:val="20"/>
          <w:highlight w:val="green"/>
          <w:lang w:eastAsia="ar-SA"/>
        </w:rPr>
      </w:pPr>
      <w:r w:rsidRPr="0010038B">
        <w:rPr>
          <w:sz w:val="20"/>
          <w:szCs w:val="20"/>
          <w:highlight w:val="green"/>
          <w:lang w:eastAsia="ar-SA"/>
        </w:rPr>
        <w:t>Agreement</w:t>
      </w:r>
    </w:p>
    <w:p w:rsidR="0010038B" w:rsidRPr="0010038B" w:rsidRDefault="0010038B" w:rsidP="0010038B">
      <w:pPr>
        <w:spacing w:after="0"/>
        <w:rPr>
          <w:sz w:val="20"/>
          <w:szCs w:val="20"/>
          <w:lang w:eastAsia="ar-SA"/>
        </w:rPr>
      </w:pPr>
      <w:r w:rsidRPr="0010038B">
        <w:rPr>
          <w:sz w:val="20"/>
          <w:szCs w:val="20"/>
          <w:lang w:eastAsia="ar-SA"/>
        </w:rPr>
        <w:t>Down-select one option from Cat 1 as starting point</w:t>
      </w:r>
    </w:p>
    <w:p w:rsidR="0010038B" w:rsidRPr="0010038B" w:rsidRDefault="0010038B" w:rsidP="0010038B">
      <w:pPr>
        <w:numPr>
          <w:ilvl w:val="0"/>
          <w:numId w:val="29"/>
        </w:numPr>
        <w:autoSpaceDE/>
        <w:autoSpaceDN/>
        <w:adjustRightInd/>
        <w:snapToGrid/>
        <w:spacing w:after="0"/>
        <w:ind w:leftChars="364" w:left="1161"/>
        <w:jc w:val="left"/>
        <w:rPr>
          <w:sz w:val="20"/>
          <w:szCs w:val="16"/>
          <w:lang w:eastAsia="ja-JP"/>
        </w:rPr>
      </w:pPr>
      <w:r w:rsidRPr="0010038B">
        <w:rPr>
          <w:sz w:val="20"/>
          <w:szCs w:val="16"/>
          <w:lang w:eastAsia="ja-JP"/>
        </w:rPr>
        <w:t>Cat 1: Option 1, Option 2/Option 4, Option 5</w:t>
      </w:r>
    </w:p>
    <w:p w:rsidR="0010038B" w:rsidRPr="0010038B" w:rsidRDefault="0010038B" w:rsidP="0010038B">
      <w:pPr>
        <w:spacing w:after="0"/>
        <w:rPr>
          <w:sz w:val="20"/>
          <w:szCs w:val="16"/>
          <w:lang w:eastAsia="ja-JP"/>
        </w:rPr>
      </w:pPr>
      <w:r w:rsidRPr="0010038B">
        <w:rPr>
          <w:sz w:val="20"/>
          <w:szCs w:val="16"/>
          <w:lang w:eastAsia="ja-JP"/>
        </w:rPr>
        <w:lastRenderedPageBreak/>
        <w:t>FFS Cat 2: Option 3, for close-loop power control</w:t>
      </w:r>
    </w:p>
    <w:p w:rsidR="0010038B" w:rsidRPr="0010038B" w:rsidRDefault="0010038B" w:rsidP="0010038B">
      <w:pPr>
        <w:pStyle w:val="af"/>
        <w:numPr>
          <w:ilvl w:val="0"/>
          <w:numId w:val="30"/>
        </w:numPr>
        <w:snapToGrid/>
        <w:jc w:val="both"/>
        <w:rPr>
          <w:rFonts w:ascii="Times New Roman" w:hAnsi="Times New Roman"/>
          <w:sz w:val="20"/>
          <w:szCs w:val="20"/>
        </w:rPr>
      </w:pPr>
      <w:r w:rsidRPr="0010038B">
        <w:rPr>
          <w:rFonts w:ascii="Times New Roman" w:hAnsi="Times New Roman"/>
          <w:sz w:val="20"/>
          <w:szCs w:val="20"/>
        </w:rPr>
        <w:t xml:space="preserve">Option 1: Reuse the LTE definition simplified for NB-IoT: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BPRE</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sup>
                </m:sSup>
                <m:r>
                  <m:rPr>
                    <m:sty m:val="p"/>
                  </m:rPr>
                  <w:rPr>
                    <w:rFonts w:ascii="Cambria Math" w:hAnsi="Cambria Math"/>
                    <w:sz w:val="20"/>
                    <w:szCs w:val="20"/>
                  </w:rPr>
                  <m:t>-1</m:t>
                </m:r>
              </m:e>
            </m:d>
          </m:e>
        </m:d>
      </m:oMath>
      <w:r w:rsidRPr="0010038B">
        <w:rPr>
          <w:rFonts w:ascii="Times New Roman" w:hAnsi="Times New Roman"/>
          <w:sz w:val="20"/>
          <w:szCs w:val="20"/>
        </w:rPr>
        <w:t xml:space="preserve"> for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=1.25</m:t>
        </m:r>
      </m:oMath>
      <w:r w:rsidRPr="0010038B">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=0</m:t>
        </m:r>
      </m:oMath>
      <w:r w:rsidRPr="0010038B">
        <w:rPr>
          <w:rFonts w:ascii="Times New Roman" w:hAnsi="Times New Roman"/>
          <w:sz w:val="20"/>
          <w:szCs w:val="20"/>
        </w:rPr>
        <w:t xml:space="preserve"> for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=0</m:t>
        </m:r>
      </m:oMath>
      <w:r w:rsidRPr="0010038B">
        <w:rPr>
          <w:rFonts w:ascii="Times New Roman" w:hAnsi="Times New Roman"/>
          <w:sz w:val="20"/>
          <w:szCs w:val="20"/>
        </w:rPr>
        <w:t xml:space="preserve">, where </w:t>
      </w:r>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s</m:t>
            </m:r>
          </m:sub>
        </m:sSub>
      </m:oMath>
      <w:r w:rsidRPr="0010038B">
        <w:rPr>
          <w:rFonts w:ascii="Times New Roman" w:hAnsi="Times New Roman"/>
          <w:sz w:val="20"/>
          <w:szCs w:val="20"/>
        </w:rPr>
        <w:t xml:space="preserve"> is given by higher layer parameter </w:t>
      </w:r>
      <w:r w:rsidRPr="0010038B">
        <w:rPr>
          <w:rFonts w:ascii="Times New Roman" w:hAnsi="Times New Roman"/>
          <w:i/>
          <w:sz w:val="20"/>
          <w:szCs w:val="20"/>
        </w:rPr>
        <w:t>deltaMCS-Enabled</w:t>
      </w:r>
      <w:r w:rsidRPr="0010038B">
        <w:rPr>
          <w:rFonts w:ascii="Times New Roman" w:hAnsi="Times New Roman"/>
          <w:sz w:val="20"/>
          <w:szCs w:val="20"/>
        </w:rPr>
        <w:t xml:space="preserve">, and </w:t>
      </w:r>
      <m:oMath>
        <m:r>
          <w:rPr>
            <w:rFonts w:ascii="Cambria Math" w:hAnsi="Cambria Math"/>
            <w:sz w:val="20"/>
            <w:szCs w:val="20"/>
          </w:rPr>
          <m:t>BPRE=</m:t>
        </m:r>
        <m:f>
          <m:fPr>
            <m:ctrlPr>
              <w:rPr>
                <w:rFonts w:ascii="Cambria Math" w:hAnsi="Cambria Math"/>
                <w:i/>
                <w:sz w:val="20"/>
                <w:szCs w:val="20"/>
              </w:rPr>
            </m:ctrlPr>
          </m:fPr>
          <m:num>
            <m:r>
              <w:rPr>
                <w:rFonts w:ascii="Cambria Math" w:hAnsi="Cambria Math"/>
                <w:sz w:val="20"/>
                <w:szCs w:val="20"/>
              </w:rPr>
              <m:t>K</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RE</m:t>
                </m:r>
              </m:sub>
            </m:sSub>
          </m:den>
        </m:f>
      </m:oMath>
      <w:r w:rsidRPr="0010038B">
        <w:rPr>
          <w:rFonts w:ascii="Times New Roman" w:hAnsi="Times New Roman"/>
          <w:sz w:val="20"/>
          <w:szCs w:val="20"/>
        </w:rPr>
        <w:t xml:space="preserve"> where K is the code block size.</w:t>
      </w:r>
    </w:p>
    <w:p w:rsidR="0010038B" w:rsidRPr="0010038B" w:rsidRDefault="0010038B" w:rsidP="0010038B">
      <w:pPr>
        <w:pStyle w:val="af"/>
        <w:numPr>
          <w:ilvl w:val="0"/>
          <w:numId w:val="30"/>
        </w:numPr>
        <w:snapToGrid/>
        <w:jc w:val="both"/>
        <w:rPr>
          <w:rFonts w:ascii="Times New Roman" w:hAnsi="Times New Roman"/>
          <w:sz w:val="20"/>
          <w:szCs w:val="20"/>
        </w:rPr>
      </w:pPr>
      <w:r w:rsidRPr="0010038B">
        <w:rPr>
          <w:rFonts w:ascii="Times New Roman" w:hAnsi="Times New Roman"/>
          <w:sz w:val="20"/>
          <w:szCs w:val="20"/>
        </w:rPr>
        <w:t xml:space="preserve">Option 2: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Pr="0010038B">
        <w:rPr>
          <w:rFonts w:ascii="Times New Roman" w:hAnsi="Times New Roman"/>
          <w:sz w:val="20"/>
          <w:szCs w:val="20"/>
        </w:rPr>
        <w:t xml:space="preserve"> is given in table based on MCS index if enabled, 0 otherwise.</w:t>
      </w:r>
    </w:p>
    <w:p w:rsidR="0010038B" w:rsidRPr="0010038B" w:rsidRDefault="0010038B" w:rsidP="0010038B">
      <w:pPr>
        <w:pStyle w:val="af"/>
        <w:numPr>
          <w:ilvl w:val="0"/>
          <w:numId w:val="30"/>
        </w:numPr>
        <w:snapToGrid/>
        <w:jc w:val="both"/>
        <w:rPr>
          <w:rFonts w:ascii="Times New Roman" w:hAnsi="Times New Roman"/>
          <w:sz w:val="20"/>
          <w:szCs w:val="20"/>
        </w:rPr>
      </w:pPr>
      <w:r w:rsidRPr="0010038B">
        <w:rPr>
          <w:rFonts w:ascii="Times New Roman" w:hAnsi="Times New Roman"/>
          <w:sz w:val="20"/>
          <w:szCs w:val="20"/>
        </w:rPr>
        <w:t>Option 3: A TPC command is introduce to indicate the power offset for NPUSCH with 16-QAM.</w:t>
      </w:r>
    </w:p>
    <w:p w:rsidR="0010038B" w:rsidRPr="0010038B" w:rsidRDefault="0010038B" w:rsidP="0010038B">
      <w:pPr>
        <w:pStyle w:val="af"/>
        <w:numPr>
          <w:ilvl w:val="0"/>
          <w:numId w:val="30"/>
        </w:numPr>
        <w:snapToGrid/>
        <w:jc w:val="both"/>
        <w:rPr>
          <w:rFonts w:ascii="Times New Roman" w:hAnsi="Times New Roman"/>
          <w:sz w:val="20"/>
          <w:szCs w:val="20"/>
        </w:rPr>
      </w:pPr>
      <w:r w:rsidRPr="0010038B">
        <w:rPr>
          <w:rFonts w:ascii="Times New Roman" w:hAnsi="Times New Roman"/>
          <w:sz w:val="20"/>
          <w:szCs w:val="20"/>
        </w:rPr>
        <w:t xml:space="preserve">Option 4: </w:t>
      </w:r>
      <m:oMath>
        <m:sSub>
          <m:sSubPr>
            <m:ctrlPr>
              <w:rPr>
                <w:rFonts w:ascii="Cambria Math" w:hAnsi="Cambria Math"/>
                <w:sz w:val="20"/>
                <w:szCs w:val="20"/>
              </w:rPr>
            </m:ctrlPr>
          </m:sSubPr>
          <m:e>
            <m:r>
              <m:rPr>
                <m:sty m:val="p"/>
              </m:rPr>
              <w:rPr>
                <w:rFonts w:ascii="Cambria Math" w:hAnsi="Cambria Math"/>
                <w:sz w:val="20"/>
                <w:szCs w:val="20"/>
              </w:rPr>
              <m:t>∆</m:t>
            </m: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sub>
        </m:sSub>
      </m:oMath>
      <w:r w:rsidRPr="0010038B">
        <w:rPr>
          <w:rFonts w:ascii="Times New Roman" w:hAnsi="Times New Roman"/>
          <w:sz w:val="20"/>
          <w:szCs w:val="20"/>
        </w:rPr>
        <w:t xml:space="preserve"> is configured by high layer parameter.</w:t>
      </w:r>
    </w:p>
    <w:p w:rsidR="0010038B" w:rsidRPr="0010038B" w:rsidRDefault="0010038B" w:rsidP="0010038B">
      <w:pPr>
        <w:pStyle w:val="af"/>
        <w:numPr>
          <w:ilvl w:val="0"/>
          <w:numId w:val="30"/>
        </w:numPr>
        <w:snapToGrid/>
        <w:jc w:val="both"/>
        <w:rPr>
          <w:rFonts w:ascii="Times New Roman" w:hAnsi="Times New Roman"/>
          <w:sz w:val="20"/>
          <w:szCs w:val="20"/>
        </w:rPr>
      </w:pPr>
      <w:r w:rsidRPr="0010038B">
        <w:rPr>
          <w:rFonts w:ascii="Times New Roman" w:hAnsi="Times New Roman"/>
          <w:bCs/>
          <w:sz w:val="20"/>
          <w:szCs w:val="16"/>
          <w:lang w:eastAsia="ja-JP"/>
        </w:rPr>
        <w:t>Option 5: Δ</w:t>
      </w:r>
      <w:r w:rsidRPr="0010038B">
        <w:rPr>
          <w:rFonts w:ascii="Times New Roman" w:hAnsi="Times New Roman"/>
          <w:bCs/>
          <w:sz w:val="20"/>
          <w:szCs w:val="16"/>
          <w:vertAlign w:val="subscript"/>
          <w:lang w:eastAsia="ja-JP"/>
        </w:rPr>
        <w:t>TF</w:t>
      </w:r>
      <w:r w:rsidRPr="0010038B">
        <w:rPr>
          <w:rFonts w:ascii="Times New Roman" w:hAnsi="Times New Roman"/>
          <w:bCs/>
          <w:sz w:val="20"/>
          <w:szCs w:val="16"/>
          <w:lang w:eastAsia="ja-JP"/>
        </w:rPr>
        <w:t xml:space="preserve"> = </w:t>
      </w:r>
      <m:oMath>
        <m:r>
          <m:rPr>
            <m:sty m:val="p"/>
          </m:rPr>
          <w:rPr>
            <w:rFonts w:ascii="Cambria Math" w:hAnsi="Cambria Math"/>
            <w:sz w:val="20"/>
            <w:szCs w:val="16"/>
            <w:lang w:eastAsia="ja-JP"/>
          </w:rPr>
          <m:t>10</m:t>
        </m:r>
        <m:func>
          <m:funcPr>
            <m:ctrlPr>
              <w:rPr>
                <w:rFonts w:ascii="Cambria Math" w:hAnsi="Cambria Math"/>
                <w:bCs/>
                <w:sz w:val="20"/>
                <w:szCs w:val="16"/>
                <w:lang w:eastAsia="ja-JP"/>
              </w:rPr>
            </m:ctrlPr>
          </m:funcPr>
          <m:fName>
            <m:sSub>
              <m:sSubPr>
                <m:ctrlPr>
                  <w:rPr>
                    <w:rFonts w:ascii="Cambria Math" w:hAnsi="Cambria Math"/>
                    <w:bCs/>
                    <w:sz w:val="20"/>
                    <w:szCs w:val="16"/>
                    <w:lang w:eastAsia="ja-JP"/>
                  </w:rPr>
                </m:ctrlPr>
              </m:sSubPr>
              <m:e>
                <m:r>
                  <m:rPr>
                    <m:sty m:val="p"/>
                  </m:rPr>
                  <w:rPr>
                    <w:rFonts w:ascii="Cambria Math" w:hAnsi="Cambria Math"/>
                    <w:sz w:val="20"/>
                    <w:szCs w:val="16"/>
                    <w:lang w:eastAsia="ja-JP"/>
                  </w:rPr>
                  <m:t>log</m:t>
                </m:r>
              </m:e>
              <m:sub>
                <m:r>
                  <m:rPr>
                    <m:sty m:val="p"/>
                  </m:rPr>
                  <w:rPr>
                    <w:rFonts w:ascii="Cambria Math" w:hAnsi="Cambria Math"/>
                    <w:sz w:val="20"/>
                    <w:szCs w:val="16"/>
                    <w:lang w:eastAsia="ja-JP"/>
                  </w:rPr>
                  <m:t>10</m:t>
                </m:r>
              </m:sub>
            </m:sSub>
          </m:fName>
          <m:e>
            <m:d>
              <m:dPr>
                <m:ctrlPr>
                  <w:rPr>
                    <w:rFonts w:ascii="Cambria Math" w:hAnsi="Cambria Math"/>
                    <w:bCs/>
                    <w:sz w:val="20"/>
                    <w:szCs w:val="16"/>
                    <w:lang w:eastAsia="ja-JP"/>
                  </w:rPr>
                </m:ctrlPr>
              </m:dPr>
              <m:e>
                <m:f>
                  <m:fPr>
                    <m:ctrlPr>
                      <w:rPr>
                        <w:rFonts w:ascii="Cambria Math" w:hAnsi="Cambria Math"/>
                        <w:bCs/>
                        <w:sz w:val="20"/>
                        <w:szCs w:val="16"/>
                        <w:lang w:eastAsia="ja-JP"/>
                      </w:rPr>
                    </m:ctrlPr>
                  </m:fPr>
                  <m:num>
                    <m:sSup>
                      <m:sSupPr>
                        <m:ctrlPr>
                          <w:rPr>
                            <w:rFonts w:ascii="Cambria Math" w:hAnsi="Cambria Math"/>
                            <w:bCs/>
                            <w:sz w:val="20"/>
                            <w:szCs w:val="16"/>
                            <w:lang w:eastAsia="ja-JP"/>
                          </w:rPr>
                        </m:ctrlPr>
                      </m:sSupPr>
                      <m:e>
                        <m:r>
                          <m:rPr>
                            <m:sty m:val="p"/>
                          </m:rPr>
                          <w:rPr>
                            <w:rFonts w:ascii="Cambria Math" w:hAnsi="Cambria Math"/>
                            <w:sz w:val="20"/>
                            <w:szCs w:val="16"/>
                            <w:lang w:eastAsia="ja-JP"/>
                          </w:rPr>
                          <m:t>2</m:t>
                        </m:r>
                      </m:e>
                      <m:sup>
                        <m:d>
                          <m:dPr>
                            <m:ctrlPr>
                              <w:rPr>
                                <w:rFonts w:ascii="Cambria Math" w:hAnsi="Cambria Math"/>
                                <w:bCs/>
                                <w:sz w:val="20"/>
                                <w:szCs w:val="16"/>
                                <w:lang w:eastAsia="ja-JP"/>
                              </w:rPr>
                            </m:ctrlPr>
                          </m:dPr>
                          <m:e>
                            <m:sSub>
                              <m:sSubPr>
                                <m:ctrlPr>
                                  <w:rPr>
                                    <w:rFonts w:ascii="Cambria Math" w:hAnsi="Cambria Math"/>
                                    <w:bCs/>
                                    <w:sz w:val="20"/>
                                    <w:szCs w:val="16"/>
                                    <w:lang w:eastAsia="ja-JP"/>
                                  </w:rPr>
                                </m:ctrlPr>
                              </m:sSubPr>
                              <m:e>
                                <m:r>
                                  <w:rPr>
                                    <w:rFonts w:ascii="Cambria Math" w:hAnsi="Cambria Math"/>
                                    <w:sz w:val="20"/>
                                    <w:szCs w:val="16"/>
                                    <w:lang w:eastAsia="ja-JP"/>
                                  </w:rPr>
                                  <m:t>BPRE</m:t>
                                </m:r>
                              </m:e>
                              <m:sub>
                                <m:r>
                                  <w:rPr>
                                    <w:rFonts w:ascii="Cambria Math" w:hAnsi="Cambria Math"/>
                                    <w:sz w:val="20"/>
                                    <w:szCs w:val="16"/>
                                    <w:lang w:eastAsia="ja-JP"/>
                                  </w:rPr>
                                  <m:t>16QAM</m:t>
                                </m:r>
                              </m:sub>
                            </m:sSub>
                            <m:sSub>
                              <m:sSubPr>
                                <m:ctrlPr>
                                  <w:rPr>
                                    <w:rFonts w:ascii="Cambria Math" w:hAnsi="Cambria Math"/>
                                    <w:bCs/>
                                    <w:sz w:val="20"/>
                                    <w:szCs w:val="16"/>
                                    <w:lang w:eastAsia="ja-JP"/>
                                  </w:rPr>
                                </m:ctrlPr>
                              </m:sSubPr>
                              <m:e>
                                <m:r>
                                  <m:rPr>
                                    <m:sty m:val="p"/>
                                  </m:rPr>
                                  <w:rPr>
                                    <w:rFonts w:ascii="Cambria Math" w:hAnsi="Cambria Math"/>
                                    <w:sz w:val="20"/>
                                    <w:szCs w:val="16"/>
                                    <w:lang w:eastAsia="ja-JP"/>
                                  </w:rPr>
                                  <m:t>∙</m:t>
                                </m:r>
                                <m:r>
                                  <w:rPr>
                                    <w:rFonts w:ascii="Cambria Math" w:hAnsi="Cambria Math"/>
                                    <w:sz w:val="20"/>
                                    <w:szCs w:val="16"/>
                                    <w:lang w:eastAsia="ja-JP"/>
                                  </w:rPr>
                                  <m:t>K</m:t>
                                </m:r>
                              </m:e>
                              <m:sub>
                                <m:r>
                                  <w:rPr>
                                    <w:rFonts w:ascii="Cambria Math" w:hAnsi="Cambria Math"/>
                                    <w:sz w:val="20"/>
                                    <w:szCs w:val="16"/>
                                    <w:lang w:eastAsia="ja-JP"/>
                                  </w:rPr>
                                  <m:t>s</m:t>
                                </m:r>
                              </m:sub>
                            </m:sSub>
                          </m:e>
                        </m:d>
                      </m:sup>
                    </m:sSup>
                    <m:r>
                      <m:rPr>
                        <m:sty m:val="p"/>
                      </m:rPr>
                      <w:rPr>
                        <w:rFonts w:ascii="Cambria Math" w:hAnsi="Cambria Math"/>
                        <w:sz w:val="20"/>
                        <w:szCs w:val="16"/>
                        <w:lang w:eastAsia="ja-JP"/>
                      </w:rPr>
                      <m:t>-1</m:t>
                    </m:r>
                  </m:num>
                  <m:den>
                    <m:sSup>
                      <m:sSupPr>
                        <m:ctrlPr>
                          <w:rPr>
                            <w:rFonts w:ascii="Cambria Math" w:hAnsi="Cambria Math"/>
                            <w:bCs/>
                            <w:sz w:val="20"/>
                            <w:szCs w:val="16"/>
                            <w:lang w:eastAsia="ja-JP"/>
                          </w:rPr>
                        </m:ctrlPr>
                      </m:sSupPr>
                      <m:e>
                        <m:r>
                          <m:rPr>
                            <m:sty m:val="p"/>
                          </m:rPr>
                          <w:rPr>
                            <w:rFonts w:ascii="Cambria Math" w:hAnsi="Cambria Math"/>
                            <w:sz w:val="20"/>
                            <w:szCs w:val="16"/>
                            <w:lang w:eastAsia="ja-JP"/>
                          </w:rPr>
                          <m:t>2</m:t>
                        </m:r>
                      </m:e>
                      <m:sup>
                        <m:d>
                          <m:dPr>
                            <m:ctrlPr>
                              <w:rPr>
                                <w:rFonts w:ascii="Cambria Math" w:hAnsi="Cambria Math"/>
                                <w:bCs/>
                                <w:sz w:val="20"/>
                                <w:szCs w:val="16"/>
                                <w:lang w:eastAsia="ja-JP"/>
                              </w:rPr>
                            </m:ctrlPr>
                          </m:dPr>
                          <m:e>
                            <m:sSub>
                              <m:sSubPr>
                                <m:ctrlPr>
                                  <w:rPr>
                                    <w:rFonts w:ascii="Cambria Math" w:hAnsi="Cambria Math"/>
                                    <w:bCs/>
                                    <w:sz w:val="20"/>
                                    <w:szCs w:val="16"/>
                                    <w:lang w:eastAsia="ja-JP"/>
                                  </w:rPr>
                                </m:ctrlPr>
                              </m:sSubPr>
                              <m:e>
                                <m:r>
                                  <w:rPr>
                                    <w:rFonts w:ascii="Cambria Math" w:hAnsi="Cambria Math"/>
                                    <w:sz w:val="20"/>
                                    <w:szCs w:val="16"/>
                                    <w:lang w:eastAsia="ja-JP"/>
                                  </w:rPr>
                                  <m:t>BPRE</m:t>
                                </m:r>
                              </m:e>
                              <m:sub>
                                <m:r>
                                  <w:rPr>
                                    <w:rFonts w:ascii="Cambria Math" w:hAnsi="Cambria Math"/>
                                    <w:sz w:val="20"/>
                                    <w:szCs w:val="16"/>
                                    <w:lang w:eastAsia="ja-JP"/>
                                  </w:rPr>
                                  <m:t>QPSK</m:t>
                                </m:r>
                              </m:sub>
                            </m:sSub>
                            <m:sSub>
                              <m:sSubPr>
                                <m:ctrlPr>
                                  <w:rPr>
                                    <w:rFonts w:ascii="Cambria Math" w:hAnsi="Cambria Math"/>
                                    <w:bCs/>
                                    <w:sz w:val="20"/>
                                    <w:szCs w:val="16"/>
                                    <w:lang w:eastAsia="ja-JP"/>
                                  </w:rPr>
                                </m:ctrlPr>
                              </m:sSubPr>
                              <m:e>
                                <m:r>
                                  <m:rPr>
                                    <m:sty m:val="p"/>
                                  </m:rPr>
                                  <w:rPr>
                                    <w:rFonts w:ascii="Cambria Math" w:hAnsi="Cambria Math"/>
                                    <w:sz w:val="20"/>
                                    <w:szCs w:val="16"/>
                                    <w:lang w:eastAsia="ja-JP"/>
                                  </w:rPr>
                                  <m:t>∙</m:t>
                                </m:r>
                                <m:r>
                                  <w:rPr>
                                    <w:rFonts w:ascii="Cambria Math" w:hAnsi="Cambria Math"/>
                                    <w:sz w:val="20"/>
                                    <w:szCs w:val="16"/>
                                    <w:lang w:eastAsia="ja-JP"/>
                                  </w:rPr>
                                  <m:t>K</m:t>
                                </m:r>
                              </m:e>
                              <m:sub>
                                <m:r>
                                  <w:rPr>
                                    <w:rFonts w:ascii="Cambria Math" w:hAnsi="Cambria Math"/>
                                    <w:sz w:val="20"/>
                                    <w:szCs w:val="16"/>
                                    <w:lang w:eastAsia="ja-JP"/>
                                  </w:rPr>
                                  <m:t>s</m:t>
                                </m:r>
                              </m:sub>
                            </m:sSub>
                          </m:e>
                        </m:d>
                      </m:sup>
                    </m:sSup>
                    <m:r>
                      <m:rPr>
                        <m:sty m:val="p"/>
                      </m:rPr>
                      <w:rPr>
                        <w:rFonts w:ascii="Cambria Math" w:hAnsi="Cambria Math"/>
                        <w:sz w:val="20"/>
                        <w:szCs w:val="16"/>
                        <w:lang w:eastAsia="ja-JP"/>
                      </w:rPr>
                      <m:t>-1</m:t>
                    </m:r>
                  </m:den>
                </m:f>
              </m:e>
            </m:d>
          </m:e>
        </m:func>
      </m:oMath>
      <w:r w:rsidRPr="0010038B">
        <w:rPr>
          <w:rFonts w:ascii="Times New Roman" w:hAnsi="Times New Roman"/>
          <w:bCs/>
          <w:sz w:val="20"/>
          <w:szCs w:val="16"/>
          <w:lang w:eastAsia="ja-JP"/>
        </w:rPr>
        <w:t xml:space="preserve"> for </w:t>
      </w:r>
      <w:r w:rsidRPr="0010038B">
        <w:rPr>
          <w:rFonts w:ascii="Times New Roman" w:hAnsi="Times New Roman"/>
          <w:bCs/>
          <w:i/>
          <w:iCs/>
          <w:sz w:val="20"/>
          <w:szCs w:val="16"/>
          <w:lang w:eastAsia="ja-JP"/>
        </w:rPr>
        <w:t>K</w:t>
      </w:r>
      <w:r w:rsidRPr="0010038B">
        <w:rPr>
          <w:rFonts w:ascii="Times New Roman" w:hAnsi="Times New Roman"/>
          <w:bCs/>
          <w:i/>
          <w:iCs/>
          <w:sz w:val="20"/>
          <w:szCs w:val="16"/>
          <w:vertAlign w:val="subscript"/>
          <w:lang w:eastAsia="ja-JP"/>
        </w:rPr>
        <w:t>s</w:t>
      </w:r>
      <w:r w:rsidRPr="0010038B">
        <w:rPr>
          <w:rFonts w:ascii="Times New Roman" w:hAnsi="Times New Roman"/>
          <w:bCs/>
          <w:sz w:val="20"/>
          <w:szCs w:val="16"/>
          <w:lang w:eastAsia="ja-JP"/>
        </w:rPr>
        <w:t xml:space="preserve"> = 1.25 or Δ</w:t>
      </w:r>
      <w:r w:rsidRPr="0010038B">
        <w:rPr>
          <w:rFonts w:ascii="Times New Roman" w:hAnsi="Times New Roman"/>
          <w:bCs/>
          <w:sz w:val="20"/>
          <w:szCs w:val="16"/>
          <w:vertAlign w:val="subscript"/>
          <w:lang w:eastAsia="ja-JP"/>
        </w:rPr>
        <w:t>TF</w:t>
      </w:r>
      <w:r w:rsidRPr="0010038B">
        <w:rPr>
          <w:rFonts w:ascii="Times New Roman" w:hAnsi="Times New Roman"/>
          <w:bCs/>
          <w:sz w:val="20"/>
          <w:szCs w:val="16"/>
          <w:lang w:eastAsia="ja-JP"/>
        </w:rPr>
        <w:t xml:space="preserve"> = 0 for </w:t>
      </w:r>
      <w:r w:rsidRPr="0010038B">
        <w:rPr>
          <w:rFonts w:ascii="Times New Roman" w:hAnsi="Times New Roman"/>
          <w:bCs/>
          <w:i/>
          <w:iCs/>
          <w:sz w:val="20"/>
          <w:szCs w:val="16"/>
          <w:lang w:eastAsia="ja-JP"/>
        </w:rPr>
        <w:t>K</w:t>
      </w:r>
      <w:r w:rsidRPr="0010038B">
        <w:rPr>
          <w:rFonts w:ascii="Times New Roman" w:hAnsi="Times New Roman"/>
          <w:bCs/>
          <w:i/>
          <w:iCs/>
          <w:sz w:val="20"/>
          <w:szCs w:val="16"/>
          <w:vertAlign w:val="subscript"/>
          <w:lang w:eastAsia="ja-JP"/>
        </w:rPr>
        <w:t>s</w:t>
      </w:r>
      <w:r w:rsidRPr="0010038B">
        <w:rPr>
          <w:rFonts w:ascii="Times New Roman" w:hAnsi="Times New Roman"/>
          <w:bCs/>
          <w:sz w:val="20"/>
          <w:szCs w:val="16"/>
          <w:lang w:eastAsia="ja-JP"/>
        </w:rPr>
        <w:t xml:space="preserve"> = 0, where BPRE =</w:t>
      </w:r>
      <m:oMath>
        <m:r>
          <m:rPr>
            <m:sty m:val="p"/>
          </m:rPr>
          <w:rPr>
            <w:rFonts w:ascii="Cambria Math" w:hAnsi="Cambria Math"/>
            <w:sz w:val="20"/>
            <w:szCs w:val="16"/>
            <w:lang w:eastAsia="ja-JP"/>
          </w:rPr>
          <m:t xml:space="preserve"> </m:t>
        </m:r>
        <m:sSub>
          <m:sSubPr>
            <m:ctrlPr>
              <w:rPr>
                <w:rFonts w:ascii="Cambria Math" w:hAnsi="Cambria Math"/>
                <w:bCs/>
                <w:sz w:val="20"/>
                <w:szCs w:val="16"/>
                <w:lang w:eastAsia="ja-JP"/>
              </w:rPr>
            </m:ctrlPr>
          </m:sSubPr>
          <m:e>
            <m:sSub>
              <m:sSubPr>
                <m:ctrlPr>
                  <w:rPr>
                    <w:rFonts w:ascii="Cambria Math" w:hAnsi="Cambria Math"/>
                    <w:bCs/>
                    <w:sz w:val="20"/>
                    <w:szCs w:val="16"/>
                    <w:lang w:eastAsia="ja-JP"/>
                  </w:rPr>
                </m:ctrlPr>
              </m:sSubPr>
              <m:e>
                <m:r>
                  <w:rPr>
                    <w:rFonts w:ascii="Cambria Math" w:hAnsi="Cambria Math"/>
                    <w:sz w:val="20"/>
                    <w:szCs w:val="16"/>
                    <w:lang w:eastAsia="ja-JP"/>
                  </w:rPr>
                  <m:t>CodeRate</m:t>
                </m:r>
              </m:e>
              <m:sub>
                <m:r>
                  <w:rPr>
                    <w:rFonts w:ascii="Cambria Math" w:hAnsi="Cambria Math"/>
                    <w:sz w:val="20"/>
                    <w:szCs w:val="16"/>
                    <w:lang w:eastAsia="ja-JP"/>
                  </w:rPr>
                  <m:t>max</m:t>
                </m:r>
              </m:sub>
            </m:sSub>
            <m:r>
              <m:rPr>
                <m:sty m:val="p"/>
              </m:rPr>
              <w:rPr>
                <w:rFonts w:ascii="Cambria Math" w:hAnsi="Cambria Math"/>
                <w:sz w:val="20"/>
                <w:szCs w:val="16"/>
                <w:lang w:eastAsia="ja-JP"/>
              </w:rPr>
              <m:t>∙</m:t>
            </m:r>
            <m:r>
              <w:rPr>
                <w:rFonts w:ascii="Cambria Math" w:hAnsi="Cambria Math"/>
                <w:sz w:val="20"/>
                <w:szCs w:val="16"/>
                <w:lang w:eastAsia="ja-JP"/>
              </w:rPr>
              <m:t>Q</m:t>
            </m:r>
          </m:e>
          <m:sub>
            <m:r>
              <w:rPr>
                <w:rFonts w:ascii="Cambria Math" w:hAnsi="Cambria Math"/>
                <w:sz w:val="20"/>
                <w:szCs w:val="16"/>
                <w:lang w:eastAsia="ja-JP"/>
              </w:rPr>
              <m:t>m</m:t>
            </m:r>
          </m:sub>
        </m:sSub>
      </m:oMath>
      <w:r w:rsidRPr="0010038B">
        <w:rPr>
          <w:rFonts w:ascii="Times New Roman" w:hAnsi="Times New Roman"/>
          <w:bCs/>
          <w:sz w:val="20"/>
          <w:szCs w:val="16"/>
          <w:lang w:eastAsia="ja-JP"/>
        </w:rPr>
        <w:t xml:space="preserve">. </w:t>
      </w:r>
      <m:oMath>
        <m:sSub>
          <m:sSubPr>
            <m:ctrlPr>
              <w:rPr>
                <w:rFonts w:ascii="Cambria Math" w:hAnsi="Cambria Math"/>
                <w:bCs/>
                <w:sz w:val="20"/>
                <w:szCs w:val="16"/>
                <w:lang w:eastAsia="ja-JP"/>
              </w:rPr>
            </m:ctrlPr>
          </m:sSubPr>
          <m:e>
            <m:r>
              <w:rPr>
                <w:rFonts w:ascii="Cambria Math" w:hAnsi="Cambria Math"/>
                <w:sz w:val="20"/>
                <w:szCs w:val="16"/>
                <w:lang w:eastAsia="ja-JP"/>
              </w:rPr>
              <m:t>CodeRate</m:t>
            </m:r>
          </m:e>
          <m:sub>
            <m:r>
              <w:rPr>
                <w:rFonts w:ascii="Cambria Math" w:hAnsi="Cambria Math"/>
                <w:sz w:val="20"/>
                <w:szCs w:val="16"/>
                <w:lang w:eastAsia="ja-JP"/>
              </w:rPr>
              <m:t>max</m:t>
            </m:r>
          </m:sub>
        </m:sSub>
      </m:oMath>
      <w:r w:rsidRPr="0010038B">
        <w:rPr>
          <w:rFonts w:ascii="Times New Roman" w:hAnsi="Times New Roman"/>
          <w:bCs/>
          <w:sz w:val="20"/>
          <w:szCs w:val="16"/>
          <w:lang w:eastAsia="ja-JP"/>
        </w:rPr>
        <w:t xml:space="preserve"> is the highest code rate in the TBS/MCS table used for the Modulation Scheme, and </w:t>
      </w:r>
      <m:oMath>
        <m:sSub>
          <m:sSubPr>
            <m:ctrlPr>
              <w:rPr>
                <w:rFonts w:ascii="Cambria Math" w:hAnsi="Cambria Math"/>
                <w:bCs/>
                <w:sz w:val="20"/>
                <w:szCs w:val="16"/>
                <w:lang w:eastAsia="ja-JP"/>
              </w:rPr>
            </m:ctrlPr>
          </m:sSubPr>
          <m:e>
            <m:r>
              <m:rPr>
                <m:sty m:val="bi"/>
              </m:rPr>
              <w:rPr>
                <w:rFonts w:ascii="Cambria Math" w:hAnsi="Cambria Math"/>
                <w:sz w:val="20"/>
                <w:szCs w:val="16"/>
                <w:lang w:eastAsia="ja-JP"/>
              </w:rPr>
              <m:t>Q</m:t>
            </m:r>
          </m:e>
          <m:sub>
            <m:r>
              <m:rPr>
                <m:sty m:val="bi"/>
              </m:rPr>
              <w:rPr>
                <w:rFonts w:ascii="Cambria Math" w:hAnsi="Cambria Math"/>
                <w:sz w:val="20"/>
                <w:szCs w:val="16"/>
                <w:lang w:eastAsia="ja-JP"/>
              </w:rPr>
              <m:t>m</m:t>
            </m:r>
          </m:sub>
        </m:sSub>
      </m:oMath>
      <w:r w:rsidRPr="0010038B">
        <w:rPr>
          <w:rFonts w:ascii="Times New Roman" w:hAnsi="Times New Roman"/>
          <w:bCs/>
          <w:sz w:val="20"/>
          <w:szCs w:val="16"/>
          <w:lang w:eastAsia="ja-JP"/>
        </w:rPr>
        <w:t xml:space="preserve"> is the number of bits per M-ary symbol of the Modulation Scheme.</w:t>
      </w:r>
    </w:p>
    <w:p w:rsidR="0010038B" w:rsidRPr="0010038B" w:rsidRDefault="0010038B" w:rsidP="0010038B">
      <w:pPr>
        <w:spacing w:after="0"/>
        <w:rPr>
          <w:sz w:val="20"/>
          <w:szCs w:val="20"/>
          <w:lang w:eastAsia="ar-SA"/>
        </w:rPr>
      </w:pPr>
    </w:p>
    <w:p w:rsidR="0010038B" w:rsidRPr="0010038B" w:rsidRDefault="0010038B" w:rsidP="0010038B">
      <w:pPr>
        <w:shd w:val="clear" w:color="auto" w:fill="FFFFFF"/>
        <w:spacing w:after="0"/>
        <w:rPr>
          <w:b/>
          <w:sz w:val="20"/>
          <w:szCs w:val="20"/>
          <w:highlight w:val="darkYellow"/>
          <w:lang w:eastAsia="zh-CN"/>
        </w:rPr>
      </w:pPr>
      <w:r w:rsidRPr="0010038B">
        <w:rPr>
          <w:b/>
          <w:sz w:val="20"/>
          <w:szCs w:val="20"/>
          <w:highlight w:val="darkYellow"/>
          <w:lang w:eastAsia="zh-CN"/>
        </w:rPr>
        <w:t xml:space="preserve">Working Assumption </w:t>
      </w:r>
    </w:p>
    <w:p w:rsidR="0010038B" w:rsidRPr="0010038B" w:rsidRDefault="0010038B" w:rsidP="0010038B">
      <w:pPr>
        <w:shd w:val="clear" w:color="auto" w:fill="FFFFFF"/>
        <w:spacing w:after="0"/>
        <w:rPr>
          <w:sz w:val="20"/>
          <w:szCs w:val="16"/>
          <w:lang w:eastAsia="ja-JP"/>
        </w:rPr>
      </w:pPr>
      <w:r w:rsidRPr="0010038B">
        <w:rPr>
          <w:sz w:val="20"/>
          <w:szCs w:val="16"/>
          <w:lang w:eastAsia="ja-JP"/>
        </w:rPr>
        <w:t>For downlink power allocation to support 16QAM:</w:t>
      </w:r>
    </w:p>
    <w:p w:rsidR="0010038B" w:rsidRPr="0010038B" w:rsidRDefault="0010038B" w:rsidP="0010038B">
      <w:pPr>
        <w:numPr>
          <w:ilvl w:val="0"/>
          <w:numId w:val="31"/>
        </w:numPr>
        <w:autoSpaceDE/>
        <w:autoSpaceDN/>
        <w:adjustRightInd/>
        <w:snapToGrid/>
        <w:spacing w:after="0"/>
        <w:jc w:val="left"/>
        <w:rPr>
          <w:sz w:val="20"/>
          <w:szCs w:val="16"/>
          <w:lang w:eastAsia="ja-JP"/>
        </w:rPr>
      </w:pPr>
      <w:r w:rsidRPr="0010038B">
        <w:rPr>
          <w:sz w:val="20"/>
          <w:szCs w:val="16"/>
          <w:lang w:eastAsia="ja-JP"/>
        </w:rPr>
        <w:t xml:space="preserve">For inband deployments, a power ratio is signaled in addition to the signalling for standalone and guard-band deployments which in this case applies to “symbols with NRS” and “symbols without NRS nor CRS”. </w:t>
      </w:r>
    </w:p>
    <w:p w:rsidR="0010038B" w:rsidRPr="0010038B" w:rsidRDefault="0010038B" w:rsidP="0010038B">
      <w:pPr>
        <w:numPr>
          <w:ilvl w:val="1"/>
          <w:numId w:val="29"/>
        </w:numPr>
        <w:autoSpaceDE/>
        <w:autoSpaceDN/>
        <w:adjustRightInd/>
        <w:snapToGrid/>
        <w:spacing w:after="0"/>
        <w:jc w:val="left"/>
        <w:rPr>
          <w:sz w:val="20"/>
          <w:szCs w:val="16"/>
          <w:lang w:eastAsia="ja-JP"/>
        </w:rPr>
      </w:pPr>
      <w:r w:rsidRPr="0010038B">
        <w:rPr>
          <w:sz w:val="20"/>
          <w:szCs w:val="16"/>
          <w:lang w:eastAsia="ja-JP"/>
        </w:rPr>
        <w:t>the power ratio between NPDSCH EPRE and NRS EPRE in symbols with CRS is signalled</w:t>
      </w:r>
    </w:p>
    <w:p w:rsidR="0010038B" w:rsidRPr="0010038B" w:rsidRDefault="0010038B" w:rsidP="0010038B">
      <w:pPr>
        <w:numPr>
          <w:ilvl w:val="1"/>
          <w:numId w:val="29"/>
        </w:numPr>
        <w:autoSpaceDE/>
        <w:autoSpaceDN/>
        <w:adjustRightInd/>
        <w:snapToGrid/>
        <w:spacing w:after="0"/>
        <w:jc w:val="left"/>
        <w:rPr>
          <w:sz w:val="20"/>
          <w:szCs w:val="16"/>
          <w:lang w:eastAsia="ja-JP"/>
        </w:rPr>
      </w:pPr>
      <w:r w:rsidRPr="0010038B">
        <w:rPr>
          <w:sz w:val="20"/>
          <w:szCs w:val="16"/>
          <w:lang w:eastAsia="ja-JP"/>
        </w:rPr>
        <w:t>the signalling is UE specific</w:t>
      </w:r>
    </w:p>
    <w:p w:rsidR="0010038B" w:rsidRPr="0010038B" w:rsidRDefault="0010038B" w:rsidP="0010038B">
      <w:pPr>
        <w:spacing w:after="0"/>
        <w:rPr>
          <w:sz w:val="20"/>
          <w:szCs w:val="20"/>
          <w:lang w:eastAsia="ar-SA"/>
        </w:rPr>
      </w:pPr>
      <w:r w:rsidRPr="0010038B">
        <w:rPr>
          <w:sz w:val="20"/>
          <w:szCs w:val="20"/>
          <w:lang w:eastAsia="ar-SA"/>
        </w:rPr>
        <w:t xml:space="preserve">Note: </w:t>
      </w:r>
      <w:r w:rsidRPr="0010038B">
        <w:rPr>
          <w:sz w:val="20"/>
          <w:szCs w:val="16"/>
          <w:lang w:eastAsia="ja-JP"/>
        </w:rPr>
        <w:t>“symbols with NRS” and “symbols without NRS nor CRS” have the same power.</w:t>
      </w:r>
    </w:p>
    <w:p w:rsidR="0010038B" w:rsidRDefault="0010038B" w:rsidP="0010038B">
      <w:pPr>
        <w:rPr>
          <w:lang w:eastAsia="ar-SA"/>
        </w:rPr>
      </w:pPr>
    </w:p>
    <w:p w:rsidR="0010038B" w:rsidRPr="00CC2481" w:rsidRDefault="0010038B" w:rsidP="0010038B">
      <w:pPr>
        <w:rPr>
          <w:sz w:val="20"/>
          <w:szCs w:val="16"/>
          <w:highlight w:val="yellow"/>
          <w:lang w:eastAsia="ja-JP"/>
        </w:rPr>
      </w:pPr>
      <w:r w:rsidRPr="00CC2481">
        <w:rPr>
          <w:sz w:val="20"/>
          <w:szCs w:val="16"/>
          <w:lang w:eastAsia="ja-JP"/>
        </w:rPr>
        <w:t xml:space="preserve">Conclusion </w:t>
      </w:r>
    </w:p>
    <w:p w:rsidR="0010038B" w:rsidRPr="00CC2481" w:rsidRDefault="0010038B" w:rsidP="00A13CB0">
      <w:pPr>
        <w:pStyle w:val="af"/>
        <w:numPr>
          <w:ilvl w:val="0"/>
          <w:numId w:val="32"/>
        </w:numPr>
        <w:rPr>
          <w:rFonts w:ascii="Times New Roman" w:hAnsi="Times New Roman"/>
          <w:sz w:val="20"/>
          <w:szCs w:val="16"/>
          <w:lang w:eastAsia="ja-JP"/>
        </w:rPr>
      </w:pPr>
      <w:r w:rsidRPr="00CC2481">
        <w:rPr>
          <w:rFonts w:ascii="Times New Roman" w:hAnsi="Times New Roman"/>
          <w:sz w:val="20"/>
          <w:szCs w:val="16"/>
          <w:lang w:eastAsia="ja-JP"/>
        </w:rPr>
        <w:t>The channel quality report is not supported in Msg3 in connected mode in Rel-17.</w:t>
      </w:r>
    </w:p>
    <w:bookmarkEnd w:id="2"/>
    <w:p w:rsidR="006F65C1" w:rsidRPr="0010038B" w:rsidRDefault="006F65C1" w:rsidP="00737EF6">
      <w:pPr>
        <w:spacing w:after="0"/>
        <w:rPr>
          <w:sz w:val="20"/>
          <w:szCs w:val="20"/>
          <w:lang/>
        </w:rPr>
      </w:pPr>
    </w:p>
    <w:p w:rsidR="00D30DDA" w:rsidRPr="00E722BE"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107ADE" w:rsidRPr="00107ADE"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rsidR="00107ADE" w:rsidRPr="00EB606A" w:rsidRDefault="007B6FD0" w:rsidP="00107ADE">
      <w:pPr>
        <w:rPr>
          <w:sz w:val="20"/>
          <w:szCs w:val="20"/>
          <w:lang w:eastAsia="ja-JP"/>
        </w:rPr>
      </w:pPr>
      <w:r>
        <w:rPr>
          <w:sz w:val="20"/>
          <w:szCs w:val="20"/>
        </w:rPr>
        <w:t>For NBIoT CQI reporting in Msg3, it</w:t>
      </w:r>
      <w:r w:rsidR="00107ADE" w:rsidRPr="00EB606A">
        <w:rPr>
          <w:sz w:val="20"/>
          <w:szCs w:val="20"/>
        </w:rPr>
        <w:t xml:space="preserve"> is defined as the NPDCCH repetition level of hypothetical NPDCCH BLER of 1%.</w:t>
      </w:r>
      <w:r w:rsidR="00107ADE" w:rsidRPr="00EB606A">
        <w:rPr>
          <w:rFonts w:hint="eastAsia"/>
          <w:sz w:val="20"/>
          <w:szCs w:val="20"/>
          <w:lang w:eastAsia="zh-CN"/>
        </w:rPr>
        <w:t xml:space="preserve"> </w:t>
      </w:r>
      <w:r w:rsidR="00107ADE" w:rsidRPr="00EB606A">
        <w:rPr>
          <w:sz w:val="20"/>
          <w:szCs w:val="20"/>
        </w:rPr>
        <w:t>The reported values for NB-IoT are based on mapping table in TS 36.133 section 9.1.22.15</w:t>
      </w:r>
      <w:r>
        <w:rPr>
          <w:sz w:val="20"/>
          <w:szCs w:val="20"/>
        </w:rPr>
        <w:t xml:space="preserve"> with</w:t>
      </w:r>
      <w:r w:rsidR="00107ADE" w:rsidRPr="00EB606A">
        <w:rPr>
          <w:sz w:val="20"/>
          <w:szCs w:val="20"/>
        </w:rPr>
        <w:t xml:space="preserve"> the NPDCCH repetition levels (1, 2, 4, 8, 16, 32, 64, 128, 256, 512, 1024, 2048)</w:t>
      </w:r>
      <w:r>
        <w:rPr>
          <w:sz w:val="20"/>
          <w:szCs w:val="20"/>
        </w:rPr>
        <w:t xml:space="preserve">. </w:t>
      </w:r>
      <w:r w:rsidR="00F22833">
        <w:rPr>
          <w:sz w:val="20"/>
          <w:szCs w:val="20"/>
        </w:rPr>
        <w:t>It is agreed that i</w:t>
      </w:r>
      <w:r w:rsidR="00F22833" w:rsidRPr="00AA022A">
        <w:rPr>
          <w:sz w:val="20"/>
          <w:szCs w:val="20"/>
          <w:lang/>
        </w:rPr>
        <w:t>f 16-QAM is configured for NPDSCH, the channel quality report for 16-QAM is based on NPDSCH transport block that achieves an error probability not exceeding 10% BLER</w:t>
      </w:r>
      <w:r w:rsidR="00576B1F">
        <w:rPr>
          <w:sz w:val="20"/>
          <w:szCs w:val="20"/>
          <w:lang/>
        </w:rPr>
        <w:t xml:space="preserve"> </w:t>
      </w:r>
      <w:r w:rsidR="00576B1F">
        <w:rPr>
          <w:rFonts w:hint="eastAsia"/>
          <w:sz w:val="20"/>
          <w:szCs w:val="20"/>
          <w:lang w:eastAsia="zh-CN"/>
        </w:rPr>
        <w:t>i</w:t>
      </w:r>
      <w:r w:rsidR="00576B1F">
        <w:rPr>
          <w:sz w:val="20"/>
          <w:szCs w:val="20"/>
          <w:lang/>
        </w:rPr>
        <w:t xml:space="preserve">n </w:t>
      </w:r>
      <w:r w:rsidR="00F90EC0">
        <w:rPr>
          <w:rFonts w:hint="eastAsia"/>
          <w:sz w:val="20"/>
          <w:szCs w:val="20"/>
          <w:lang w:eastAsia="zh-CN"/>
        </w:rPr>
        <w:t>previous</w:t>
      </w:r>
      <w:r w:rsidR="00F90EC0">
        <w:rPr>
          <w:sz w:val="20"/>
          <w:szCs w:val="20"/>
          <w:lang/>
        </w:rPr>
        <w:t xml:space="preserve"> </w:t>
      </w:r>
      <w:r w:rsidR="00576B1F">
        <w:rPr>
          <w:sz w:val="20"/>
          <w:szCs w:val="20"/>
          <w:lang/>
        </w:rPr>
        <w:t>RAN1 meeting</w:t>
      </w:r>
    </w:p>
    <w:p w:rsidR="00981852" w:rsidRDefault="00981852" w:rsidP="00107ADE">
      <w:pPr>
        <w:rPr>
          <w:sz w:val="20"/>
          <w:szCs w:val="20"/>
          <w:lang w:eastAsia="ja-JP"/>
        </w:rPr>
      </w:pPr>
      <w:r>
        <w:rPr>
          <w:rFonts w:eastAsia="等线"/>
          <w:sz w:val="20"/>
          <w:szCs w:val="20"/>
          <w:lang w:eastAsia="zh-CN"/>
        </w:rPr>
        <w:t>To</w:t>
      </w:r>
      <w:r w:rsidR="00203943">
        <w:rPr>
          <w:rFonts w:eastAsia="等线"/>
          <w:sz w:val="20"/>
          <w:szCs w:val="20"/>
          <w:lang w:eastAsia="zh-CN"/>
        </w:rPr>
        <w:t xml:space="preserve"> </w:t>
      </w:r>
      <w:r w:rsidR="00203943">
        <w:rPr>
          <w:rFonts w:eastAsia="等线" w:hint="eastAsia"/>
          <w:sz w:val="20"/>
          <w:szCs w:val="20"/>
          <w:lang w:eastAsia="zh-CN"/>
        </w:rPr>
        <w:t>e</w:t>
      </w:r>
      <w:r w:rsidR="00D57950" w:rsidRPr="00D57950">
        <w:rPr>
          <w:rFonts w:eastAsia="等线"/>
          <w:sz w:val="20"/>
          <w:szCs w:val="20"/>
          <w:lang w:eastAsia="zh-CN"/>
        </w:rPr>
        <w:t>xtend the NB-IoT channel quality reporting based on the framework of Rel-14—16</w:t>
      </w:r>
      <w:r>
        <w:rPr>
          <w:rFonts w:eastAsia="等线"/>
          <w:sz w:val="20"/>
          <w:szCs w:val="20"/>
          <w:lang w:eastAsia="zh-CN"/>
        </w:rPr>
        <w:t xml:space="preserve"> </w:t>
      </w:r>
      <w:r>
        <w:rPr>
          <w:rFonts w:eastAsia="等线" w:hint="eastAsia"/>
          <w:sz w:val="20"/>
          <w:szCs w:val="20"/>
          <w:lang w:eastAsia="zh-CN"/>
        </w:rPr>
        <w:t>as</w:t>
      </w:r>
      <w:r>
        <w:rPr>
          <w:rFonts w:eastAsia="等线"/>
          <w:sz w:val="20"/>
          <w:szCs w:val="20"/>
          <w:lang w:eastAsia="zh-CN"/>
        </w:rPr>
        <w:t xml:space="preserve"> </w:t>
      </w:r>
      <w:r>
        <w:rPr>
          <w:rFonts w:eastAsia="等线" w:hint="eastAsia"/>
          <w:sz w:val="20"/>
          <w:szCs w:val="20"/>
          <w:lang w:eastAsia="zh-CN"/>
        </w:rPr>
        <w:t>noted</w:t>
      </w:r>
      <w:r>
        <w:rPr>
          <w:rFonts w:eastAsia="等线"/>
          <w:sz w:val="20"/>
          <w:szCs w:val="20"/>
          <w:lang w:eastAsia="zh-CN"/>
        </w:rPr>
        <w:t xml:space="preserve"> in WID, </w:t>
      </w:r>
      <w:r w:rsidR="00107ADE" w:rsidRPr="00EB606A">
        <w:rPr>
          <w:sz w:val="20"/>
          <w:szCs w:val="20"/>
          <w:lang w:eastAsia="ja-JP"/>
        </w:rPr>
        <w:t xml:space="preserve">there are </w:t>
      </w:r>
      <w:r w:rsidR="00FC373A">
        <w:rPr>
          <w:sz w:val="20"/>
          <w:szCs w:val="20"/>
          <w:lang w:eastAsia="ja-JP"/>
        </w:rPr>
        <w:t>three</w:t>
      </w:r>
      <w:r w:rsidR="00967CB7">
        <w:rPr>
          <w:sz w:val="20"/>
          <w:szCs w:val="20"/>
          <w:lang w:eastAsia="ja-JP"/>
        </w:rPr>
        <w:t xml:space="preserve"> </w:t>
      </w:r>
      <w:r w:rsidR="00107ADE" w:rsidRPr="00EB606A">
        <w:rPr>
          <w:sz w:val="20"/>
          <w:szCs w:val="20"/>
          <w:lang w:eastAsia="ja-JP"/>
        </w:rPr>
        <w:t>unused fields utilized to incorporate the reporting for 16-QAM in DL in addition to the existing NPDCCH repetitions level</w:t>
      </w:r>
      <w:r w:rsidR="00E47A55">
        <w:rPr>
          <w:sz w:val="20"/>
          <w:szCs w:val="20"/>
          <w:lang w:eastAsia="ja-JP"/>
        </w:rPr>
        <w:t xml:space="preserve"> if the legacy CQI reporting value and 4bit CQI reporting should be kept</w:t>
      </w:r>
      <w:r w:rsidR="00107ADE" w:rsidRPr="00EB606A">
        <w:rPr>
          <w:sz w:val="20"/>
          <w:szCs w:val="20"/>
          <w:lang w:eastAsia="ja-JP"/>
        </w:rPr>
        <w:t xml:space="preserve">. </w:t>
      </w:r>
    </w:p>
    <w:p w:rsidR="00107ADE" w:rsidRDefault="00981852" w:rsidP="00107ADE">
      <w:pPr>
        <w:rPr>
          <w:sz w:val="20"/>
          <w:szCs w:val="20"/>
        </w:rPr>
      </w:pPr>
      <w:r>
        <w:rPr>
          <w:sz w:val="20"/>
          <w:szCs w:val="20"/>
          <w:lang w:eastAsia="zh-CN"/>
        </w:rPr>
        <w:t>H</w:t>
      </w:r>
      <w:r>
        <w:rPr>
          <w:rFonts w:hint="eastAsia"/>
          <w:sz w:val="20"/>
          <w:szCs w:val="20"/>
          <w:lang w:eastAsia="zh-CN"/>
        </w:rPr>
        <w:t>owever</w:t>
      </w:r>
      <w:r>
        <w:rPr>
          <w:sz w:val="20"/>
          <w:szCs w:val="20"/>
          <w:lang w:eastAsia="ja-JP"/>
        </w:rPr>
        <w:t>, i</w:t>
      </w:r>
      <w:r w:rsidR="007813D0">
        <w:rPr>
          <w:sz w:val="20"/>
          <w:szCs w:val="20"/>
          <w:lang w:eastAsia="ja-JP"/>
        </w:rPr>
        <w:t>t seems not sufficient to reporting</w:t>
      </w:r>
      <w:r w:rsidR="00A14C59">
        <w:rPr>
          <w:sz w:val="20"/>
          <w:szCs w:val="20"/>
          <w:lang w:eastAsia="ja-JP"/>
        </w:rPr>
        <w:t xml:space="preserve"> only</w:t>
      </w:r>
      <w:r w:rsidR="007813D0">
        <w:rPr>
          <w:sz w:val="20"/>
          <w:szCs w:val="20"/>
          <w:lang w:eastAsia="ja-JP"/>
        </w:rPr>
        <w:t xml:space="preserve"> three states of </w:t>
      </w:r>
      <w:r w:rsidR="00143BD5">
        <w:rPr>
          <w:sz w:val="20"/>
          <w:szCs w:val="20"/>
          <w:lang w:eastAsia="ja-JP"/>
        </w:rPr>
        <w:t>CQI reporting</w:t>
      </w:r>
      <w:r w:rsidR="007813D0">
        <w:rPr>
          <w:sz w:val="20"/>
          <w:szCs w:val="20"/>
          <w:lang w:eastAsia="ja-JP"/>
        </w:rPr>
        <w:t xml:space="preserve"> adopted for 16QAM</w:t>
      </w:r>
      <w:r w:rsidR="007813D0">
        <w:rPr>
          <w:sz w:val="20"/>
          <w:szCs w:val="20"/>
        </w:rPr>
        <w:t xml:space="preserve">, especially there are up to 8 TBS support to 16QAM. </w:t>
      </w:r>
      <w:r w:rsidR="00746A7B">
        <w:rPr>
          <w:sz w:val="20"/>
          <w:szCs w:val="20"/>
        </w:rPr>
        <w:t>Therefore,</w:t>
      </w:r>
      <w:r w:rsidR="007813D0">
        <w:rPr>
          <w:sz w:val="20"/>
          <w:szCs w:val="20"/>
        </w:rPr>
        <w:t xml:space="preserve"> we can </w:t>
      </w:r>
      <w:r w:rsidR="00FD3741">
        <w:rPr>
          <w:sz w:val="20"/>
          <w:szCs w:val="20"/>
        </w:rPr>
        <w:t xml:space="preserve">consider </w:t>
      </w:r>
      <w:r w:rsidR="00B43D82">
        <w:rPr>
          <w:sz w:val="20"/>
          <w:szCs w:val="20"/>
        </w:rPr>
        <w:t>removing</w:t>
      </w:r>
      <w:r w:rsidR="007813D0">
        <w:rPr>
          <w:sz w:val="20"/>
          <w:szCs w:val="20"/>
        </w:rPr>
        <w:t xml:space="preserve"> some of the legacy CQI reporting value</w:t>
      </w:r>
      <w:r w:rsidR="00290CF2">
        <w:rPr>
          <w:sz w:val="20"/>
          <w:szCs w:val="20"/>
        </w:rPr>
        <w:t>s</w:t>
      </w:r>
      <w:r w:rsidR="008342F4">
        <w:rPr>
          <w:sz w:val="20"/>
          <w:szCs w:val="20"/>
        </w:rPr>
        <w:t xml:space="preserve"> for QPSK and </w:t>
      </w:r>
      <w:r w:rsidR="007813D0">
        <w:rPr>
          <w:sz w:val="20"/>
          <w:szCs w:val="20"/>
        </w:rPr>
        <w:t>add more than 3 CQI reporting value</w:t>
      </w:r>
      <w:r w:rsidR="00290CF2">
        <w:rPr>
          <w:sz w:val="20"/>
          <w:szCs w:val="20"/>
        </w:rPr>
        <w:t>s</w:t>
      </w:r>
      <w:r w:rsidR="007813D0">
        <w:rPr>
          <w:sz w:val="20"/>
          <w:szCs w:val="20"/>
        </w:rPr>
        <w:t xml:space="preserve"> </w:t>
      </w:r>
      <w:r w:rsidR="00F217CE">
        <w:rPr>
          <w:sz w:val="20"/>
          <w:szCs w:val="20"/>
        </w:rPr>
        <w:t>for support 16QAM in DL</w:t>
      </w:r>
      <w:r w:rsidR="000F0ED9">
        <w:rPr>
          <w:sz w:val="20"/>
          <w:szCs w:val="20"/>
        </w:rPr>
        <w:t xml:space="preserve"> or the </w:t>
      </w:r>
      <w:r w:rsidR="00B86341">
        <w:rPr>
          <w:sz w:val="20"/>
          <w:szCs w:val="20"/>
        </w:rPr>
        <w:t xml:space="preserve">subset of </w:t>
      </w:r>
      <w:r w:rsidR="006D5E76">
        <w:rPr>
          <w:sz w:val="20"/>
          <w:szCs w:val="20"/>
        </w:rPr>
        <w:t xml:space="preserve">CQI </w:t>
      </w:r>
      <w:r w:rsidR="000F0ED9">
        <w:rPr>
          <w:sz w:val="20"/>
          <w:szCs w:val="20"/>
        </w:rPr>
        <w:t>reporting value</w:t>
      </w:r>
      <w:r w:rsidR="006D5E76">
        <w:rPr>
          <w:sz w:val="20"/>
          <w:szCs w:val="20"/>
        </w:rPr>
        <w:t>s</w:t>
      </w:r>
      <w:r w:rsidR="000F0ED9">
        <w:rPr>
          <w:sz w:val="20"/>
          <w:szCs w:val="20"/>
        </w:rPr>
        <w:t xml:space="preserve"> </w:t>
      </w:r>
      <w:r w:rsidR="007D1458">
        <w:rPr>
          <w:sz w:val="20"/>
          <w:szCs w:val="20"/>
        </w:rPr>
        <w:t>is</w:t>
      </w:r>
      <w:r w:rsidR="000F0ED9">
        <w:rPr>
          <w:sz w:val="20"/>
          <w:szCs w:val="20"/>
        </w:rPr>
        <w:t xml:space="preserve"> </w:t>
      </w:r>
      <w:r w:rsidR="00B86341">
        <w:rPr>
          <w:sz w:val="20"/>
          <w:szCs w:val="20"/>
        </w:rPr>
        <w:t>determined</w:t>
      </w:r>
      <w:r w:rsidR="00AB4783">
        <w:rPr>
          <w:sz w:val="20"/>
          <w:szCs w:val="20"/>
        </w:rPr>
        <w:t xml:space="preserve"> by</w:t>
      </w:r>
      <w:r w:rsidR="000F0ED9">
        <w:rPr>
          <w:sz w:val="20"/>
          <w:szCs w:val="20"/>
        </w:rPr>
        <w:t xml:space="preserve"> channel condition</w:t>
      </w:r>
      <w:r>
        <w:rPr>
          <w:sz w:val="20"/>
          <w:szCs w:val="20"/>
        </w:rPr>
        <w:t xml:space="preserve"> </w:t>
      </w:r>
      <w:r w:rsidR="00691AA6">
        <w:rPr>
          <w:sz w:val="20"/>
          <w:szCs w:val="20"/>
        </w:rPr>
        <w:t xml:space="preserve">(e.g., </w:t>
      </w:r>
      <w:r w:rsidR="00283C32">
        <w:rPr>
          <w:rFonts w:hint="eastAsia"/>
          <w:sz w:val="20"/>
          <w:szCs w:val="20"/>
          <w:lang w:eastAsia="zh-CN"/>
        </w:rPr>
        <w:t xml:space="preserve">first </w:t>
      </w:r>
      <w:r w:rsidR="0050692E">
        <w:rPr>
          <w:sz w:val="20"/>
          <w:szCs w:val="20"/>
        </w:rPr>
        <w:t xml:space="preserve">16 </w:t>
      </w:r>
      <w:r w:rsidR="00283C32">
        <w:rPr>
          <w:rFonts w:hint="eastAsia"/>
          <w:sz w:val="20"/>
          <w:szCs w:val="20"/>
          <w:lang w:eastAsia="zh-CN"/>
        </w:rPr>
        <w:t xml:space="preserve">or last 16 entries </w:t>
      </w:r>
      <w:r w:rsidR="0050692E">
        <w:rPr>
          <w:sz w:val="20"/>
          <w:szCs w:val="20"/>
        </w:rPr>
        <w:t xml:space="preserve">out of </w:t>
      </w:r>
      <w:r w:rsidR="00B939EA">
        <w:rPr>
          <w:sz w:val="20"/>
          <w:szCs w:val="20"/>
          <w:lang w:eastAsia="zh-CN"/>
        </w:rPr>
        <w:t>[</w:t>
      </w:r>
      <w:r w:rsidR="0050692E">
        <w:rPr>
          <w:sz w:val="20"/>
          <w:szCs w:val="20"/>
        </w:rPr>
        <w:t>23</w:t>
      </w:r>
      <w:r w:rsidR="00B939EA">
        <w:rPr>
          <w:sz w:val="20"/>
          <w:szCs w:val="20"/>
        </w:rPr>
        <w:t>]</w:t>
      </w:r>
      <w:r w:rsidR="0050692E">
        <w:rPr>
          <w:sz w:val="20"/>
          <w:szCs w:val="20"/>
        </w:rPr>
        <w:t xml:space="preserve"> CQI reporting value is selected based on </w:t>
      </w:r>
      <w:r w:rsidR="00691AA6">
        <w:rPr>
          <w:sz w:val="20"/>
          <w:szCs w:val="20"/>
        </w:rPr>
        <w:t>severe channel condition or good channel condition)</w:t>
      </w:r>
      <w:r w:rsidR="00C672EE">
        <w:rPr>
          <w:sz w:val="20"/>
          <w:szCs w:val="20"/>
        </w:rPr>
        <w:t>.</w:t>
      </w:r>
      <w:r w:rsidR="00171AF5">
        <w:rPr>
          <w:sz w:val="20"/>
          <w:szCs w:val="20"/>
        </w:rPr>
        <w:t xml:space="preserve"> Table 1 gives an example of CQI table for NBIoT(Inband). For standalone and guardband, higher code rate (TBS) is expected for more available resource elements</w:t>
      </w:r>
      <w:r w:rsidR="00627413">
        <w:rPr>
          <w:sz w:val="20"/>
          <w:szCs w:val="20"/>
        </w:rPr>
        <w:t>, new CQI table</w:t>
      </w:r>
      <w:r w:rsidR="0050055C">
        <w:rPr>
          <w:sz w:val="20"/>
          <w:szCs w:val="20"/>
        </w:rPr>
        <w:t xml:space="preserve"> </w:t>
      </w:r>
      <w:r w:rsidR="00627413">
        <w:rPr>
          <w:sz w:val="20"/>
          <w:szCs w:val="20"/>
        </w:rPr>
        <w:t>(</w:t>
      </w:r>
      <w:r w:rsidR="00573434">
        <w:rPr>
          <w:sz w:val="20"/>
          <w:szCs w:val="20"/>
        </w:rPr>
        <w:t xml:space="preserve">or </w:t>
      </w:r>
      <w:r w:rsidR="00627413">
        <w:rPr>
          <w:sz w:val="20"/>
          <w:szCs w:val="20"/>
        </w:rPr>
        <w:t>new CQI entries in addition to Table 1) is needed</w:t>
      </w:r>
      <w:r w:rsidR="00573434">
        <w:rPr>
          <w:sz w:val="20"/>
          <w:szCs w:val="20"/>
        </w:rPr>
        <w:t>.</w:t>
      </w:r>
    </w:p>
    <w:p w:rsidR="001347C2" w:rsidRDefault="005019AC" w:rsidP="005019AC">
      <w:pPr>
        <w:jc w:val="center"/>
        <w:rPr>
          <w:sz w:val="20"/>
          <w:szCs w:val="20"/>
          <w:lang w:eastAsia="zh-CN"/>
        </w:rPr>
      </w:pPr>
      <w:r>
        <w:rPr>
          <w:rFonts w:hint="eastAsia"/>
          <w:sz w:val="20"/>
          <w:szCs w:val="20"/>
          <w:lang w:eastAsia="zh-CN"/>
        </w:rPr>
        <w:t>T</w:t>
      </w:r>
      <w:r>
        <w:rPr>
          <w:sz w:val="20"/>
          <w:szCs w:val="20"/>
          <w:lang w:eastAsia="zh-CN"/>
        </w:rPr>
        <w:t>able 1 CQI table for NBIoT (Inband)</w:t>
      </w:r>
    </w:p>
    <w:tbl>
      <w:tblPr>
        <w:tblW w:w="6277" w:type="dxa"/>
        <w:jc w:val="center"/>
        <w:tblLook w:val="04A0"/>
      </w:tblPr>
      <w:tblGrid>
        <w:gridCol w:w="1516"/>
        <w:gridCol w:w="1979"/>
        <w:gridCol w:w="1280"/>
        <w:gridCol w:w="1502"/>
      </w:tblGrid>
      <w:tr w:rsidR="00D061E9" w:rsidRPr="00D061E9" w:rsidTr="00240370">
        <w:trPr>
          <w:trHeight w:val="297"/>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 xml:space="preserve">　</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NPDCCH repetition level</w:t>
            </w:r>
          </w:p>
        </w:tc>
        <w:tc>
          <w:tcPr>
            <w:tcW w:w="2782" w:type="dxa"/>
            <w:gridSpan w:val="2"/>
            <w:tcBorders>
              <w:top w:val="single" w:sz="4" w:space="0" w:color="auto"/>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NPDSCH</w:t>
            </w:r>
          </w:p>
        </w:tc>
      </w:tr>
      <w:tr w:rsidR="00D061E9" w:rsidRPr="00D061E9" w:rsidTr="00240370">
        <w:trPr>
          <w:trHeight w:val="285"/>
          <w:jc w:val="center"/>
        </w:trPr>
        <w:tc>
          <w:tcPr>
            <w:tcW w:w="1516" w:type="dxa"/>
            <w:vMerge/>
            <w:tcBorders>
              <w:top w:val="single" w:sz="4" w:space="0" w:color="auto"/>
              <w:left w:val="single" w:sz="4" w:space="0" w:color="auto"/>
              <w:bottom w:val="single" w:sz="4" w:space="0" w:color="000000"/>
              <w:right w:val="single" w:sz="4" w:space="0" w:color="auto"/>
            </w:tcBorders>
            <w:vAlign w:val="center"/>
            <w:hideMark/>
          </w:tcPr>
          <w:p w:rsidR="00D061E9" w:rsidRPr="00D061E9" w:rsidRDefault="00D061E9" w:rsidP="00D47F37">
            <w:pPr>
              <w:rPr>
                <w:color w:val="000000"/>
                <w:sz w:val="20"/>
                <w:szCs w:val="20"/>
                <w:lang w:eastAsia="zh-CN"/>
              </w:rPr>
            </w:pPr>
          </w:p>
        </w:tc>
        <w:tc>
          <w:tcPr>
            <w:tcW w:w="1979" w:type="dxa"/>
            <w:vMerge/>
            <w:tcBorders>
              <w:top w:val="single" w:sz="4" w:space="0" w:color="auto"/>
              <w:left w:val="single" w:sz="4" w:space="0" w:color="auto"/>
              <w:bottom w:val="single" w:sz="4" w:space="0" w:color="000000"/>
              <w:right w:val="single" w:sz="4" w:space="0" w:color="auto"/>
            </w:tcBorders>
            <w:vAlign w:val="center"/>
            <w:hideMark/>
          </w:tcPr>
          <w:p w:rsidR="00D061E9" w:rsidRPr="00D061E9" w:rsidRDefault="00D061E9" w:rsidP="00D47F37">
            <w:pPr>
              <w:rPr>
                <w:color w:val="000000"/>
                <w:sz w:val="20"/>
                <w:szCs w:val="20"/>
                <w:lang w:eastAsia="zh-CN"/>
              </w:rPr>
            </w:pP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Modulation</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Code rate x 1024</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noMeasurement</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No measurement reporting</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candidateRep-A</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1</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candidateRep-B</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lastRenderedPageBreak/>
              <w:t>candidateRep-C</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4</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candidateRep-D</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8</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candidateRep-E</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16</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candidateRep-F</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32</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candidateRep-G</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64</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D061E9" w:rsidRDefault="00D061E9" w:rsidP="00D47F37">
            <w:pPr>
              <w:rPr>
                <w:color w:val="000000"/>
                <w:sz w:val="20"/>
                <w:szCs w:val="20"/>
                <w:lang w:eastAsia="zh-CN"/>
              </w:rPr>
            </w:pPr>
            <w:r w:rsidRPr="00D061E9">
              <w:rPr>
                <w:color w:val="000000"/>
                <w:sz w:val="20"/>
                <w:szCs w:val="20"/>
                <w:lang w:eastAsia="zh-CN"/>
              </w:rPr>
              <w:t>candidateRep-H</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128</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05504B" w:rsidRDefault="00D061E9" w:rsidP="00D47F37">
            <w:pPr>
              <w:rPr>
                <w:color w:val="FF0000"/>
                <w:sz w:val="20"/>
                <w:szCs w:val="20"/>
                <w:lang w:eastAsia="zh-CN"/>
              </w:rPr>
            </w:pPr>
            <w:r w:rsidRPr="0005504B">
              <w:rPr>
                <w:color w:val="FF0000"/>
                <w:sz w:val="20"/>
                <w:szCs w:val="20"/>
                <w:lang w:eastAsia="zh-CN"/>
              </w:rPr>
              <w:t>candidateRep-I</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256</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05504B" w:rsidRDefault="00D061E9" w:rsidP="00D47F37">
            <w:pPr>
              <w:rPr>
                <w:color w:val="FF0000"/>
                <w:sz w:val="20"/>
                <w:szCs w:val="20"/>
                <w:lang w:eastAsia="zh-CN"/>
              </w:rPr>
            </w:pPr>
            <w:r w:rsidRPr="0005504B">
              <w:rPr>
                <w:color w:val="FF0000"/>
                <w:sz w:val="20"/>
                <w:szCs w:val="20"/>
                <w:lang w:eastAsia="zh-CN"/>
              </w:rPr>
              <w:t>candidateRep-J</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512</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05504B" w:rsidRDefault="00D061E9" w:rsidP="00D47F37">
            <w:pPr>
              <w:rPr>
                <w:color w:val="FF0000"/>
                <w:sz w:val="20"/>
                <w:szCs w:val="20"/>
                <w:lang w:eastAsia="zh-CN"/>
              </w:rPr>
            </w:pPr>
            <w:r w:rsidRPr="0005504B">
              <w:rPr>
                <w:color w:val="FF0000"/>
                <w:sz w:val="20"/>
                <w:szCs w:val="20"/>
                <w:lang w:eastAsia="zh-CN"/>
              </w:rPr>
              <w:t>candidateRep-K</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1024</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D061E9" w:rsidRPr="0005504B" w:rsidRDefault="00D061E9" w:rsidP="00D47F37">
            <w:pPr>
              <w:rPr>
                <w:color w:val="FF0000"/>
                <w:sz w:val="20"/>
                <w:szCs w:val="20"/>
                <w:lang w:eastAsia="zh-CN"/>
              </w:rPr>
            </w:pPr>
            <w:r w:rsidRPr="0005504B">
              <w:rPr>
                <w:color w:val="FF0000"/>
                <w:sz w:val="20"/>
                <w:szCs w:val="20"/>
                <w:lang w:eastAsia="zh-CN"/>
              </w:rPr>
              <w:t>candidateRep-L</w:t>
            </w:r>
          </w:p>
        </w:tc>
        <w:tc>
          <w:tcPr>
            <w:tcW w:w="1979"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2048</w:t>
            </w:r>
          </w:p>
        </w:tc>
        <w:tc>
          <w:tcPr>
            <w:tcW w:w="1280"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candidate-M</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429</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candidate-N</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499</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candidate-O</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549</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candidate-P</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617</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candidate-Q</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667</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candidate-R</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712</w:t>
            </w:r>
            <w:r>
              <w:rPr>
                <w:color w:val="000000"/>
                <w:sz w:val="20"/>
                <w:szCs w:val="20"/>
                <w:lang w:eastAsia="zh-CN"/>
              </w:rPr>
              <w:t>]</w:t>
            </w:r>
          </w:p>
        </w:tc>
      </w:tr>
      <w:tr w:rsidR="00240370" w:rsidRPr="00D061E9"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240370" w:rsidRPr="00D061E9" w:rsidRDefault="00240370" w:rsidP="00240370">
            <w:pPr>
              <w:rPr>
                <w:color w:val="000000"/>
                <w:sz w:val="20"/>
                <w:szCs w:val="20"/>
                <w:lang w:eastAsia="zh-CN"/>
              </w:rPr>
            </w:pPr>
            <w:r w:rsidRPr="00D061E9">
              <w:rPr>
                <w:color w:val="000000"/>
                <w:sz w:val="20"/>
                <w:szCs w:val="20"/>
                <w:lang w:eastAsia="zh-CN"/>
              </w:rPr>
              <w:t>candidate-S</w:t>
            </w:r>
          </w:p>
        </w:tc>
        <w:tc>
          <w:tcPr>
            <w:tcW w:w="1979"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781</w:t>
            </w:r>
            <w:r>
              <w:rPr>
                <w:color w:val="000000"/>
                <w:sz w:val="20"/>
                <w:szCs w:val="20"/>
                <w:lang w:eastAsia="zh-CN"/>
              </w:rPr>
              <w:t>]</w:t>
            </w:r>
          </w:p>
        </w:tc>
      </w:tr>
    </w:tbl>
    <w:p w:rsidR="00981852" w:rsidRPr="00981852" w:rsidRDefault="00981852" w:rsidP="00107ADE">
      <w:pPr>
        <w:rPr>
          <w:bCs/>
          <w:sz w:val="20"/>
          <w:szCs w:val="20"/>
        </w:rPr>
      </w:pPr>
    </w:p>
    <w:p w:rsidR="0093075B" w:rsidRPr="00795D19" w:rsidRDefault="0093075B" w:rsidP="00107ADE">
      <w:pPr>
        <w:rPr>
          <w:b/>
          <w:i/>
          <w:sz w:val="20"/>
          <w:szCs w:val="20"/>
        </w:rPr>
      </w:pPr>
      <w:r w:rsidRPr="00795D19">
        <w:rPr>
          <w:b/>
          <w:i/>
          <w:sz w:val="20"/>
          <w:szCs w:val="20"/>
        </w:rPr>
        <w:t xml:space="preserve">Proposal </w:t>
      </w:r>
      <w:r w:rsidR="00DB2E86">
        <w:rPr>
          <w:b/>
          <w:i/>
          <w:sz w:val="20"/>
          <w:szCs w:val="20"/>
        </w:rPr>
        <w:t>1</w:t>
      </w:r>
      <w:r w:rsidRPr="00795D19">
        <w:rPr>
          <w:b/>
          <w:i/>
          <w:sz w:val="20"/>
          <w:szCs w:val="20"/>
        </w:rPr>
        <w:t xml:space="preserve">: </w:t>
      </w:r>
      <w:r w:rsidR="00D445A5" w:rsidRPr="00795D19">
        <w:rPr>
          <w:b/>
          <w:i/>
          <w:sz w:val="20"/>
          <w:szCs w:val="20"/>
        </w:rPr>
        <w:t>R</w:t>
      </w:r>
      <w:r w:rsidR="00A14C59" w:rsidRPr="00795D19">
        <w:rPr>
          <w:b/>
          <w:i/>
          <w:sz w:val="20"/>
          <w:szCs w:val="20"/>
        </w:rPr>
        <w:t>emove some of the legacy CQI reporting value</w:t>
      </w:r>
      <w:r w:rsidR="00290CF2" w:rsidRPr="00795D19">
        <w:rPr>
          <w:b/>
          <w:i/>
          <w:sz w:val="20"/>
          <w:szCs w:val="20"/>
        </w:rPr>
        <w:t>s</w:t>
      </w:r>
      <w:r w:rsidR="00A14C59" w:rsidRPr="00795D19">
        <w:rPr>
          <w:b/>
          <w:i/>
          <w:sz w:val="20"/>
          <w:szCs w:val="20"/>
        </w:rPr>
        <w:t xml:space="preserve"> and add more than 3 CQI reporting value</w:t>
      </w:r>
      <w:r w:rsidR="00290CF2" w:rsidRPr="00795D19">
        <w:rPr>
          <w:b/>
          <w:i/>
          <w:sz w:val="20"/>
          <w:szCs w:val="20"/>
        </w:rPr>
        <w:t>s</w:t>
      </w:r>
      <w:r w:rsidR="00A14C59" w:rsidRPr="00795D19">
        <w:rPr>
          <w:b/>
          <w:i/>
          <w:sz w:val="20"/>
          <w:szCs w:val="20"/>
        </w:rPr>
        <w:t xml:space="preserve"> for support 16QAM in DL</w:t>
      </w:r>
      <w:r w:rsidR="003C3A79" w:rsidRPr="00795D19">
        <w:rPr>
          <w:b/>
          <w:i/>
          <w:sz w:val="20"/>
          <w:szCs w:val="20"/>
        </w:rPr>
        <w:t xml:space="preserve"> or report the subset of CQI reporting values determined by channel condition</w:t>
      </w:r>
      <w:r w:rsidR="00067075">
        <w:rPr>
          <w:b/>
          <w:i/>
          <w:sz w:val="20"/>
          <w:szCs w:val="20"/>
        </w:rPr>
        <w:t>.</w:t>
      </w:r>
    </w:p>
    <w:p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t>D</w:t>
      </w:r>
      <w:r w:rsidRPr="006261F4">
        <w:rPr>
          <w:rFonts w:asciiTheme="minorHAnsi" w:hAnsiTheme="minorHAnsi"/>
        </w:rPr>
        <w:t xml:space="preserve">L power </w:t>
      </w:r>
      <w:r w:rsidR="009C5BB8" w:rsidRPr="006261F4">
        <w:rPr>
          <w:rFonts w:asciiTheme="minorHAnsi" w:hAnsiTheme="minorHAnsi"/>
        </w:rPr>
        <w:t>allocation</w:t>
      </w:r>
    </w:p>
    <w:p w:rsidR="002D53FC" w:rsidRPr="00893C8E" w:rsidRDefault="001B5331" w:rsidP="00283C32">
      <w:pPr>
        <w:spacing w:beforeLines="50" w:afterLines="50"/>
        <w:rPr>
          <w:sz w:val="20"/>
          <w:szCs w:val="20"/>
          <w:lang w:val="en-GB"/>
        </w:rPr>
      </w:pPr>
      <w:r w:rsidRPr="00893C8E">
        <w:rPr>
          <w:sz w:val="20"/>
          <w:szCs w:val="20"/>
        </w:rPr>
        <w:t>In order to support 16QAM</w:t>
      </w:r>
      <w:r w:rsidR="00506F62" w:rsidRPr="00893C8E">
        <w:rPr>
          <w:sz w:val="20"/>
          <w:szCs w:val="20"/>
        </w:rPr>
        <w:t xml:space="preserve"> for NPDSCH</w:t>
      </w:r>
      <w:r w:rsidRPr="00893C8E">
        <w:rPr>
          <w:sz w:val="20"/>
          <w:szCs w:val="20"/>
        </w:rPr>
        <w:t xml:space="preserve">, </w:t>
      </w:r>
      <w:r w:rsidR="003B3DE6" w:rsidRPr="00893C8E">
        <w:rPr>
          <w:sz w:val="20"/>
          <w:szCs w:val="20"/>
        </w:rPr>
        <w:t xml:space="preserve">the ratio of NPDSCH EPRE to NRS EPRE should be configured due to </w:t>
      </w:r>
      <w:r w:rsidR="00E86479" w:rsidRPr="00893C8E">
        <w:rPr>
          <w:sz w:val="20"/>
          <w:szCs w:val="20"/>
        </w:rPr>
        <w:t xml:space="preserve">need of </w:t>
      </w:r>
      <w:r w:rsidR="003B3DE6" w:rsidRPr="00893C8E">
        <w:rPr>
          <w:sz w:val="20"/>
          <w:szCs w:val="20"/>
        </w:rPr>
        <w:t>16</w:t>
      </w:r>
      <w:r w:rsidR="003B3DE6" w:rsidRPr="00893C8E">
        <w:rPr>
          <w:sz w:val="20"/>
          <w:szCs w:val="20"/>
          <w:lang w:eastAsia="zh-CN"/>
        </w:rPr>
        <w:t>QAM</w:t>
      </w:r>
      <w:r w:rsidR="003B3DE6" w:rsidRPr="00893C8E">
        <w:rPr>
          <w:sz w:val="20"/>
          <w:szCs w:val="20"/>
        </w:rPr>
        <w:t xml:space="preserve"> </w:t>
      </w:r>
      <w:r w:rsidR="003B3DE6" w:rsidRPr="00893C8E">
        <w:rPr>
          <w:sz w:val="20"/>
          <w:szCs w:val="20"/>
          <w:lang w:eastAsia="zh-CN"/>
        </w:rPr>
        <w:t>demodulation</w:t>
      </w:r>
      <w:r w:rsidR="00E86479" w:rsidRPr="00893C8E">
        <w:rPr>
          <w:sz w:val="20"/>
          <w:szCs w:val="20"/>
          <w:lang w:eastAsia="zh-CN"/>
        </w:rPr>
        <w:t xml:space="preserve"> by receiver side</w:t>
      </w:r>
      <w:r w:rsidRPr="00893C8E">
        <w:rPr>
          <w:sz w:val="20"/>
          <w:szCs w:val="20"/>
        </w:rPr>
        <w:t xml:space="preserve">. </w:t>
      </w:r>
      <w:r w:rsidRPr="00893C8E">
        <w:rPr>
          <w:sz w:val="20"/>
          <w:szCs w:val="20"/>
          <w:lang w:val="en-GB"/>
        </w:rPr>
        <w:t>LTE DL power allocation solution is the baseline for NBIoT</w:t>
      </w:r>
      <w:r w:rsidR="00836BD1" w:rsidRPr="00893C8E">
        <w:rPr>
          <w:sz w:val="20"/>
          <w:szCs w:val="20"/>
          <w:lang w:val="en-GB"/>
        </w:rPr>
        <w:t xml:space="preserve"> design</w:t>
      </w:r>
      <w:r w:rsidRPr="00893C8E">
        <w:rPr>
          <w:sz w:val="20"/>
          <w:szCs w:val="20"/>
          <w:lang w:val="en-GB"/>
        </w:rPr>
        <w:t>.</w:t>
      </w:r>
    </w:p>
    <w:p w:rsidR="00F0282D" w:rsidRPr="00C10F8F" w:rsidRDefault="005022C8" w:rsidP="00283C32">
      <w:pPr>
        <w:spacing w:beforeLines="50" w:afterLines="50"/>
        <w:jc w:val="left"/>
        <w:rPr>
          <w:iCs/>
          <w:sz w:val="20"/>
          <w:szCs w:val="20"/>
          <w:lang w:eastAsia="zh-CN"/>
        </w:rPr>
      </w:pPr>
      <w:r w:rsidRPr="00C10F8F">
        <w:rPr>
          <w:iCs/>
          <w:sz w:val="20"/>
          <w:szCs w:val="20"/>
          <w:lang w:eastAsia="zh-CN"/>
        </w:rPr>
        <w:t>We propose confirm the working assumption</w:t>
      </w:r>
      <w:r w:rsidR="00C10F8F">
        <w:rPr>
          <w:iCs/>
          <w:sz w:val="20"/>
          <w:szCs w:val="20"/>
          <w:lang w:eastAsia="zh-CN"/>
        </w:rPr>
        <w:t>:</w:t>
      </w:r>
    </w:p>
    <w:p w:rsidR="00BC6A43" w:rsidRPr="0010038B" w:rsidRDefault="00BC6A43" w:rsidP="00BC6A43">
      <w:pPr>
        <w:shd w:val="clear" w:color="auto" w:fill="FFFFFF"/>
        <w:spacing w:after="0"/>
        <w:rPr>
          <w:b/>
          <w:sz w:val="20"/>
          <w:szCs w:val="20"/>
          <w:highlight w:val="darkYellow"/>
          <w:lang w:eastAsia="zh-CN"/>
        </w:rPr>
      </w:pPr>
      <w:r w:rsidRPr="0010038B">
        <w:rPr>
          <w:b/>
          <w:sz w:val="20"/>
          <w:szCs w:val="20"/>
          <w:highlight w:val="darkYellow"/>
          <w:lang w:eastAsia="zh-CN"/>
        </w:rPr>
        <w:t xml:space="preserve">Working Assumption </w:t>
      </w:r>
    </w:p>
    <w:p w:rsidR="00BC6A43" w:rsidRPr="0010038B" w:rsidRDefault="00BC6A43" w:rsidP="00BC6A43">
      <w:pPr>
        <w:shd w:val="clear" w:color="auto" w:fill="FFFFFF"/>
        <w:spacing w:after="0"/>
        <w:rPr>
          <w:sz w:val="20"/>
          <w:szCs w:val="16"/>
          <w:lang w:eastAsia="ja-JP"/>
        </w:rPr>
      </w:pPr>
      <w:r w:rsidRPr="0010038B">
        <w:rPr>
          <w:sz w:val="20"/>
          <w:szCs w:val="16"/>
          <w:lang w:eastAsia="ja-JP"/>
        </w:rPr>
        <w:t>For downlink power allocation to support 16QAM:</w:t>
      </w:r>
    </w:p>
    <w:p w:rsidR="00BC6A43" w:rsidRPr="0010038B" w:rsidRDefault="00BC6A43" w:rsidP="00BC6A43">
      <w:pPr>
        <w:numPr>
          <w:ilvl w:val="0"/>
          <w:numId w:val="31"/>
        </w:numPr>
        <w:autoSpaceDE/>
        <w:autoSpaceDN/>
        <w:adjustRightInd/>
        <w:snapToGrid/>
        <w:spacing w:after="0"/>
        <w:jc w:val="left"/>
        <w:rPr>
          <w:sz w:val="20"/>
          <w:szCs w:val="16"/>
          <w:lang w:eastAsia="ja-JP"/>
        </w:rPr>
      </w:pPr>
      <w:r w:rsidRPr="0010038B">
        <w:rPr>
          <w:sz w:val="20"/>
          <w:szCs w:val="16"/>
          <w:lang w:eastAsia="ja-JP"/>
        </w:rPr>
        <w:t xml:space="preserve">For inband deployments, a power ratio is signaled in addition to the signalling for standalone and guard-band deployments which in this case applies to “symbols with NRS” and “symbols without NRS nor CRS”. </w:t>
      </w:r>
    </w:p>
    <w:p w:rsidR="00BC6A43" w:rsidRPr="0010038B" w:rsidRDefault="00BC6A43" w:rsidP="00BC6A43">
      <w:pPr>
        <w:numPr>
          <w:ilvl w:val="1"/>
          <w:numId w:val="29"/>
        </w:numPr>
        <w:autoSpaceDE/>
        <w:autoSpaceDN/>
        <w:adjustRightInd/>
        <w:snapToGrid/>
        <w:spacing w:after="0"/>
        <w:jc w:val="left"/>
        <w:rPr>
          <w:sz w:val="20"/>
          <w:szCs w:val="16"/>
          <w:lang w:eastAsia="ja-JP"/>
        </w:rPr>
      </w:pPr>
      <w:r w:rsidRPr="0010038B">
        <w:rPr>
          <w:sz w:val="20"/>
          <w:szCs w:val="16"/>
          <w:lang w:eastAsia="ja-JP"/>
        </w:rPr>
        <w:t>the power ratio between NPDSCH EPRE and NRS EPRE in symbols with CRS is signalled</w:t>
      </w:r>
    </w:p>
    <w:p w:rsidR="00BC6A43" w:rsidRPr="0010038B" w:rsidRDefault="00BC6A43" w:rsidP="00BC6A43">
      <w:pPr>
        <w:numPr>
          <w:ilvl w:val="1"/>
          <w:numId w:val="29"/>
        </w:numPr>
        <w:autoSpaceDE/>
        <w:autoSpaceDN/>
        <w:adjustRightInd/>
        <w:snapToGrid/>
        <w:spacing w:after="0"/>
        <w:jc w:val="left"/>
        <w:rPr>
          <w:sz w:val="20"/>
          <w:szCs w:val="16"/>
          <w:lang w:eastAsia="ja-JP"/>
        </w:rPr>
      </w:pPr>
      <w:r w:rsidRPr="0010038B">
        <w:rPr>
          <w:sz w:val="20"/>
          <w:szCs w:val="16"/>
          <w:lang w:eastAsia="ja-JP"/>
        </w:rPr>
        <w:t>the signalling is UE specific</w:t>
      </w:r>
    </w:p>
    <w:p w:rsidR="00BC6A43" w:rsidRPr="0010038B" w:rsidRDefault="00BC6A43" w:rsidP="00BC6A43">
      <w:pPr>
        <w:spacing w:after="0"/>
        <w:rPr>
          <w:sz w:val="20"/>
          <w:szCs w:val="20"/>
          <w:lang w:eastAsia="ar-SA"/>
        </w:rPr>
      </w:pPr>
      <w:r w:rsidRPr="0010038B">
        <w:rPr>
          <w:sz w:val="20"/>
          <w:szCs w:val="20"/>
          <w:lang w:eastAsia="ar-SA"/>
        </w:rPr>
        <w:t xml:space="preserve">Note: </w:t>
      </w:r>
      <w:r w:rsidRPr="0010038B">
        <w:rPr>
          <w:sz w:val="20"/>
          <w:szCs w:val="16"/>
          <w:lang w:eastAsia="ja-JP"/>
        </w:rPr>
        <w:t>“symbols with NRS” and “symbols without NRS nor CRS” have the same power.</w:t>
      </w:r>
    </w:p>
    <w:p w:rsidR="00615727" w:rsidRDefault="00615727" w:rsidP="00283C32">
      <w:pPr>
        <w:spacing w:beforeLines="50" w:afterLines="50"/>
        <w:rPr>
          <w:b/>
          <w:i/>
          <w:sz w:val="20"/>
          <w:szCs w:val="20"/>
          <w:lang w:eastAsia="zh-CN"/>
        </w:rPr>
      </w:pPr>
      <w:r w:rsidRPr="00893C8E">
        <w:rPr>
          <w:b/>
          <w:i/>
          <w:sz w:val="20"/>
          <w:szCs w:val="20"/>
          <w:lang w:eastAsia="zh-CN"/>
        </w:rPr>
        <w:t xml:space="preserve">Proposal </w:t>
      </w:r>
      <w:r w:rsidR="00DB2E86">
        <w:rPr>
          <w:b/>
          <w:i/>
          <w:sz w:val="20"/>
          <w:szCs w:val="20"/>
          <w:lang w:eastAsia="zh-CN"/>
        </w:rPr>
        <w:t>2</w:t>
      </w:r>
      <w:r w:rsidRPr="00893C8E">
        <w:rPr>
          <w:b/>
          <w:i/>
          <w:sz w:val="20"/>
          <w:szCs w:val="20"/>
          <w:lang w:eastAsia="zh-CN"/>
        </w:rPr>
        <w:t xml:space="preserve">: </w:t>
      </w:r>
      <w:r w:rsidR="0051224E">
        <w:rPr>
          <w:b/>
          <w:i/>
          <w:sz w:val="20"/>
          <w:szCs w:val="20"/>
          <w:lang w:eastAsia="zh-CN"/>
        </w:rPr>
        <w:t>C</w:t>
      </w:r>
      <w:r w:rsidR="00EF27A2">
        <w:rPr>
          <w:b/>
          <w:i/>
          <w:sz w:val="20"/>
          <w:szCs w:val="20"/>
          <w:lang w:eastAsia="zh-CN"/>
        </w:rPr>
        <w:t xml:space="preserve">onfirm the working assumption for DL power allocation for </w:t>
      </w:r>
      <w:r w:rsidR="00971C6E">
        <w:rPr>
          <w:rFonts w:hint="eastAsia"/>
          <w:b/>
          <w:i/>
          <w:sz w:val="20"/>
          <w:szCs w:val="20"/>
          <w:lang w:eastAsia="zh-CN"/>
        </w:rPr>
        <w:t>inband</w:t>
      </w:r>
      <w:r w:rsidR="00EF27A2">
        <w:rPr>
          <w:b/>
          <w:i/>
          <w:sz w:val="20"/>
          <w:szCs w:val="20"/>
          <w:lang w:eastAsia="zh-CN"/>
        </w:rPr>
        <w:t xml:space="preserve"> case</w:t>
      </w:r>
      <w:r w:rsidRPr="00893C8E">
        <w:rPr>
          <w:b/>
          <w:i/>
          <w:sz w:val="20"/>
          <w:szCs w:val="20"/>
          <w:lang w:eastAsia="zh-CN"/>
        </w:rPr>
        <w:t>.</w:t>
      </w:r>
    </w:p>
    <w:p w:rsidR="00ED0A3E" w:rsidRDefault="00ED0A3E" w:rsidP="00ED0A3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Uplink power control</w:t>
      </w:r>
    </w:p>
    <w:p w:rsidR="00F835F6" w:rsidRPr="00677FD1" w:rsidRDefault="00ED0A3E" w:rsidP="00ED0A3E">
      <w:pPr>
        <w:rPr>
          <w:bCs/>
          <w:sz w:val="20"/>
          <w:szCs w:val="20"/>
          <w:lang w:eastAsia="zh-CN"/>
        </w:rPr>
      </w:pPr>
      <w:r w:rsidRPr="00677FD1">
        <w:rPr>
          <w:sz w:val="20"/>
          <w:szCs w:val="20"/>
          <w:lang w:eastAsia="zh-CN"/>
        </w:rPr>
        <w:t xml:space="preserve">For the </w:t>
      </w:r>
      <w:r w:rsidRPr="00677FD1">
        <w:rPr>
          <w:bCs/>
          <w:sz w:val="20"/>
          <w:szCs w:val="20"/>
        </w:rPr>
        <w:t>additional power control parameter for 16-QAM (e.g. similar to Δ</w:t>
      </w:r>
      <w:r w:rsidRPr="00677FD1">
        <w:rPr>
          <w:bCs/>
          <w:i/>
          <w:sz w:val="20"/>
          <w:szCs w:val="20"/>
          <w:vertAlign w:val="subscript"/>
        </w:rPr>
        <w:t>TF</w:t>
      </w:r>
      <w:r w:rsidRPr="00677FD1">
        <w:rPr>
          <w:bCs/>
          <w:sz w:val="20"/>
          <w:szCs w:val="20"/>
        </w:rPr>
        <w:t>), RRC parameter is configured to increase the power of higher modulation</w:t>
      </w:r>
      <w:r w:rsidR="00B10369" w:rsidRPr="00677FD1">
        <w:rPr>
          <w:bCs/>
          <w:sz w:val="20"/>
          <w:szCs w:val="20"/>
        </w:rPr>
        <w:t xml:space="preserve"> in LTE</w:t>
      </w:r>
      <w:r w:rsidRPr="00677FD1">
        <w:rPr>
          <w:bCs/>
          <w:sz w:val="20"/>
          <w:szCs w:val="20"/>
        </w:rPr>
        <w:t>.</w:t>
      </w:r>
      <w:r w:rsidR="00723D17">
        <w:rPr>
          <w:bCs/>
          <w:sz w:val="20"/>
          <w:szCs w:val="20"/>
        </w:rPr>
        <w:t xml:space="preserve"> 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723D17">
        <w:rPr>
          <w:rFonts w:hint="eastAsia"/>
          <w:sz w:val="20"/>
          <w:szCs w:val="20"/>
          <w:lang w:eastAsia="zh-CN"/>
        </w:rPr>
        <w:t xml:space="preserve"> </w:t>
      </w:r>
      <w:r w:rsidR="00723D17">
        <w:rPr>
          <w:sz w:val="20"/>
          <w:szCs w:val="20"/>
          <w:lang w:eastAsia="zh-CN"/>
        </w:rPr>
        <w:t xml:space="preserve">is </w:t>
      </w:r>
      <w:r w:rsidR="00C50A4B">
        <w:rPr>
          <w:sz w:val="20"/>
          <w:szCs w:val="20"/>
          <w:lang w:eastAsia="zh-CN"/>
        </w:rPr>
        <w:t>determined</w:t>
      </w:r>
      <w:r w:rsidR="00723D17">
        <w:rPr>
          <w:sz w:val="20"/>
          <w:szCs w:val="20"/>
          <w:lang w:eastAsia="zh-CN"/>
        </w:rPr>
        <w:t xml:space="preserve"> as:</w:t>
      </w:r>
    </w:p>
    <w:p w:rsidR="006954F9" w:rsidRPr="00CB2390" w:rsidRDefault="00F835F6" w:rsidP="00ED0A3E">
      <w:pPr>
        <w:rPr>
          <w:sz w:val="20"/>
          <w:szCs w:val="20"/>
        </w:rPr>
      </w:pPr>
      <w:r w:rsidRPr="00CB2390">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sidR="00DD08D3" w:rsidRPr="00CB2390">
        <w:rPr>
          <w:sz w:val="20"/>
          <w:szCs w:val="20"/>
          <w:lang w:eastAsia="zh-CN"/>
        </w:rPr>
        <w:t xml:space="preserve"> </w:t>
      </w:r>
      <w:r w:rsidR="00DD08D3" w:rsidRPr="00CB2390">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sidR="009E5165" w:rsidRPr="00CB2390">
        <w:rPr>
          <w:sz w:val="20"/>
          <w:szCs w:val="20"/>
          <w:lang w:eastAsia="zh-CN"/>
        </w:rPr>
        <w:t xml:space="preserve"> </w:t>
      </w:r>
      <w:r w:rsidR="002D288F" w:rsidRPr="00CB2390">
        <w:rPr>
          <w:sz w:val="20"/>
          <w:szCs w:val="20"/>
        </w:rPr>
        <w:t>a</w:t>
      </w:r>
      <w:r w:rsidR="00DD08D3" w:rsidRPr="00CB2390">
        <w:rPr>
          <w:sz w:val="20"/>
          <w:szCs w:val="20"/>
        </w:rPr>
        <w:t xml:space="preserve">nd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(i)=0</m:t>
        </m:r>
      </m:oMath>
      <w:r w:rsidR="00DD08D3" w:rsidRPr="00CB2390">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sidR="00B939EA">
        <w:rPr>
          <w:rFonts w:hint="eastAsia"/>
          <w:sz w:val="20"/>
          <w:szCs w:val="20"/>
          <w:lang w:eastAsia="zh-CN"/>
        </w:rPr>
        <w:t>,</w:t>
      </w:r>
      <w:r w:rsidR="009E5165" w:rsidRPr="00CB2390">
        <w:rPr>
          <w:sz w:val="20"/>
          <w:szCs w:val="20"/>
          <w:lang w:eastAsia="zh-CN"/>
        </w:rPr>
        <w:t xml:space="preserve"> </w:t>
      </w:r>
      <w:r w:rsidR="00DD08D3" w:rsidRPr="00CB2390">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sidR="00DD08D3" w:rsidRPr="00CB2390">
        <w:rPr>
          <w:sz w:val="20"/>
          <w:szCs w:val="20"/>
        </w:rPr>
        <w:t xml:space="preserve"> is given by higher layers</w:t>
      </w:r>
      <w:r w:rsidR="00A532A9">
        <w:rPr>
          <w:sz w:val="20"/>
          <w:szCs w:val="20"/>
        </w:rPr>
        <w:t xml:space="preserve"> parameter</w:t>
      </w:r>
      <w:r w:rsidR="00DD08D3" w:rsidRPr="00CB2390">
        <w:rPr>
          <w:sz w:val="20"/>
          <w:szCs w:val="20"/>
        </w:rPr>
        <w:t>.</w:t>
      </w:r>
    </w:p>
    <w:p w:rsidR="004F164E" w:rsidRDefault="006954F9" w:rsidP="004C4FDB">
      <w:pPr>
        <w:pStyle w:val="af"/>
        <w:numPr>
          <w:ilvl w:val="0"/>
          <w:numId w:val="26"/>
        </w:numPr>
        <w:rPr>
          <w:rFonts w:ascii="Times New Roman" w:hAnsi="Times New Roman"/>
          <w:sz w:val="20"/>
          <w:szCs w:val="20"/>
        </w:rPr>
      </w:pPr>
      <m:oMath>
        <m:r>
          <w:rPr>
            <w:rFonts w:ascii="Cambria Math" w:eastAsia="Cambria Math" w:hAnsi="Cambria Math"/>
            <w:sz w:val="20"/>
            <w:szCs w:val="20"/>
          </w:rPr>
          <m:t>BPER=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Pr="00CB2390">
        <w:rPr>
          <w:rFonts w:ascii="Times New Roman" w:hAnsi="Times New Roman"/>
          <w:sz w:val="20"/>
          <w:szCs w:val="20"/>
          <w:lang w:eastAsia="zh-CN"/>
        </w:rPr>
        <w:t xml:space="preserve"> where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oMath>
      <w:r w:rsidR="00FC53B4" w:rsidRPr="00CB2390">
        <w:rPr>
          <w:rFonts w:ascii="Times New Roman" w:hAnsi="Times New Roman"/>
          <w:sz w:val="20"/>
          <w:szCs w:val="20"/>
          <w:lang w:eastAsia="zh-CN"/>
        </w:rPr>
        <w:t xml:space="preserve"> is the </w:t>
      </w:r>
      <w:r w:rsidR="00764C05" w:rsidRPr="00CB2390">
        <w:rPr>
          <w:rFonts w:ascii="Times New Roman" w:hAnsi="Times New Roman"/>
          <w:sz w:val="20"/>
          <w:szCs w:val="20"/>
          <w:lang w:eastAsia="zh-CN"/>
        </w:rPr>
        <w:t xml:space="preserve">code block </w:t>
      </w:r>
      <w:r w:rsidR="00FC53B4" w:rsidRPr="00CB2390">
        <w:rPr>
          <w:rFonts w:ascii="Times New Roman" w:hAnsi="Times New Roman"/>
          <w:sz w:val="20"/>
          <w:szCs w:val="20"/>
          <w:lang w:eastAsia="zh-CN"/>
        </w:rPr>
        <w:t xml:space="preserve">size </w:t>
      </w:r>
      <w:r w:rsidR="00764C05" w:rsidRPr="00CB2390">
        <w:rPr>
          <w:rFonts w:ascii="Times New Roman" w:hAnsi="Times New Roman"/>
          <w:sz w:val="20"/>
          <w:szCs w:val="20"/>
          <w:lang w:eastAsia="zh-CN"/>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00764C05" w:rsidRPr="00CB2390">
        <w:rPr>
          <w:rFonts w:ascii="Times New Roman" w:hAnsi="Times New Roman"/>
          <w:sz w:val="20"/>
          <w:szCs w:val="20"/>
        </w:rPr>
        <w:t xml:space="preserve"> is the number of resource elements</w:t>
      </w:r>
      <w:r w:rsidR="002D288F" w:rsidRPr="00CB2390">
        <w:rPr>
          <w:rFonts w:ascii="Times New Roman" w:hAnsi="Times New Roman"/>
          <w:sz w:val="20"/>
          <w:szCs w:val="20"/>
        </w:rPr>
        <w:t xml:space="preserve"> determined as</w:t>
      </w:r>
      <w:r w:rsidR="00BA207C">
        <w:rPr>
          <w:rFonts w:ascii="Times New Roman" w:hAnsi="Times New Roman"/>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sidR="00A83121" w:rsidRPr="00BA207C">
        <w:rPr>
          <w:rFonts w:ascii="Times New Roman" w:hAnsi="Times New Roman"/>
          <w:sz w:val="20"/>
          <w:szCs w:val="20"/>
          <w:lang w:eastAsia="zh-CN"/>
        </w:rPr>
        <w:t xml:space="preserve"> are defined in</w:t>
      </w:r>
      <w:r w:rsidR="00B168CE" w:rsidRPr="00BA207C">
        <w:rPr>
          <w:rFonts w:ascii="Times New Roman" w:hAnsi="Times New Roman"/>
          <w:sz w:val="20"/>
          <w:szCs w:val="20"/>
          <w:lang w:eastAsia="zh-CN"/>
        </w:rPr>
        <w:t xml:space="preserve"> </w:t>
      </w:r>
      <w:r w:rsidR="00A83121" w:rsidRPr="00BA207C">
        <w:rPr>
          <w:rFonts w:ascii="Times New Roman" w:hAnsi="Times New Roman"/>
          <w:sz w:val="20"/>
          <w:szCs w:val="20"/>
          <w:lang w:eastAsia="zh-CN"/>
        </w:rPr>
        <w:t xml:space="preserve">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is defined in section </w:t>
      </w:r>
      <w:r w:rsidR="00810D94" w:rsidRPr="00BA207C">
        <w:rPr>
          <w:rFonts w:ascii="Times New Roman" w:hAnsi="Times New Roman"/>
          <w:sz w:val="20"/>
          <w:szCs w:val="20"/>
          <w:lang w:eastAsia="zh-CN"/>
        </w:rPr>
        <w:t xml:space="preserve">16.5.1.1 </w:t>
      </w:r>
      <w:r w:rsidR="00810D94" w:rsidRPr="00BA207C">
        <w:rPr>
          <w:rFonts w:ascii="Times New Roman" w:hAnsi="Times New Roman" w:hint="eastAsia"/>
          <w:sz w:val="20"/>
          <w:szCs w:val="20"/>
          <w:lang w:eastAsia="zh-CN"/>
        </w:rPr>
        <w:t>in</w:t>
      </w:r>
      <w:r w:rsidR="00810D94" w:rsidRPr="00BA207C">
        <w:rPr>
          <w:rFonts w:ascii="Times New Roman" w:hAnsi="Times New Roman"/>
          <w:sz w:val="20"/>
          <w:szCs w:val="20"/>
          <w:lang w:eastAsia="zh-CN"/>
        </w:rPr>
        <w:t xml:space="preserve"> </w:t>
      </w:r>
      <w:r w:rsidR="00810D94" w:rsidRPr="00BA207C">
        <w:rPr>
          <w:rFonts w:ascii="Times New Roman" w:hAnsi="Times New Roman" w:hint="eastAsia"/>
          <w:sz w:val="20"/>
          <w:szCs w:val="20"/>
          <w:lang w:eastAsia="zh-CN"/>
        </w:rPr>
        <w:t>TS</w:t>
      </w:r>
      <w:r w:rsidR="00810D94" w:rsidRPr="00BA207C">
        <w:rPr>
          <w:rFonts w:ascii="Times New Roman" w:hAnsi="Times New Roman"/>
          <w:sz w:val="20"/>
          <w:szCs w:val="20"/>
          <w:lang w:eastAsia="zh-CN"/>
        </w:rPr>
        <w:t>36.213</w:t>
      </w:r>
      <w:r w:rsidR="00134B27">
        <w:rPr>
          <w:rFonts w:ascii="Times New Roman" w:hAnsi="Times New Roman"/>
          <w:sz w:val="20"/>
          <w:szCs w:val="20"/>
          <w:lang w:eastAsia="zh-CN"/>
        </w:rPr>
        <w:t>.</w:t>
      </w:r>
    </w:p>
    <w:p w:rsidR="00B43BFC" w:rsidRPr="00B43BFC" w:rsidRDefault="00B43BFC" w:rsidP="00124F32">
      <w:pPr>
        <w:pStyle w:val="af"/>
        <w:ind w:left="470"/>
        <w:rPr>
          <w:rFonts w:ascii="Times New Roman" w:hAnsi="Times New Roman"/>
          <w:sz w:val="20"/>
          <w:szCs w:val="20"/>
        </w:rPr>
      </w:pPr>
    </w:p>
    <w:p w:rsidR="004C4FDB" w:rsidRPr="004C4FDB" w:rsidRDefault="00A94672" w:rsidP="004C4FDB">
      <w:pPr>
        <w:rPr>
          <w:b/>
          <w:i/>
          <w:sz w:val="20"/>
          <w:szCs w:val="20"/>
        </w:rPr>
      </w:pPr>
      <w:r w:rsidRPr="004C4FDB">
        <w:rPr>
          <w:b/>
          <w:i/>
          <w:sz w:val="20"/>
          <w:szCs w:val="20"/>
        </w:rPr>
        <w:t xml:space="preserve">Proposal </w:t>
      </w:r>
      <w:r w:rsidR="00DB2E86">
        <w:rPr>
          <w:b/>
          <w:i/>
          <w:sz w:val="20"/>
          <w:szCs w:val="20"/>
        </w:rPr>
        <w:t>3</w:t>
      </w:r>
      <w:r w:rsidRPr="004C4FDB">
        <w:rPr>
          <w:b/>
          <w:i/>
          <w:sz w:val="20"/>
          <w:szCs w:val="20"/>
        </w:rPr>
        <w:t xml:space="preserve">: </w:t>
      </w:r>
      <w:r w:rsidR="00880EF3">
        <w:rPr>
          <w:b/>
          <w:i/>
          <w:sz w:val="20"/>
          <w:szCs w:val="20"/>
        </w:rPr>
        <w:t>I</w:t>
      </w:r>
      <w:r w:rsidR="00C50A4B">
        <w:rPr>
          <w:b/>
          <w:i/>
          <w:sz w:val="20"/>
          <w:szCs w:val="20"/>
        </w:rPr>
        <w:t xml:space="preserve">ntroduce parameter </w:t>
      </w:r>
      <w:r w:rsidR="00C50A4B" w:rsidRPr="00F44438">
        <w:rPr>
          <w:b/>
          <w:i/>
          <w:sz w:val="20"/>
          <w:szCs w:val="20"/>
        </w:rPr>
        <w:t>Δ</w:t>
      </w:r>
      <w:r w:rsidR="00C50A4B" w:rsidRPr="00F44438">
        <w:rPr>
          <w:b/>
          <w:i/>
          <w:sz w:val="20"/>
          <w:szCs w:val="20"/>
          <w:vertAlign w:val="subscript"/>
        </w:rPr>
        <w:t>TF</w:t>
      </w:r>
      <w:r w:rsidR="00C50A4B" w:rsidRPr="00F44438">
        <w:rPr>
          <w:b/>
          <w:i/>
          <w:sz w:val="20"/>
          <w:szCs w:val="20"/>
        </w:rPr>
        <w:t xml:space="preserve"> </w:t>
      </w:r>
      <w:r w:rsidR="00C50A4B">
        <w:rPr>
          <w:b/>
          <w:i/>
          <w:sz w:val="20"/>
          <w:szCs w:val="20"/>
        </w:rPr>
        <w:t xml:space="preserve">to </w:t>
      </w:r>
      <w:r w:rsidR="004C4FDB" w:rsidRPr="004C4FDB">
        <w:rPr>
          <w:b/>
          <w:i/>
          <w:sz w:val="20"/>
          <w:szCs w:val="20"/>
        </w:rPr>
        <w:t xml:space="preserve">uplink power </w:t>
      </w:r>
      <w:r w:rsidR="00381B91" w:rsidRPr="004C4FDB">
        <w:rPr>
          <w:b/>
          <w:i/>
          <w:sz w:val="20"/>
          <w:szCs w:val="20"/>
        </w:rPr>
        <w:t>control enhancement</w:t>
      </w:r>
      <w:r w:rsidR="004C4FDB" w:rsidRPr="004C4FDB">
        <w:rPr>
          <w:b/>
          <w:i/>
          <w:sz w:val="20"/>
          <w:szCs w:val="20"/>
        </w:rPr>
        <w:t xml:space="preserve"> in NBIoT.</w:t>
      </w:r>
    </w:p>
    <w:p w:rsidR="006147FD" w:rsidRPr="00C95037" w:rsidRDefault="006147FD" w:rsidP="00010666">
      <w:pPr>
        <w:spacing w:after="0"/>
        <w:rPr>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lastRenderedPageBreak/>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BF647E" w:rsidRPr="00795D19" w:rsidRDefault="00BF647E" w:rsidP="00BF647E">
      <w:pPr>
        <w:rPr>
          <w:b/>
          <w:i/>
          <w:sz w:val="20"/>
          <w:szCs w:val="20"/>
        </w:rPr>
      </w:pPr>
      <w:r w:rsidRPr="00795D19">
        <w:rPr>
          <w:b/>
          <w:i/>
          <w:sz w:val="20"/>
          <w:szCs w:val="20"/>
        </w:rPr>
        <w:t xml:space="preserve">Proposal </w:t>
      </w:r>
      <w:r>
        <w:rPr>
          <w:b/>
          <w:i/>
          <w:sz w:val="20"/>
          <w:szCs w:val="20"/>
        </w:rPr>
        <w:t>1</w:t>
      </w:r>
      <w:r w:rsidRPr="00795D19">
        <w:rPr>
          <w:b/>
          <w:i/>
          <w:sz w:val="20"/>
          <w:szCs w:val="20"/>
        </w:rPr>
        <w:t>: Remove some of the legacy CQI reporting values and add more than 3 CQI reporting values for support 16QAM in DL or report the subset of CQI reporting values determined by channel condition</w:t>
      </w:r>
      <w:r>
        <w:rPr>
          <w:b/>
          <w:i/>
          <w:sz w:val="20"/>
          <w:szCs w:val="20"/>
        </w:rPr>
        <w:t>.</w:t>
      </w:r>
    </w:p>
    <w:p w:rsidR="00BF647E" w:rsidRDefault="00BF647E" w:rsidP="00283C32">
      <w:pPr>
        <w:spacing w:beforeLines="50" w:afterLines="50"/>
        <w:rPr>
          <w:b/>
          <w:i/>
          <w:sz w:val="20"/>
          <w:szCs w:val="20"/>
          <w:lang w:eastAsia="zh-CN"/>
        </w:rPr>
      </w:pPr>
      <w:r w:rsidRPr="00893C8E">
        <w:rPr>
          <w:b/>
          <w:i/>
          <w:sz w:val="20"/>
          <w:szCs w:val="20"/>
          <w:lang w:eastAsia="zh-CN"/>
        </w:rPr>
        <w:t xml:space="preserve">Proposal </w:t>
      </w:r>
      <w:r>
        <w:rPr>
          <w:b/>
          <w:i/>
          <w:sz w:val="20"/>
          <w:szCs w:val="20"/>
          <w:lang w:eastAsia="zh-CN"/>
        </w:rPr>
        <w:t>2</w:t>
      </w:r>
      <w:r w:rsidRPr="00893C8E">
        <w:rPr>
          <w:b/>
          <w:i/>
          <w:sz w:val="20"/>
          <w:szCs w:val="20"/>
          <w:lang w:eastAsia="zh-CN"/>
        </w:rPr>
        <w:t xml:space="preserve">: </w:t>
      </w:r>
      <w:r>
        <w:rPr>
          <w:b/>
          <w:i/>
          <w:sz w:val="20"/>
          <w:szCs w:val="20"/>
          <w:lang w:eastAsia="zh-CN"/>
        </w:rPr>
        <w:t xml:space="preserve">Confirm the working assumption for DL power allocation for </w:t>
      </w:r>
      <w:r>
        <w:rPr>
          <w:rFonts w:hint="eastAsia"/>
          <w:b/>
          <w:i/>
          <w:sz w:val="20"/>
          <w:szCs w:val="20"/>
          <w:lang w:eastAsia="zh-CN"/>
        </w:rPr>
        <w:t>inband</w:t>
      </w:r>
      <w:r>
        <w:rPr>
          <w:b/>
          <w:i/>
          <w:sz w:val="20"/>
          <w:szCs w:val="20"/>
          <w:lang w:eastAsia="zh-CN"/>
        </w:rPr>
        <w:t xml:space="preserve"> case</w:t>
      </w:r>
      <w:r w:rsidRPr="00893C8E">
        <w:rPr>
          <w:b/>
          <w:i/>
          <w:sz w:val="20"/>
          <w:szCs w:val="20"/>
          <w:lang w:eastAsia="zh-CN"/>
        </w:rPr>
        <w:t>.</w:t>
      </w:r>
    </w:p>
    <w:p w:rsidR="00BF647E" w:rsidRPr="004C4FDB" w:rsidRDefault="00BF647E" w:rsidP="00BF647E">
      <w:pPr>
        <w:rPr>
          <w:b/>
          <w:i/>
          <w:sz w:val="20"/>
          <w:szCs w:val="20"/>
        </w:rPr>
      </w:pPr>
      <w:r w:rsidRPr="004C4FDB">
        <w:rPr>
          <w:b/>
          <w:i/>
          <w:sz w:val="20"/>
          <w:szCs w:val="20"/>
        </w:rPr>
        <w:t xml:space="preserve">Proposal </w:t>
      </w:r>
      <w:r>
        <w:rPr>
          <w:b/>
          <w:i/>
          <w:sz w:val="20"/>
          <w:szCs w:val="20"/>
        </w:rPr>
        <w:t>3</w:t>
      </w:r>
      <w:r w:rsidRPr="004C4FDB">
        <w:rPr>
          <w:b/>
          <w:i/>
          <w:sz w:val="20"/>
          <w:szCs w:val="20"/>
        </w:rPr>
        <w:t xml:space="preserve">: </w:t>
      </w:r>
      <w:r>
        <w:rPr>
          <w:b/>
          <w:i/>
          <w:sz w:val="20"/>
          <w:szCs w:val="20"/>
        </w:rPr>
        <w:t xml:space="preserve">Introduce parameter </w:t>
      </w:r>
      <w:r w:rsidRPr="00F44438">
        <w:rPr>
          <w:b/>
          <w:i/>
          <w:sz w:val="20"/>
          <w:szCs w:val="20"/>
        </w:rPr>
        <w:t>Δ</w:t>
      </w:r>
      <w:r w:rsidRPr="00F44438">
        <w:rPr>
          <w:b/>
          <w:i/>
          <w:sz w:val="20"/>
          <w:szCs w:val="20"/>
          <w:vertAlign w:val="subscript"/>
        </w:rPr>
        <w:t>TF</w:t>
      </w:r>
      <w:r w:rsidRPr="00F44438">
        <w:rPr>
          <w:b/>
          <w:i/>
          <w:sz w:val="20"/>
          <w:szCs w:val="20"/>
        </w:rPr>
        <w:t xml:space="preserve"> </w:t>
      </w:r>
      <w:r>
        <w:rPr>
          <w:b/>
          <w:i/>
          <w:sz w:val="20"/>
          <w:szCs w:val="20"/>
        </w:rPr>
        <w:t xml:space="preserve">to </w:t>
      </w:r>
      <w:r w:rsidRPr="004C4FDB">
        <w:rPr>
          <w:b/>
          <w:i/>
          <w:sz w:val="20"/>
          <w:szCs w:val="20"/>
        </w:rPr>
        <w:t>uplink power control enhancement in NBIoT.</w:t>
      </w:r>
    </w:p>
    <w:p w:rsidR="001B6145" w:rsidRPr="00BF647E" w:rsidRDefault="001B6145" w:rsidP="00283C32">
      <w:pPr>
        <w:pStyle w:val="PropObs"/>
        <w:numPr>
          <w:ilvl w:val="0"/>
          <w:numId w:val="0"/>
        </w:numPr>
        <w:spacing w:beforeLines="50" w:afterLines="5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31D" w:rsidRDefault="003E731D">
      <w:r>
        <w:separator/>
      </w:r>
    </w:p>
  </w:endnote>
  <w:endnote w:type="continuationSeparator" w:id="0">
    <w:p w:rsidR="003E731D" w:rsidRDefault="003E73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31D" w:rsidRDefault="003E731D">
      <w:r>
        <w:separator/>
      </w:r>
    </w:p>
  </w:footnote>
  <w:footnote w:type="continuationSeparator" w:id="0">
    <w:p w:rsidR="003E731D" w:rsidRDefault="003E73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4">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7B68E5"/>
    <w:multiLevelType w:val="hybridMultilevel"/>
    <w:tmpl w:val="B8622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30"/>
  </w:num>
  <w:num w:numId="3">
    <w:abstractNumId w:val="27"/>
  </w:num>
  <w:num w:numId="4">
    <w:abstractNumId w:val="0"/>
  </w:num>
  <w:num w:numId="5">
    <w:abstractNumId w:val="22"/>
  </w:num>
  <w:num w:numId="6">
    <w:abstractNumId w:val="19"/>
  </w:num>
  <w:num w:numId="7">
    <w:abstractNumId w:val="31"/>
  </w:num>
  <w:num w:numId="8">
    <w:abstractNumId w:val="20"/>
  </w:num>
  <w:num w:numId="9">
    <w:abstractNumId w:val="18"/>
  </w:num>
  <w:num w:numId="10">
    <w:abstractNumId w:val="29"/>
  </w:num>
  <w:num w:numId="11">
    <w:abstractNumId w:val="17"/>
  </w:num>
  <w:num w:numId="12">
    <w:abstractNumId w:val="12"/>
  </w:num>
  <w:num w:numId="13">
    <w:abstractNumId w:val="11"/>
  </w:num>
  <w:num w:numId="14">
    <w:abstractNumId w:val="7"/>
  </w:num>
  <w:num w:numId="15">
    <w:abstractNumId w:val="1"/>
  </w:num>
  <w:num w:numId="16">
    <w:abstractNumId w:val="8"/>
  </w:num>
  <w:num w:numId="17">
    <w:abstractNumId w:val="23"/>
  </w:num>
  <w:num w:numId="18">
    <w:abstractNumId w:val="3"/>
  </w:num>
  <w:num w:numId="19">
    <w:abstractNumId w:val="25"/>
  </w:num>
  <w:num w:numId="20">
    <w:abstractNumId w:val="21"/>
  </w:num>
  <w:num w:numId="21">
    <w:abstractNumId w:val="9"/>
  </w:num>
  <w:num w:numId="22">
    <w:abstractNumId w:val="13"/>
  </w:num>
  <w:num w:numId="23">
    <w:abstractNumId w:val="14"/>
  </w:num>
  <w:num w:numId="24">
    <w:abstractNumId w:val="26"/>
  </w:num>
  <w:num w:numId="25">
    <w:abstractNumId w:val="4"/>
  </w:num>
  <w:num w:numId="26">
    <w:abstractNumId w:val="10"/>
  </w:num>
  <w:num w:numId="27">
    <w:abstractNumId w:val="6"/>
  </w:num>
  <w:num w:numId="28">
    <w:abstractNumId w:val="5"/>
  </w:num>
  <w:num w:numId="29">
    <w:abstractNumId w:val="28"/>
  </w:num>
  <w:num w:numId="30">
    <w:abstractNumId w:val="16"/>
  </w:num>
  <w:num w:numId="31">
    <w:abstractNumId w:val="2"/>
  </w:num>
  <w:num w:numId="32">
    <w:abstractNumId w:val="2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A4C"/>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905"/>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38B"/>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35"/>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C3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1D0D"/>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1D"/>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4A"/>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8"/>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4E75"/>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AB4"/>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5BD"/>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0F7"/>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921"/>
    <w:rsid w:val="008A1A8B"/>
    <w:rsid w:val="008A1D61"/>
    <w:rsid w:val="008A1FF4"/>
    <w:rsid w:val="008A2055"/>
    <w:rsid w:val="008A2093"/>
    <w:rsid w:val="008A2434"/>
    <w:rsid w:val="008A2709"/>
    <w:rsid w:val="008A2734"/>
    <w:rsid w:val="008A28B6"/>
    <w:rsid w:val="008A2B4F"/>
    <w:rsid w:val="008A2BA1"/>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7A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8B"/>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6E"/>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CB"/>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CB0"/>
    <w:rsid w:val="00A13E63"/>
    <w:rsid w:val="00A142F3"/>
    <w:rsid w:val="00A1452F"/>
    <w:rsid w:val="00A14813"/>
    <w:rsid w:val="00A14B42"/>
    <w:rsid w:val="00A14C59"/>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A84"/>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0BC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9EA"/>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A43"/>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47E"/>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9A"/>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81"/>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766"/>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2E86"/>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77"/>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84E"/>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894"/>
    <w:rsid w:val="00ED7C1A"/>
    <w:rsid w:val="00EE0201"/>
    <w:rsid w:val="00EE05F9"/>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201"/>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条目 Char"/>
    <w:link w:val="a6"/>
    <w:uiPriority w:val="99"/>
    <w:qFormat/>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Char10"/>
    <w:uiPriority w:val="99"/>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4DA6-2B93-4C9D-96F0-1769B2EC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5374</TotalTime>
  <Pages>4</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YANYAN4</cp:lastModifiedBy>
  <cp:revision>3792</cp:revision>
  <cp:lastPrinted>2015-09-18T07:21:00Z</cp:lastPrinted>
  <dcterms:created xsi:type="dcterms:W3CDTF">2019-08-02T06:32:00Z</dcterms:created>
  <dcterms:modified xsi:type="dcterms:W3CDTF">2021-09-29T08:00:00Z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