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ascii="Arial" w:hAnsi="Arial" w:cs="Arial"/>
          <w:b/>
          <w:bCs/>
          <w:sz w:val="28"/>
        </w:rPr>
      </w:pPr>
      <w:r>
        <w:rPr>
          <w:rFonts w:ascii="Arial" w:hAnsi="Arial" w:cs="Arial"/>
          <w:b/>
          <w:bCs/>
          <w:sz w:val="28"/>
        </w:rPr>
        <w:t>3GPP TSG RAN WG1 #106</w:t>
      </w:r>
      <w:r>
        <w:rPr>
          <w:rFonts w:hint="eastAsia" w:ascii="Arial" w:hAnsi="Arial" w:cs="Arial"/>
          <w:b/>
          <w:bCs/>
          <w:sz w:val="28"/>
          <w:lang w:val="en-US" w:eastAsia="zh-CN"/>
        </w:rPr>
        <w:t>bis</w:t>
      </w:r>
      <w:bookmarkStart w:id="3" w:name="_GoBack"/>
      <w:bookmarkEnd w:id="3"/>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R1-2109283</w:t>
      </w:r>
    </w:p>
    <w:p>
      <w:pPr>
        <w:tabs>
          <w:tab w:val="center" w:pos="4536"/>
          <w:tab w:val="right" w:pos="9072"/>
        </w:tabs>
        <w:outlineLvl w:val="0"/>
        <w:rPr>
          <w:rFonts w:ascii="Arial" w:hAnsi="Arial" w:eastAsia="MS Mincho" w:cs="Arial"/>
          <w:b/>
          <w:bCs/>
          <w:sz w:val="28"/>
          <w:lang w:eastAsia="ja-JP"/>
        </w:rPr>
      </w:pPr>
      <w:r>
        <w:rPr>
          <w:rFonts w:ascii="Arial" w:hAnsi="Arial" w:eastAsia="MS Mincho" w:cs="Arial"/>
          <w:b/>
          <w:bCs/>
          <w:sz w:val="28"/>
          <w:lang w:eastAsia="ja-JP"/>
        </w:rPr>
        <w:t>e-Meeting, October 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tabs>
          <w:tab w:val="left" w:pos="1985"/>
        </w:tabs>
        <w:ind w:left="1877" w:hanging="1877" w:hangingChars="850"/>
        <w:jc w:val="both"/>
        <w:rPr>
          <w:rFonts w:ascii="Arial" w:hAnsi="Arial" w:cs="Arial"/>
          <w:b/>
          <w:sz w:val="22"/>
        </w:rPr>
      </w:pPr>
    </w:p>
    <w:p>
      <w:pPr>
        <w:spacing w:after="0"/>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Pr>
          <w:rFonts w:ascii="Arial" w:hAnsi="Arial" w:cs="Arial"/>
          <w:b/>
          <w:sz w:val="24"/>
          <w:lang w:val="en-US"/>
        </w:rPr>
        <w:t>8.5.1</w:t>
      </w:r>
    </w:p>
    <w:p>
      <w:pPr>
        <w:spacing w:after="0"/>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lang w:val="en-US"/>
        </w:rPr>
        <w:t>CMCC</w:t>
      </w:r>
    </w:p>
    <w:p>
      <w:pPr>
        <w:spacing w:after="0"/>
        <w:ind w:left="1988" w:hanging="1988"/>
        <w:jc w:val="both"/>
        <w:rPr>
          <w:rFonts w:ascii="Arial" w:hAnsi="Arial" w:cs="Arial"/>
          <w:b/>
          <w:sz w:val="24"/>
          <w:lang w:eastAsia="zh-CN"/>
        </w:rPr>
      </w:pPr>
      <w:r>
        <w:rPr>
          <w:rFonts w:ascii="Arial" w:hAnsi="Arial" w:cs="Arial"/>
          <w:b/>
          <w:sz w:val="24"/>
          <w:lang w:val="en-US"/>
        </w:rPr>
        <w:t xml:space="preserve">Title: </w:t>
      </w:r>
      <w:r>
        <w:rPr>
          <w:rFonts w:ascii="Arial" w:hAnsi="Arial" w:cs="Arial"/>
          <w:b/>
          <w:sz w:val="24"/>
          <w:lang w:val="en-US"/>
        </w:rPr>
        <w:tab/>
      </w:r>
      <w:r>
        <w:rPr>
          <w:rFonts w:ascii="Arial" w:hAnsi="Arial" w:cs="Arial"/>
          <w:b/>
          <w:sz w:val="24"/>
        </w:rPr>
        <w:t>Discussion on mitigation of gNB/UE Rx/Tx timing errors</w:t>
      </w:r>
    </w:p>
    <w:p>
      <w:pPr>
        <w:spacing w:after="0"/>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r>
      <w:r>
        <w:rPr>
          <w:rFonts w:ascii="Arial" w:hAnsi="Arial" w:cs="Arial"/>
          <w:b/>
          <w:sz w:val="24"/>
          <w:lang w:val="en-US"/>
        </w:rPr>
        <w:t>Discussion and Decision</w:t>
      </w:r>
    </w:p>
    <w:p>
      <w:pPr>
        <w:pStyle w:val="160"/>
        <w:tabs>
          <w:tab w:val="left" w:pos="426"/>
          <w:tab w:val="clear" w:pos="432"/>
        </w:tabs>
        <w:jc w:val="both"/>
        <w:rPr>
          <w:rFonts w:cs="Arial"/>
          <w:b/>
          <w:sz w:val="30"/>
          <w:szCs w:val="30"/>
        </w:rPr>
      </w:pPr>
      <w:r>
        <w:rPr>
          <w:rFonts w:cs="Arial"/>
          <w:b/>
          <w:sz w:val="30"/>
          <w:szCs w:val="30"/>
        </w:rPr>
        <w:t>Introduction</w:t>
      </w:r>
    </w:p>
    <w:p>
      <w:pPr>
        <w:spacing w:before="120" w:beforeLines="50" w:after="0" w:line="288" w:lineRule="auto"/>
        <w:jc w:val="both"/>
        <w:rPr>
          <w:rFonts w:ascii="Arial" w:hAnsi="Arial" w:cs="Arial"/>
          <w:lang w:eastAsia="zh-CN"/>
        </w:rPr>
      </w:pPr>
      <w:r>
        <w:rPr>
          <w:rFonts w:ascii="Arial" w:hAnsi="Arial" w:cs="Arial"/>
          <w:lang w:eastAsia="zh-CN"/>
        </w:rPr>
        <w:t xml:space="preserve">The following agreements were made on mitigation of UE/gNB Rx/Tx timing errors in the last RAN1 meeting </w:t>
      </w:r>
      <w:r>
        <w:rPr>
          <w:rFonts w:ascii="Arial" w:hAnsi="Arial" w:cs="Arial"/>
          <w:lang w:eastAsia="zh-CN"/>
        </w:rPr>
        <w:fldChar w:fldCharType="begin"/>
      </w:r>
      <w:r>
        <w:rPr>
          <w:rFonts w:ascii="Arial" w:hAnsi="Arial" w:cs="Arial"/>
          <w:lang w:eastAsia="zh-CN"/>
        </w:rPr>
        <w:instrText xml:space="preserve"> REF _Ref83830298 \r \h </w:instrText>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spacing w:before="120" w:beforeLines="50" w:after="0" w:line="300" w:lineRule="auto"/>
              <w:jc w:val="both"/>
              <w:rPr>
                <w:rFonts w:ascii="Arial" w:hAnsi="Arial" w:cs="Arial"/>
                <w:iCs/>
              </w:rPr>
            </w:pPr>
            <w:r>
              <w:rPr>
                <w:rFonts w:ascii="Arial" w:hAnsi="Arial" w:cs="Arial"/>
                <w:iCs/>
                <w:highlight w:val="green"/>
              </w:rPr>
              <w:t>Agreement:</w:t>
            </w:r>
          </w:p>
          <w:p>
            <w:pPr>
              <w:pStyle w:val="124"/>
              <w:numPr>
                <w:ilvl w:val="0"/>
                <w:numId w:val="12"/>
              </w:numPr>
              <w:spacing w:before="0" w:line="300" w:lineRule="auto"/>
              <w:jc w:val="both"/>
              <w:rPr>
                <w:rFonts w:ascii="Arial" w:hAnsi="Arial" w:eastAsia="宋体" w:cs="Arial"/>
                <w:iCs/>
                <w:sz w:val="20"/>
                <w:szCs w:val="20"/>
                <w:lang w:eastAsia="zh-CN"/>
              </w:rPr>
            </w:pPr>
            <w:r>
              <w:rPr>
                <w:rFonts w:ascii="Arial" w:hAnsi="Arial" w:eastAsia="宋体" w:cs="Arial"/>
                <w:iCs/>
                <w:sz w:val="20"/>
                <w:szCs w:val="20"/>
                <w:lang w:eastAsia="zh-CN"/>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pPr>
              <w:pStyle w:val="124"/>
              <w:numPr>
                <w:ilvl w:val="0"/>
                <w:numId w:val="12"/>
              </w:numPr>
              <w:spacing w:before="0" w:line="300" w:lineRule="auto"/>
              <w:jc w:val="both"/>
              <w:rPr>
                <w:rFonts w:ascii="Arial" w:hAnsi="Arial" w:eastAsia="宋体" w:cs="Arial"/>
                <w:iCs/>
                <w:sz w:val="20"/>
                <w:szCs w:val="20"/>
                <w:lang w:eastAsia="zh-CN"/>
              </w:rPr>
            </w:pPr>
            <w:r>
              <w:rPr>
                <w:rFonts w:ascii="Arial" w:hAnsi="Arial" w:eastAsia="宋体" w:cs="Arial"/>
                <w:iCs/>
                <w:sz w:val="20"/>
                <w:szCs w:val="20"/>
                <w:lang w:eastAsia="zh-CN"/>
              </w:rPr>
              <w:t>Note: RSTD reference time is related to the DL_PRS_Reference_Info IE</w:t>
            </w:r>
          </w:p>
          <w:p>
            <w:pPr>
              <w:adjustRightInd/>
              <w:spacing w:before="120" w:beforeLines="50" w:after="0" w:line="300" w:lineRule="auto"/>
              <w:jc w:val="both"/>
              <w:rPr>
                <w:rFonts w:ascii="Arial" w:hAnsi="Arial" w:cs="Arial"/>
                <w:iCs/>
              </w:rPr>
            </w:pPr>
            <w:r>
              <w:rPr>
                <w:rFonts w:ascii="Arial" w:hAnsi="Arial" w:cs="Arial"/>
                <w:iCs/>
                <w:highlight w:val="green"/>
              </w:rPr>
              <w:t>Agreement:</w:t>
            </w:r>
          </w:p>
          <w:p>
            <w:pPr>
              <w:adjustRightInd/>
              <w:spacing w:before="0" w:after="0" w:line="300" w:lineRule="auto"/>
              <w:jc w:val="both"/>
              <w:rPr>
                <w:rFonts w:ascii="Arial" w:hAnsi="Arial" w:cs="Arial"/>
                <w:iCs/>
              </w:rPr>
            </w:pPr>
            <w:r>
              <w:rPr>
                <w:rFonts w:ascii="Arial" w:hAnsi="Arial" w:cs="Arial"/>
                <w:iCs/>
              </w:rPr>
              <w:t>Make the following modification of the previous agreement:</w:t>
            </w:r>
          </w:p>
          <w:p>
            <w:pPr>
              <w:adjustRightInd/>
              <w:spacing w:before="0" w:after="0" w:line="300" w:lineRule="auto"/>
              <w:jc w:val="both"/>
              <w:rPr>
                <w:rFonts w:ascii="Arial" w:hAnsi="Arial" w:cs="Arial"/>
                <w:iCs/>
                <w:lang w:eastAsia="zh-CN"/>
              </w:rPr>
            </w:pPr>
            <w:r>
              <w:rPr>
                <w:rFonts w:ascii="Arial" w:hAnsi="Arial" w:eastAsia="宋体" w:cs="Arial"/>
                <w:iCs/>
                <w:lang w:eastAsia="zh-CN"/>
              </w:rPr>
              <w:t xml:space="preserve">For mitigating UE Tx/Rx timing errors for DL+UL positioning, a UE </w:t>
            </w:r>
            <w:r>
              <w:rPr>
                <w:rFonts w:ascii="Arial" w:hAnsi="Arial" w:eastAsia="宋体" w:cs="Arial"/>
                <w:iCs/>
                <w:strike/>
                <w:color w:val="FF0000"/>
                <w:lang w:eastAsia="zh-CN"/>
              </w:rPr>
              <w:t>may</w:t>
            </w:r>
            <w:r>
              <w:rPr>
                <w:rFonts w:ascii="Arial" w:hAnsi="Arial" w:eastAsia="宋体" w:cs="Arial"/>
                <w:iCs/>
                <w:lang w:eastAsia="zh-CN"/>
              </w:rPr>
              <w:t xml:space="preserve"> </w:t>
            </w:r>
            <w:r>
              <w:rPr>
                <w:rFonts w:ascii="Arial" w:hAnsi="Arial" w:eastAsia="宋体" w:cs="Arial"/>
                <w:iCs/>
                <w:color w:val="FF0000"/>
                <w:lang w:eastAsia="zh-CN"/>
              </w:rPr>
              <w:t>should</w:t>
            </w:r>
            <w:r>
              <w:rPr>
                <w:rFonts w:ascii="Arial" w:hAnsi="Arial" w:eastAsia="宋体" w:cs="Arial"/>
                <w:iCs/>
                <w:lang w:eastAsia="zh-CN"/>
              </w:rPr>
              <w:t xml:space="preserve"> support, up to UE capability, </w:t>
            </w:r>
            <w:r>
              <w:rPr>
                <w:rFonts w:ascii="Arial" w:hAnsi="Arial" w:eastAsia="宋体" w:cs="Arial"/>
                <w:iCs/>
                <w:color w:val="FF0000"/>
                <w:lang w:eastAsia="zh-CN"/>
              </w:rPr>
              <w:t>either</w:t>
            </w:r>
            <w:r>
              <w:rPr>
                <w:rFonts w:ascii="Arial" w:hAnsi="Arial" w:eastAsia="宋体" w:cs="Arial"/>
                <w:iCs/>
                <w:lang w:eastAsia="zh-CN"/>
              </w:rPr>
              <w:t xml:space="preserve"> one or both of the following options:</w:t>
            </w:r>
          </w:p>
          <w:p>
            <w:pPr>
              <w:numPr>
                <w:ilvl w:val="0"/>
                <w:numId w:val="13"/>
              </w:numPr>
              <w:overflowPunct/>
              <w:autoSpaceDE/>
              <w:autoSpaceDN/>
              <w:adjustRightInd/>
              <w:spacing w:before="0" w:after="0" w:line="300" w:lineRule="auto"/>
              <w:ind w:left="720"/>
              <w:jc w:val="both"/>
              <w:textAlignment w:val="auto"/>
              <w:rPr>
                <w:rFonts w:ascii="Arial" w:hAnsi="Arial" w:cs="Arial"/>
                <w:iCs/>
                <w:lang w:eastAsia="zh-CN"/>
              </w:rPr>
            </w:pPr>
            <w:r>
              <w:rPr>
                <w:rFonts w:ascii="Arial" w:hAnsi="Arial" w:eastAsia="宋体" w:cs="Arial"/>
                <w:iCs/>
                <w:lang w:eastAsia="zh-CN"/>
              </w:rPr>
              <w:t xml:space="preserve">Option 1: Reporting of UE RxTx TEG ID </w:t>
            </w:r>
            <w:r>
              <w:rPr>
                <w:rFonts w:ascii="Arial" w:hAnsi="Arial" w:eastAsia="宋体" w:cs="Arial"/>
                <w:iCs/>
                <w:strike/>
                <w:color w:val="FF0000"/>
                <w:lang w:eastAsia="zh-CN"/>
              </w:rPr>
              <w:t>is supported</w:t>
            </w:r>
            <w:r>
              <w:rPr>
                <w:rFonts w:ascii="Arial" w:hAnsi="Arial" w:cs="Arial"/>
                <w:iCs/>
                <w:strike/>
                <w:color w:val="FF0000"/>
                <w:lang w:eastAsia="zh-CN"/>
              </w:rPr>
              <w:t xml:space="preserve"> by the UE</w:t>
            </w:r>
          </w:p>
          <w:p>
            <w:pPr>
              <w:numPr>
                <w:ilvl w:val="1"/>
                <w:numId w:val="13"/>
              </w:numPr>
              <w:overflowPunct/>
              <w:autoSpaceDE/>
              <w:autoSpaceDN/>
              <w:adjustRightInd/>
              <w:spacing w:before="0" w:after="0" w:line="300" w:lineRule="auto"/>
              <w:ind w:left="1440"/>
              <w:jc w:val="both"/>
              <w:textAlignment w:val="auto"/>
              <w:rPr>
                <w:rFonts w:ascii="Arial" w:hAnsi="Arial" w:cs="Arial"/>
                <w:iCs/>
                <w:lang w:eastAsia="zh-CN"/>
              </w:rPr>
            </w:pPr>
            <w:r>
              <w:rPr>
                <w:rFonts w:ascii="Arial" w:hAnsi="Arial" w:cs="Arial"/>
                <w:iCs/>
                <w:lang w:eastAsia="zh-CN"/>
              </w:rPr>
              <w:t xml:space="preserve">FFS: Further details on how the </w:t>
            </w:r>
            <w:r>
              <w:rPr>
                <w:rFonts w:ascii="Arial" w:hAnsi="Arial" w:eastAsia="宋体" w:cs="Arial"/>
                <w:iCs/>
                <w:color w:val="FF0000"/>
                <w:lang w:eastAsia="zh-CN"/>
              </w:rPr>
              <w:t>UE</w:t>
            </w:r>
            <w:r>
              <w:rPr>
                <w:rFonts w:ascii="Arial" w:hAnsi="Arial" w:eastAsia="宋体" w:cs="Arial"/>
                <w:iCs/>
                <w:lang w:eastAsia="zh-CN"/>
              </w:rPr>
              <w:t xml:space="preserve"> </w:t>
            </w:r>
            <w:r>
              <w:rPr>
                <w:rFonts w:ascii="Arial" w:hAnsi="Arial" w:cs="Arial"/>
                <w:iCs/>
                <w:lang w:eastAsia="zh-CN"/>
              </w:rPr>
              <w:t xml:space="preserve">RxTx TEG IDs are related/associated to </w:t>
            </w:r>
            <w:r>
              <w:rPr>
                <w:rFonts w:ascii="Arial" w:hAnsi="Arial" w:eastAsia="宋体" w:cs="Arial"/>
                <w:iCs/>
                <w:color w:val="FF0000"/>
                <w:lang w:eastAsia="zh-CN"/>
              </w:rPr>
              <w:t>UE</w:t>
            </w:r>
            <w:r>
              <w:rPr>
                <w:rFonts w:ascii="Arial" w:hAnsi="Arial" w:eastAsia="宋体" w:cs="Arial"/>
                <w:iCs/>
                <w:lang w:eastAsia="zh-CN"/>
              </w:rPr>
              <w:t xml:space="preserve"> </w:t>
            </w:r>
            <w:r>
              <w:rPr>
                <w:rFonts w:ascii="Arial" w:hAnsi="Arial" w:cs="Arial"/>
                <w:iCs/>
                <w:lang w:eastAsia="zh-CN"/>
              </w:rPr>
              <w:t xml:space="preserve">Tx TEG IDs and/or </w:t>
            </w:r>
            <w:r>
              <w:rPr>
                <w:rFonts w:ascii="Arial" w:hAnsi="Arial" w:eastAsia="宋体" w:cs="Arial"/>
                <w:iCs/>
                <w:color w:val="FF0000"/>
                <w:lang w:eastAsia="zh-CN"/>
              </w:rPr>
              <w:t>UE</w:t>
            </w:r>
            <w:r>
              <w:rPr>
                <w:rFonts w:ascii="Arial" w:hAnsi="Arial" w:eastAsia="宋体" w:cs="Arial"/>
                <w:iCs/>
                <w:lang w:eastAsia="zh-CN"/>
              </w:rPr>
              <w:t xml:space="preserve"> </w:t>
            </w:r>
            <w:r>
              <w:rPr>
                <w:rFonts w:ascii="Arial" w:hAnsi="Arial" w:cs="Arial"/>
                <w:iCs/>
                <w:lang w:eastAsia="zh-CN"/>
              </w:rPr>
              <w:t xml:space="preserve">Rx TEG IDs and to the </w:t>
            </w:r>
            <w:r>
              <w:rPr>
                <w:rFonts w:ascii="Arial" w:hAnsi="Arial" w:eastAsia="宋体" w:cs="Arial"/>
                <w:iCs/>
                <w:color w:val="FF0000"/>
                <w:lang w:eastAsia="zh-CN"/>
              </w:rPr>
              <w:t>UE</w:t>
            </w:r>
            <w:r>
              <w:rPr>
                <w:rFonts w:ascii="Arial" w:hAnsi="Arial" w:eastAsia="宋体" w:cs="Arial"/>
                <w:iCs/>
                <w:lang w:eastAsia="zh-CN"/>
              </w:rPr>
              <w:t xml:space="preserve"> </w:t>
            </w:r>
            <w:r>
              <w:rPr>
                <w:rFonts w:ascii="Arial" w:hAnsi="Arial" w:cs="Arial"/>
                <w:iCs/>
                <w:lang w:eastAsia="zh-CN"/>
              </w:rPr>
              <w:t xml:space="preserve">Rx-Tx measurements. </w:t>
            </w:r>
          </w:p>
          <w:p>
            <w:pPr>
              <w:numPr>
                <w:ilvl w:val="0"/>
                <w:numId w:val="13"/>
              </w:numPr>
              <w:overflowPunct/>
              <w:autoSpaceDE/>
              <w:autoSpaceDN/>
              <w:adjustRightInd/>
              <w:spacing w:before="0" w:after="0" w:line="300" w:lineRule="auto"/>
              <w:ind w:left="720"/>
              <w:jc w:val="both"/>
              <w:textAlignment w:val="auto"/>
              <w:rPr>
                <w:rFonts w:ascii="Arial" w:hAnsi="Arial" w:cs="Arial"/>
                <w:iCs/>
                <w:lang w:eastAsia="zh-CN"/>
              </w:rPr>
            </w:pPr>
            <w:r>
              <w:rPr>
                <w:rFonts w:ascii="Arial" w:hAnsi="Arial" w:eastAsia="宋体" w:cs="Arial"/>
                <w:iCs/>
                <w:lang w:eastAsia="zh-CN"/>
              </w:rPr>
              <w:t xml:space="preserve">Option 2: Reporting of </w:t>
            </w:r>
            <w:r>
              <w:rPr>
                <w:rFonts w:ascii="Arial" w:hAnsi="Arial" w:eastAsia="宋体" w:cs="Arial"/>
                <w:iCs/>
                <w:strike/>
                <w:color w:val="FF0000"/>
                <w:lang w:eastAsia="zh-CN"/>
              </w:rPr>
              <w:t>UE RxTx TEG ID is not supported by the UE; reporting of</w:t>
            </w:r>
            <w:r>
              <w:rPr>
                <w:rFonts w:ascii="Arial" w:hAnsi="Arial" w:eastAsia="宋体" w:cs="Arial"/>
                <w:iCs/>
                <w:lang w:eastAsia="zh-CN"/>
              </w:rPr>
              <w:t xml:space="preserve"> </w:t>
            </w:r>
            <w:r>
              <w:rPr>
                <w:rFonts w:ascii="Arial" w:hAnsi="Arial" w:eastAsia="宋体" w:cs="Arial"/>
                <w:iCs/>
                <w:color w:val="FF0000"/>
                <w:lang w:eastAsia="zh-CN"/>
              </w:rPr>
              <w:t>UE</w:t>
            </w:r>
            <w:r>
              <w:rPr>
                <w:rFonts w:ascii="Arial" w:hAnsi="Arial" w:eastAsia="宋体" w:cs="Arial"/>
                <w:iCs/>
                <w:lang w:eastAsia="zh-CN"/>
              </w:rPr>
              <w:t xml:space="preserve"> Rx TEG ID and </w:t>
            </w:r>
            <w:r>
              <w:rPr>
                <w:rFonts w:ascii="Arial" w:hAnsi="Arial" w:eastAsia="宋体" w:cs="Arial"/>
                <w:iCs/>
                <w:color w:val="FF0000"/>
                <w:lang w:eastAsia="zh-CN"/>
              </w:rPr>
              <w:t>UE</w:t>
            </w:r>
            <w:r>
              <w:rPr>
                <w:rFonts w:ascii="Arial" w:hAnsi="Arial" w:eastAsia="宋体" w:cs="Arial"/>
                <w:iCs/>
                <w:lang w:eastAsia="zh-CN"/>
              </w:rPr>
              <w:t xml:space="preserve"> Tx TEG ID </w:t>
            </w:r>
            <w:r>
              <w:rPr>
                <w:rFonts w:ascii="Arial" w:hAnsi="Arial" w:eastAsia="宋体" w:cs="Arial"/>
                <w:iCs/>
                <w:strike/>
                <w:color w:val="FF0000"/>
                <w:lang w:eastAsia="zh-CN"/>
              </w:rPr>
              <w:t>is supported</w:t>
            </w:r>
            <w:r>
              <w:rPr>
                <w:rFonts w:ascii="Arial" w:hAnsi="Arial" w:eastAsia="宋体" w:cs="Arial"/>
                <w:iCs/>
                <w:lang w:eastAsia="zh-CN"/>
              </w:rPr>
              <w:t xml:space="preserve">. </w:t>
            </w:r>
          </w:p>
          <w:p>
            <w:pPr>
              <w:numPr>
                <w:ilvl w:val="0"/>
                <w:numId w:val="13"/>
              </w:numPr>
              <w:overflowPunct/>
              <w:autoSpaceDE/>
              <w:autoSpaceDN/>
              <w:adjustRightInd/>
              <w:spacing w:before="0" w:after="0" w:line="300" w:lineRule="auto"/>
              <w:ind w:left="720"/>
              <w:jc w:val="both"/>
              <w:textAlignment w:val="auto"/>
              <w:rPr>
                <w:rFonts w:ascii="Arial" w:hAnsi="Arial" w:cs="Arial"/>
                <w:iCs/>
                <w:lang w:eastAsia="zh-CN"/>
              </w:rPr>
            </w:pPr>
            <w:r>
              <w:rPr>
                <w:rFonts w:ascii="Arial" w:hAnsi="Arial" w:cs="Arial"/>
                <w:iCs/>
                <w:lang w:eastAsia="zh-CN"/>
              </w:rPr>
              <w:t xml:space="preserve">In either option, a </w:t>
            </w:r>
            <w:r>
              <w:rPr>
                <w:rFonts w:ascii="Arial" w:hAnsi="Arial" w:eastAsia="宋体" w:cs="Arial"/>
                <w:iCs/>
                <w:color w:val="FF0000"/>
                <w:lang w:eastAsia="zh-CN"/>
              </w:rPr>
              <w:t>UE</w:t>
            </w:r>
            <w:r>
              <w:rPr>
                <w:rFonts w:ascii="Arial" w:hAnsi="Arial" w:eastAsia="宋体" w:cs="Arial"/>
                <w:iCs/>
                <w:lang w:eastAsia="zh-CN"/>
              </w:rPr>
              <w:t xml:space="preserve"> Tx TEG ID is </w:t>
            </w:r>
            <w:r>
              <w:rPr>
                <w:rFonts w:ascii="Arial" w:hAnsi="Arial" w:cs="Arial"/>
                <w:iCs/>
                <w:lang w:eastAsia="zh-CN"/>
              </w:rPr>
              <w:t>associated with (downselection needed)</w:t>
            </w:r>
          </w:p>
          <w:p>
            <w:pPr>
              <w:numPr>
                <w:ilvl w:val="1"/>
                <w:numId w:val="13"/>
              </w:numPr>
              <w:overflowPunct/>
              <w:autoSpaceDE/>
              <w:autoSpaceDN/>
              <w:adjustRightInd/>
              <w:spacing w:before="0" w:after="0" w:line="300" w:lineRule="auto"/>
              <w:ind w:left="1440"/>
              <w:jc w:val="both"/>
              <w:textAlignment w:val="auto"/>
              <w:rPr>
                <w:rFonts w:ascii="Arial" w:hAnsi="Arial" w:cs="Arial"/>
                <w:iCs/>
                <w:lang w:eastAsia="zh-CN"/>
              </w:rPr>
            </w:pPr>
            <w:r>
              <w:rPr>
                <w:rFonts w:ascii="Arial" w:hAnsi="Arial" w:cs="Arial"/>
                <w:iCs/>
                <w:lang w:eastAsia="zh-CN"/>
              </w:rPr>
              <w:t xml:space="preserve">Alt. 1: an UL SRS resource for positioning corresponding to the Tx timing of the </w:t>
            </w:r>
            <w:r>
              <w:rPr>
                <w:rFonts w:ascii="Arial" w:hAnsi="Arial" w:eastAsia="宋体" w:cs="Arial"/>
                <w:iCs/>
                <w:color w:val="FF0000"/>
                <w:lang w:eastAsia="zh-CN"/>
              </w:rPr>
              <w:t>UE</w:t>
            </w:r>
            <w:r>
              <w:rPr>
                <w:rFonts w:ascii="Arial" w:hAnsi="Arial" w:eastAsia="宋体" w:cs="Arial"/>
                <w:iCs/>
                <w:lang w:eastAsia="zh-CN"/>
              </w:rPr>
              <w:t xml:space="preserve"> </w:t>
            </w:r>
            <w:r>
              <w:rPr>
                <w:rFonts w:ascii="Arial" w:hAnsi="Arial" w:cs="Arial"/>
                <w:iCs/>
                <w:lang w:eastAsia="zh-CN"/>
              </w:rPr>
              <w:t>Rx-Tx measurement</w:t>
            </w:r>
          </w:p>
          <w:p>
            <w:pPr>
              <w:numPr>
                <w:ilvl w:val="1"/>
                <w:numId w:val="13"/>
              </w:numPr>
              <w:overflowPunct/>
              <w:autoSpaceDE/>
              <w:autoSpaceDN/>
              <w:adjustRightInd/>
              <w:spacing w:before="0" w:after="0" w:line="300" w:lineRule="auto"/>
              <w:ind w:left="1440"/>
              <w:jc w:val="both"/>
              <w:textAlignment w:val="auto"/>
              <w:rPr>
                <w:rFonts w:ascii="Arial" w:hAnsi="Arial" w:cs="Arial"/>
                <w:iCs/>
                <w:lang w:eastAsia="zh-CN"/>
              </w:rPr>
            </w:pPr>
            <w:r>
              <w:rPr>
                <w:rFonts w:ascii="Arial" w:hAnsi="Arial" w:cs="Arial"/>
                <w:iCs/>
                <w:lang w:eastAsia="zh-CN"/>
              </w:rPr>
              <w:t xml:space="preserve">Alt. 2: the Tx timing of the </w:t>
            </w:r>
            <w:r>
              <w:rPr>
                <w:rFonts w:ascii="Arial" w:hAnsi="Arial" w:eastAsia="宋体" w:cs="Arial"/>
                <w:iCs/>
                <w:color w:val="FF0000"/>
                <w:lang w:eastAsia="zh-CN"/>
              </w:rPr>
              <w:t>UE</w:t>
            </w:r>
            <w:r>
              <w:rPr>
                <w:rFonts w:ascii="Arial" w:hAnsi="Arial" w:eastAsia="宋体" w:cs="Arial"/>
                <w:iCs/>
                <w:lang w:eastAsia="zh-CN"/>
              </w:rPr>
              <w:t xml:space="preserve"> </w:t>
            </w:r>
            <w:r>
              <w:rPr>
                <w:rFonts w:ascii="Arial" w:hAnsi="Arial" w:cs="Arial"/>
                <w:iCs/>
                <w:lang w:eastAsia="zh-CN"/>
              </w:rPr>
              <w:t>Rx-Tx measurement</w:t>
            </w:r>
          </w:p>
          <w:p>
            <w:pPr>
              <w:numPr>
                <w:ilvl w:val="1"/>
                <w:numId w:val="13"/>
              </w:numPr>
              <w:overflowPunct/>
              <w:autoSpaceDE/>
              <w:autoSpaceDN/>
              <w:adjustRightInd/>
              <w:spacing w:before="0" w:after="0" w:line="300" w:lineRule="auto"/>
              <w:ind w:left="1440"/>
              <w:jc w:val="both"/>
              <w:textAlignment w:val="auto"/>
              <w:rPr>
                <w:rFonts w:ascii="Arial" w:hAnsi="Arial" w:cs="Arial"/>
                <w:iCs/>
                <w:lang w:eastAsia="zh-CN"/>
              </w:rPr>
            </w:pPr>
            <w:r>
              <w:rPr>
                <w:rFonts w:ascii="Arial" w:hAnsi="Arial" w:cs="Arial"/>
                <w:iCs/>
                <w:lang w:eastAsia="zh-CN"/>
              </w:rPr>
              <w:t>Alt. 3: one or more UL SRS resources for positioning</w:t>
            </w:r>
          </w:p>
          <w:p>
            <w:pPr>
              <w:numPr>
                <w:ilvl w:val="0"/>
                <w:numId w:val="13"/>
              </w:numPr>
              <w:overflowPunct/>
              <w:autoSpaceDE/>
              <w:autoSpaceDN/>
              <w:adjustRightInd/>
              <w:spacing w:before="0" w:after="0" w:line="300" w:lineRule="auto"/>
              <w:ind w:left="720"/>
              <w:jc w:val="both"/>
              <w:textAlignment w:val="auto"/>
              <w:rPr>
                <w:rFonts w:ascii="Arial" w:hAnsi="Arial" w:cs="Arial"/>
                <w:iCs/>
                <w:lang w:eastAsia="zh-CN"/>
              </w:rPr>
            </w:pPr>
            <w:r>
              <w:rPr>
                <w:rFonts w:ascii="Arial" w:hAnsi="Arial" w:eastAsia="宋体" w:cs="Arial"/>
                <w:iCs/>
                <w:lang w:eastAsia="zh-CN"/>
              </w:rPr>
              <w:t xml:space="preserve">Note: An </w:t>
            </w:r>
            <w:r>
              <w:rPr>
                <w:rFonts w:ascii="Arial" w:hAnsi="Arial" w:eastAsia="宋体" w:cs="Arial"/>
                <w:iCs/>
                <w:color w:val="FF0000"/>
                <w:lang w:eastAsia="zh-CN"/>
              </w:rPr>
              <w:t>UE</w:t>
            </w:r>
            <w:r>
              <w:rPr>
                <w:rFonts w:ascii="Arial" w:hAnsi="Arial" w:eastAsia="宋体" w:cs="Arial"/>
                <w:iCs/>
                <w:lang w:eastAsia="zh-CN"/>
              </w:rPr>
              <w:t xml:space="preserve"> Rx TEG ID is </w:t>
            </w:r>
            <w:r>
              <w:rPr>
                <w:rFonts w:ascii="Arial" w:hAnsi="Arial" w:cs="Arial"/>
                <w:iCs/>
                <w:lang w:eastAsia="zh-CN"/>
              </w:rPr>
              <w:t>associated with one DL PRS resource (or more DL PRS resources) corresponding to the Rx time of the measurement</w:t>
            </w:r>
          </w:p>
          <w:p>
            <w:pPr>
              <w:numPr>
                <w:ilvl w:val="0"/>
                <w:numId w:val="13"/>
              </w:numPr>
              <w:overflowPunct/>
              <w:autoSpaceDE/>
              <w:autoSpaceDN/>
              <w:adjustRightInd/>
              <w:spacing w:before="0" w:after="0" w:line="300" w:lineRule="auto"/>
              <w:ind w:left="720"/>
              <w:jc w:val="both"/>
              <w:textAlignment w:val="auto"/>
              <w:rPr>
                <w:rFonts w:ascii="Arial" w:hAnsi="Arial" w:eastAsia="Times New Roman" w:cs="Arial"/>
                <w:iCs/>
                <w:lang w:eastAsia="zh-CN"/>
              </w:rPr>
            </w:pPr>
            <w:r>
              <w:rPr>
                <w:rFonts w:ascii="Arial" w:hAnsi="Arial" w:eastAsia="宋体" w:cs="Arial"/>
                <w:iC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pPr>
              <w:numPr>
                <w:ilvl w:val="0"/>
                <w:numId w:val="13"/>
              </w:numPr>
              <w:overflowPunct/>
              <w:autoSpaceDE/>
              <w:autoSpaceDN/>
              <w:adjustRightInd/>
              <w:spacing w:before="0" w:after="0" w:line="300" w:lineRule="auto"/>
              <w:ind w:left="720"/>
              <w:jc w:val="both"/>
              <w:textAlignment w:val="auto"/>
              <w:rPr>
                <w:rFonts w:ascii="Arial" w:hAnsi="Arial" w:eastAsia="Times New Roman" w:cs="Arial"/>
                <w:iCs/>
                <w:lang w:eastAsia="zh-CN"/>
              </w:rPr>
            </w:pPr>
            <w:r>
              <w:rPr>
                <w:rFonts w:ascii="Arial" w:hAnsi="Arial" w:eastAsia="宋体" w:cs="Arial"/>
                <w:iCs/>
                <w:lang w:eastAsia="zh-CN"/>
              </w:rPr>
              <w:t>FFS: The potential impact and modification on the definition of Rx-Tx time difference measurements</w:t>
            </w:r>
          </w:p>
          <w:p>
            <w:pPr>
              <w:adjustRightInd/>
              <w:spacing w:before="120" w:beforeLines="50" w:after="0" w:line="300" w:lineRule="auto"/>
              <w:jc w:val="both"/>
              <w:rPr>
                <w:rFonts w:ascii="Arial" w:hAnsi="Arial" w:cs="Arial"/>
                <w:iCs/>
              </w:rPr>
            </w:pPr>
            <w:r>
              <w:rPr>
                <w:rFonts w:ascii="Arial" w:hAnsi="Arial" w:cs="Arial"/>
                <w:iCs/>
                <w:highlight w:val="green"/>
              </w:rPr>
              <w:t>Agreement:</w:t>
            </w:r>
          </w:p>
          <w:p>
            <w:pPr>
              <w:pStyle w:val="124"/>
              <w:numPr>
                <w:ilvl w:val="0"/>
                <w:numId w:val="12"/>
              </w:numPr>
              <w:spacing w:before="0" w:line="300" w:lineRule="auto"/>
              <w:jc w:val="both"/>
              <w:rPr>
                <w:rFonts w:ascii="Arial" w:hAnsi="Arial" w:eastAsia="宋体" w:cs="Arial"/>
                <w:bCs/>
                <w:iCs/>
                <w:sz w:val="20"/>
                <w:szCs w:val="20"/>
                <w:lang w:eastAsia="zh-CN"/>
              </w:rPr>
            </w:pPr>
            <w:r>
              <w:rPr>
                <w:rFonts w:ascii="Arial" w:hAnsi="Arial" w:eastAsia="宋体" w:cs="Arial"/>
                <w:iCs/>
                <w:sz w:val="20"/>
                <w:szCs w:val="20"/>
                <w:lang w:eastAsia="zh-CN"/>
              </w:rPr>
              <w:t xml:space="preserve">Subject to UE capability, support the LMF to </w:t>
            </w:r>
            <w:r>
              <w:rPr>
                <w:rFonts w:ascii="Arial" w:hAnsi="Arial" w:eastAsia="宋体" w:cs="Arial"/>
                <w:bCs/>
                <w:iCs/>
                <w:sz w:val="20"/>
                <w:szCs w:val="20"/>
                <w:lang w:eastAsia="zh-CN"/>
              </w:rPr>
              <w:t>request a UE to optionally measure the same DL PRS resource of a TRP with N different UE Rx TEGs and report the corresponding multiple RSTD measurements.</w:t>
            </w:r>
          </w:p>
          <w:p>
            <w:pPr>
              <w:pStyle w:val="124"/>
              <w:numPr>
                <w:ilvl w:val="1"/>
                <w:numId w:val="12"/>
              </w:numPr>
              <w:spacing w:before="0" w:line="300" w:lineRule="auto"/>
              <w:jc w:val="both"/>
              <w:rPr>
                <w:rFonts w:ascii="Arial" w:hAnsi="Arial" w:eastAsia="宋体" w:cs="Arial"/>
                <w:bCs/>
                <w:iCs/>
                <w:sz w:val="20"/>
                <w:szCs w:val="20"/>
                <w:lang w:eastAsia="zh-CN"/>
              </w:rPr>
            </w:pPr>
            <w:r>
              <w:rPr>
                <w:rFonts w:ascii="Arial" w:hAnsi="Arial" w:eastAsia="宋体" w:cs="Arial"/>
                <w:bCs/>
                <w:iCs/>
                <w:sz w:val="20"/>
                <w:szCs w:val="20"/>
                <w:lang w:eastAsia="zh-CN"/>
              </w:rPr>
              <w:t>FFS: N=[2, 3, 4] or other values, where the maximum value of N depends on UE capability.</w:t>
            </w:r>
          </w:p>
          <w:p>
            <w:pPr>
              <w:pStyle w:val="124"/>
              <w:numPr>
                <w:ilvl w:val="1"/>
                <w:numId w:val="12"/>
              </w:numPr>
              <w:spacing w:before="0" w:line="300" w:lineRule="auto"/>
              <w:jc w:val="both"/>
              <w:rPr>
                <w:rFonts w:ascii="Arial" w:hAnsi="Arial" w:eastAsia="宋体" w:cs="Arial"/>
                <w:bCs/>
                <w:iCs/>
                <w:sz w:val="20"/>
                <w:szCs w:val="20"/>
                <w:lang w:eastAsia="zh-CN"/>
              </w:rPr>
            </w:pPr>
            <w:r>
              <w:rPr>
                <w:rFonts w:ascii="Arial" w:hAnsi="Arial" w:eastAsia="宋体" w:cs="Arial"/>
                <w:bCs/>
                <w:iCs/>
                <w:sz w:val="20"/>
                <w:szCs w:val="20"/>
                <w:lang w:eastAsia="zh-CN"/>
              </w:rPr>
              <w:t>FFS: whether the TRP can be either a “RSTD” reference TRP or a neighbor TRP</w:t>
            </w:r>
          </w:p>
          <w:p>
            <w:pPr>
              <w:pStyle w:val="124"/>
              <w:numPr>
                <w:ilvl w:val="1"/>
                <w:numId w:val="12"/>
              </w:numPr>
              <w:spacing w:before="0" w:line="300" w:lineRule="auto"/>
              <w:jc w:val="both"/>
              <w:rPr>
                <w:rFonts w:ascii="Arial" w:hAnsi="Arial" w:eastAsia="宋体" w:cs="Arial"/>
                <w:bCs/>
                <w:iCs/>
                <w:sz w:val="20"/>
                <w:szCs w:val="20"/>
                <w:lang w:eastAsia="zh-CN"/>
              </w:rPr>
            </w:pPr>
            <w:r>
              <w:rPr>
                <w:rFonts w:ascii="Arial" w:hAnsi="Arial" w:eastAsia="宋体" w:cs="Arial"/>
                <w:bCs/>
                <w:iCs/>
                <w:sz w:val="20"/>
                <w:szCs w:val="20"/>
                <w:lang w:eastAsia="zh-CN"/>
              </w:rPr>
              <w:t>FFS: details of the signalling, procedures, and UE capability</w:t>
            </w:r>
          </w:p>
          <w:p>
            <w:pPr>
              <w:pStyle w:val="124"/>
              <w:numPr>
                <w:ilvl w:val="1"/>
                <w:numId w:val="12"/>
              </w:numPr>
              <w:spacing w:before="0" w:line="300" w:lineRule="auto"/>
              <w:jc w:val="both"/>
              <w:rPr>
                <w:rFonts w:ascii="Arial" w:hAnsi="Arial" w:eastAsia="宋体" w:cs="Arial"/>
                <w:bCs/>
                <w:iCs/>
                <w:sz w:val="20"/>
                <w:szCs w:val="20"/>
                <w:lang w:eastAsia="zh-CN"/>
              </w:rPr>
            </w:pPr>
            <w:r>
              <w:rPr>
                <w:rFonts w:ascii="Arial" w:hAnsi="Arial" w:eastAsia="宋体" w:cs="Arial"/>
                <w:bCs/>
                <w:iCs/>
                <w:sz w:val="20"/>
                <w:szCs w:val="20"/>
                <w:lang w:eastAsia="zh-CN"/>
              </w:rPr>
              <w:t>FFS: The multiple RSTD measurements can share the same time stamp</w:t>
            </w:r>
          </w:p>
          <w:p>
            <w:pPr>
              <w:pStyle w:val="124"/>
              <w:numPr>
                <w:ilvl w:val="1"/>
                <w:numId w:val="12"/>
              </w:numPr>
              <w:spacing w:before="0" w:line="300" w:lineRule="auto"/>
              <w:jc w:val="both"/>
              <w:rPr>
                <w:rFonts w:ascii="Arial" w:hAnsi="Arial" w:eastAsia="宋体" w:cs="Arial"/>
                <w:bCs/>
                <w:iCs/>
                <w:sz w:val="20"/>
                <w:szCs w:val="20"/>
                <w:lang w:eastAsia="zh-CN"/>
              </w:rPr>
            </w:pPr>
            <w:r>
              <w:rPr>
                <w:rFonts w:ascii="Arial" w:hAnsi="Arial" w:eastAsia="宋体" w:cs="Arial"/>
                <w:bCs/>
                <w:iCs/>
                <w:sz w:val="20"/>
                <w:szCs w:val="20"/>
                <w:lang w:eastAsia="zh-CN"/>
              </w:rPr>
              <w:t>Note: All RSTD measurements are relative to a single reference timing</w:t>
            </w:r>
          </w:p>
          <w:p>
            <w:pPr>
              <w:pStyle w:val="124"/>
              <w:numPr>
                <w:ilvl w:val="0"/>
                <w:numId w:val="12"/>
              </w:numPr>
              <w:spacing w:before="0" w:line="300" w:lineRule="auto"/>
              <w:jc w:val="both"/>
              <w:rPr>
                <w:rFonts w:ascii="Arial" w:hAnsi="Arial" w:eastAsia="宋体" w:cs="Arial"/>
                <w:bCs/>
                <w:iCs/>
                <w:sz w:val="20"/>
                <w:szCs w:val="20"/>
                <w:lang w:eastAsia="zh-CN"/>
              </w:rPr>
            </w:pPr>
            <w:r>
              <w:rPr>
                <w:rFonts w:ascii="Arial" w:hAnsi="Arial" w:eastAsia="宋体" w:cs="Arial"/>
                <w:bCs/>
                <w:iCs/>
                <w:sz w:val="20"/>
                <w:szCs w:val="20"/>
                <w:lang w:eastAsia="zh-CN"/>
              </w:rPr>
              <w:t>Support the LMF to request a TRP to optionally measure the same SRS resource of a UE with M different TRP Rx TEGs and report the corresponding multiple RTOA measurements</w:t>
            </w:r>
            <w:r>
              <w:rPr>
                <w:rFonts w:ascii="Arial" w:hAnsi="Arial" w:cs="Arial"/>
                <w:bCs/>
                <w:iCs/>
                <w:sz w:val="20"/>
                <w:szCs w:val="20"/>
              </w:rPr>
              <w:t>.</w:t>
            </w:r>
          </w:p>
          <w:p>
            <w:pPr>
              <w:pStyle w:val="124"/>
              <w:numPr>
                <w:ilvl w:val="1"/>
                <w:numId w:val="12"/>
              </w:numPr>
              <w:spacing w:before="0" w:line="300" w:lineRule="auto"/>
              <w:jc w:val="both"/>
              <w:rPr>
                <w:rFonts w:ascii="Arial" w:hAnsi="Arial" w:eastAsia="宋体" w:cs="Arial"/>
                <w:bCs/>
                <w:iCs/>
                <w:sz w:val="20"/>
                <w:szCs w:val="20"/>
                <w:lang w:eastAsia="zh-CN"/>
              </w:rPr>
            </w:pPr>
            <w:r>
              <w:rPr>
                <w:rFonts w:ascii="Arial" w:hAnsi="Arial" w:eastAsia="宋体" w:cs="Arial"/>
                <w:bCs/>
                <w:iCs/>
                <w:sz w:val="20"/>
                <w:szCs w:val="20"/>
                <w:lang w:eastAsia="zh-CN"/>
              </w:rPr>
              <w:t>FFS: M = [2, 3, 4] or other values</w:t>
            </w:r>
          </w:p>
          <w:p>
            <w:pPr>
              <w:pStyle w:val="124"/>
              <w:numPr>
                <w:ilvl w:val="1"/>
                <w:numId w:val="12"/>
              </w:numPr>
              <w:spacing w:before="0" w:line="300" w:lineRule="auto"/>
              <w:jc w:val="both"/>
              <w:rPr>
                <w:rFonts w:ascii="Arial" w:hAnsi="Arial" w:eastAsia="宋体" w:cs="Arial"/>
                <w:bCs/>
                <w:iCs/>
                <w:sz w:val="20"/>
                <w:szCs w:val="20"/>
                <w:lang w:eastAsia="zh-CN"/>
              </w:rPr>
            </w:pPr>
            <w:r>
              <w:rPr>
                <w:rFonts w:ascii="Arial" w:hAnsi="Arial" w:eastAsia="宋体" w:cs="Arial"/>
                <w:bCs/>
                <w:iCs/>
                <w:sz w:val="20"/>
                <w:szCs w:val="20"/>
                <w:lang w:eastAsia="zh-CN"/>
              </w:rPr>
              <w:t>FFS: details of the signalling, procedures</w:t>
            </w:r>
          </w:p>
          <w:p>
            <w:pPr>
              <w:pStyle w:val="124"/>
              <w:numPr>
                <w:ilvl w:val="1"/>
                <w:numId w:val="12"/>
              </w:numPr>
              <w:spacing w:before="0" w:line="300" w:lineRule="auto"/>
              <w:jc w:val="both"/>
              <w:rPr>
                <w:rFonts w:ascii="Arial" w:hAnsi="Arial" w:eastAsia="宋体" w:cs="Arial"/>
                <w:bCs/>
                <w:iCs/>
                <w:sz w:val="20"/>
                <w:szCs w:val="20"/>
                <w:lang w:eastAsia="zh-CN"/>
              </w:rPr>
            </w:pPr>
            <w:r>
              <w:rPr>
                <w:rFonts w:ascii="Arial" w:hAnsi="Arial" w:eastAsia="宋体" w:cs="Arial"/>
                <w:bCs/>
                <w:iCs/>
                <w:sz w:val="20"/>
                <w:szCs w:val="20"/>
                <w:lang w:eastAsia="zh-CN"/>
              </w:rPr>
              <w:t>FFS: The multiple RTOA measurements can share the same time stamp</w:t>
            </w:r>
          </w:p>
          <w:p>
            <w:pPr>
              <w:adjustRightInd/>
              <w:spacing w:before="120" w:beforeLines="50" w:after="0" w:line="300" w:lineRule="auto"/>
              <w:jc w:val="both"/>
              <w:rPr>
                <w:rFonts w:ascii="Arial" w:hAnsi="Arial" w:cs="Arial"/>
                <w:iCs/>
              </w:rPr>
            </w:pPr>
            <w:r>
              <w:rPr>
                <w:rFonts w:ascii="Arial" w:hAnsi="Arial" w:cs="Arial"/>
                <w:iCs/>
                <w:highlight w:val="green"/>
              </w:rPr>
              <w:t>Agreement:</w:t>
            </w:r>
          </w:p>
          <w:p>
            <w:pPr>
              <w:pStyle w:val="124"/>
              <w:numPr>
                <w:ilvl w:val="0"/>
                <w:numId w:val="14"/>
              </w:numPr>
              <w:spacing w:before="0" w:line="300" w:lineRule="auto"/>
              <w:jc w:val="both"/>
              <w:rPr>
                <w:rFonts w:ascii="Arial" w:hAnsi="Arial" w:eastAsia="宋体" w:cs="Arial"/>
                <w:sz w:val="20"/>
                <w:szCs w:val="20"/>
                <w:lang w:eastAsia="zh-CN"/>
              </w:rPr>
            </w:pPr>
            <w:r>
              <w:rPr>
                <w:rFonts w:ascii="Arial" w:hAnsi="Arial" w:cs="Arial"/>
                <w:sz w:val="20"/>
                <w:szCs w:val="20"/>
              </w:rPr>
              <w:t xml:space="preserve">Consider supporting one of the following alternatives related to </w:t>
            </w:r>
            <w:r>
              <w:rPr>
                <w:rFonts w:ascii="Arial" w:hAnsi="Arial" w:eastAsia="宋体" w:cs="Arial"/>
                <w:sz w:val="20"/>
                <w:szCs w:val="20"/>
                <w:lang w:eastAsia="zh-CN"/>
              </w:rPr>
              <w:t>the UE Rx-Tx time difference (decision to be made in RAN1#106b):</w:t>
            </w:r>
          </w:p>
          <w:p>
            <w:pPr>
              <w:pStyle w:val="124"/>
              <w:numPr>
                <w:ilvl w:val="1"/>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 xml:space="preserve">Option 1: </w:t>
            </w:r>
          </w:p>
          <w:p>
            <w:pPr>
              <w:pStyle w:val="124"/>
              <w:numPr>
                <w:ilvl w:val="2"/>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Subject to UE capability, the UE may report an additional UL Timestamp associated to a UE Rx-Tx measurement, corresponding to the timing of the uplink subframe of a positioning SRS.</w:t>
            </w:r>
          </w:p>
          <w:p>
            <w:pPr>
              <w:pStyle w:val="124"/>
              <w:numPr>
                <w:ilvl w:val="2"/>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 xml:space="preserve">Add the following to the UE Rx-Tx time difference definition (similar to the definition for HD-FDD UE in TS 36.214): </w:t>
            </w:r>
          </w:p>
          <w:p>
            <w:pPr>
              <w:pStyle w:val="124"/>
              <w:numPr>
                <w:ilvl w:val="3"/>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pPr>
              <w:pStyle w:val="124"/>
              <w:numPr>
                <w:ilvl w:val="1"/>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 xml:space="preserve">Option 2: </w:t>
            </w:r>
          </w:p>
          <w:p>
            <w:pPr>
              <w:pStyle w:val="124"/>
              <w:numPr>
                <w:ilvl w:val="2"/>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Subject to a UE capability, a UE may optionally report Timing Adjustment (TA) change information</w:t>
            </w:r>
          </w:p>
          <w:p>
            <w:pPr>
              <w:pStyle w:val="124"/>
              <w:numPr>
                <w:ilvl w:val="3"/>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Option 3A: The TA change information is included in the UE Tx TEG report</w:t>
            </w:r>
          </w:p>
          <w:p>
            <w:pPr>
              <w:pStyle w:val="124"/>
              <w:numPr>
                <w:ilvl w:val="3"/>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Option 3B: The TA change information is included in the Rx-Tx measurement report</w:t>
            </w:r>
          </w:p>
          <w:p>
            <w:pPr>
              <w:pStyle w:val="124"/>
              <w:numPr>
                <w:ilvl w:val="3"/>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Note: TA change information corresponds to: Tx Timing change with a timestamp that this change occurred.</w:t>
            </w:r>
          </w:p>
          <w:p>
            <w:pPr>
              <w:pStyle w:val="124"/>
              <w:numPr>
                <w:ilvl w:val="1"/>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 xml:space="preserve">Option 3: </w:t>
            </w:r>
          </w:p>
          <w:p>
            <w:pPr>
              <w:pStyle w:val="124"/>
              <w:numPr>
                <w:ilvl w:val="2"/>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Subject to UE capability, the UE may report an additional UL Timestamp associated to a UE Rx-Tx measurement, corresponding to the timing of the uplink subframe of a positioning SRS.</w:t>
            </w:r>
          </w:p>
          <w:p>
            <w:pPr>
              <w:pStyle w:val="124"/>
              <w:numPr>
                <w:ilvl w:val="2"/>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 xml:space="preserve">Add the following to the UE Rx-Tx time difference definition (similar to the definition for HD-FDD UE in TS 36.214): </w:t>
            </w:r>
          </w:p>
          <w:p>
            <w:pPr>
              <w:pStyle w:val="124"/>
              <w:numPr>
                <w:ilvl w:val="3"/>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rFonts w:ascii="Arial" w:hAnsi="Arial" w:eastAsia="宋体" w:cs="Arial"/>
                <w:color w:val="000000"/>
                <w:sz w:val="20"/>
                <w:szCs w:val="20"/>
                <w:lang w:eastAsia="zh-CN"/>
              </w:rPr>
              <w:t xml:space="preserve"> within the report</w:t>
            </w:r>
          </w:p>
          <w:p>
            <w:pPr>
              <w:pStyle w:val="124"/>
              <w:numPr>
                <w:ilvl w:val="1"/>
                <w:numId w:val="14"/>
              </w:numPr>
              <w:spacing w:before="0" w:line="300" w:lineRule="auto"/>
              <w:jc w:val="both"/>
              <w:rPr>
                <w:rFonts w:ascii="Arial" w:hAnsi="Arial" w:eastAsia="宋体" w:cs="Arial"/>
                <w:sz w:val="20"/>
                <w:szCs w:val="20"/>
                <w:lang w:eastAsia="zh-CN"/>
              </w:rPr>
            </w:pPr>
            <w:r>
              <w:rPr>
                <w:rFonts w:ascii="Arial" w:hAnsi="Arial" w:eastAsia="宋体" w:cs="Arial"/>
                <w:sz w:val="20"/>
                <w:szCs w:val="20"/>
                <w:lang w:eastAsia="zh-CN"/>
              </w:rPr>
              <w:t xml:space="preserve">Other options are not precluded. </w:t>
            </w:r>
          </w:p>
          <w:p>
            <w:pPr>
              <w:adjustRightInd/>
              <w:spacing w:before="120" w:beforeLines="50" w:after="0" w:line="300" w:lineRule="auto"/>
              <w:jc w:val="both"/>
              <w:rPr>
                <w:rFonts w:ascii="Arial" w:hAnsi="Arial" w:cs="Arial"/>
                <w:iCs/>
              </w:rPr>
            </w:pPr>
            <w:r>
              <w:rPr>
                <w:rFonts w:ascii="Arial" w:hAnsi="Arial" w:cs="Arial"/>
                <w:iCs/>
                <w:highlight w:val="green"/>
              </w:rPr>
              <w:t>Agreement:</w:t>
            </w:r>
          </w:p>
          <w:p>
            <w:pPr>
              <w:adjustRightInd/>
              <w:spacing w:before="0" w:after="0" w:line="300" w:lineRule="auto"/>
              <w:jc w:val="both"/>
              <w:rPr>
                <w:rFonts w:ascii="Arial" w:hAnsi="Arial" w:cs="Arial"/>
                <w:iCs/>
              </w:rPr>
            </w:pPr>
            <w:r>
              <w:rPr>
                <w:rFonts w:ascii="Arial" w:hAnsi="Arial" w:cs="Arial"/>
                <w:iCs/>
              </w:rPr>
              <w:t>Consider the following options (both could be selected) until RAN1#106b-e</w:t>
            </w:r>
          </w:p>
          <w:p>
            <w:pPr>
              <w:pStyle w:val="124"/>
              <w:numPr>
                <w:ilvl w:val="0"/>
                <w:numId w:val="13"/>
              </w:numPr>
              <w:spacing w:before="0" w:line="300" w:lineRule="auto"/>
              <w:ind w:left="720"/>
              <w:jc w:val="both"/>
              <w:rPr>
                <w:rFonts w:ascii="Arial" w:hAnsi="Arial" w:eastAsia="宋体" w:cs="Arial"/>
                <w:iCs/>
                <w:sz w:val="20"/>
                <w:szCs w:val="20"/>
                <w:lang w:eastAsia="zh-CN"/>
              </w:rPr>
            </w:pPr>
            <w:r>
              <w:rPr>
                <w:rFonts w:ascii="Arial" w:hAnsi="Arial" w:eastAsia="宋体" w:cs="Arial"/>
                <w:iCs/>
                <w:sz w:val="20"/>
                <w:szCs w:val="20"/>
                <w:lang w:eastAsia="zh-CN"/>
              </w:rPr>
              <w:t xml:space="preserve">Option 1: Support LMF to optionally indicate the measurement time window (MTW) for a UE for the measurement instances included in a measurement report. </w:t>
            </w:r>
          </w:p>
          <w:p>
            <w:pPr>
              <w:pStyle w:val="124"/>
              <w:numPr>
                <w:ilvl w:val="0"/>
                <w:numId w:val="13"/>
              </w:numPr>
              <w:spacing w:before="0" w:line="300" w:lineRule="auto"/>
              <w:ind w:left="720"/>
              <w:jc w:val="both"/>
              <w:rPr>
                <w:rFonts w:ascii="Arial" w:hAnsi="Arial" w:eastAsia="宋体" w:cs="Arial"/>
                <w:iCs/>
                <w:sz w:val="20"/>
                <w:szCs w:val="20"/>
                <w:lang w:eastAsia="zh-CN"/>
              </w:rPr>
            </w:pPr>
            <w:r>
              <w:rPr>
                <w:rFonts w:ascii="Arial" w:hAnsi="Arial" w:eastAsia="宋体" w:cs="Arial"/>
                <w:iCs/>
                <w:sz w:val="20"/>
                <w:szCs w:val="20"/>
                <w:lang w:eastAsia="zh-CN"/>
              </w:rPr>
              <w:t>Option 2: Support LMF to optionally indicate the measurement time window for a gNB for the measurement instances included in a measurement report.</w:t>
            </w:r>
          </w:p>
          <w:p>
            <w:pPr>
              <w:pStyle w:val="124"/>
              <w:numPr>
                <w:ilvl w:val="0"/>
                <w:numId w:val="13"/>
              </w:numPr>
              <w:spacing w:before="0" w:line="300" w:lineRule="auto"/>
              <w:ind w:left="720"/>
              <w:jc w:val="both"/>
              <w:rPr>
                <w:rFonts w:ascii="Arial" w:hAnsi="Arial" w:eastAsia="宋体" w:cs="Arial"/>
                <w:iCs/>
                <w:sz w:val="20"/>
                <w:szCs w:val="20"/>
                <w:lang w:eastAsia="zh-CN"/>
              </w:rPr>
            </w:pPr>
            <w:r>
              <w:rPr>
                <w:rFonts w:ascii="Arial" w:hAnsi="Arial" w:eastAsia="宋体" w:cs="Arial"/>
                <w:iCs/>
                <w:sz w:val="20"/>
                <w:szCs w:val="20"/>
                <w:lang w:eastAsia="zh-CN"/>
              </w:rPr>
              <w:t>FFS: the details of the MTW configuration.</w:t>
            </w:r>
          </w:p>
          <w:p>
            <w:pPr>
              <w:pStyle w:val="124"/>
              <w:numPr>
                <w:ilvl w:val="0"/>
                <w:numId w:val="13"/>
              </w:numPr>
              <w:spacing w:before="0" w:line="300" w:lineRule="auto"/>
              <w:ind w:left="720"/>
              <w:jc w:val="both"/>
              <w:rPr>
                <w:rFonts w:ascii="Arial" w:hAnsi="Arial" w:eastAsia="宋体" w:cs="Arial"/>
                <w:iCs/>
                <w:sz w:val="20"/>
                <w:szCs w:val="20"/>
                <w:lang w:eastAsia="zh-CN"/>
              </w:rPr>
            </w:pPr>
            <w:r>
              <w:rPr>
                <w:rFonts w:ascii="Arial" w:hAnsi="Arial" w:eastAsia="宋体" w:cs="Arial"/>
                <w:iCs/>
                <w:sz w:val="20"/>
                <w:szCs w:val="20"/>
                <w:lang w:eastAsia="zh-CN"/>
              </w:rPr>
              <w:t>Any requirements can be discussed by RAN4 after decision on the options is made.</w:t>
            </w:r>
          </w:p>
          <w:p>
            <w:pPr>
              <w:adjustRightInd/>
              <w:spacing w:before="120" w:beforeLines="50" w:after="0" w:line="300" w:lineRule="auto"/>
              <w:jc w:val="both"/>
              <w:rPr>
                <w:rFonts w:ascii="Arial" w:hAnsi="Arial" w:cs="Arial"/>
                <w:iCs/>
              </w:rPr>
            </w:pPr>
            <w:r>
              <w:rPr>
                <w:rFonts w:ascii="Arial" w:hAnsi="Arial" w:cs="Arial"/>
                <w:iCs/>
                <w:highlight w:val="green"/>
              </w:rPr>
              <w:t>Agreement:</w:t>
            </w:r>
          </w:p>
          <w:p>
            <w:pPr>
              <w:numPr>
                <w:ilvl w:val="0"/>
                <w:numId w:val="13"/>
              </w:numPr>
              <w:overflowPunct/>
              <w:autoSpaceDE/>
              <w:autoSpaceDN/>
              <w:adjustRightInd/>
              <w:spacing w:before="0" w:after="0" w:line="300" w:lineRule="auto"/>
              <w:ind w:left="720"/>
              <w:jc w:val="both"/>
              <w:textAlignment w:val="auto"/>
              <w:rPr>
                <w:rFonts w:ascii="Arial" w:hAnsi="Arial" w:eastAsia="宋体" w:cs="Arial"/>
                <w:iCs/>
                <w:color w:val="000000"/>
                <w:lang w:eastAsia="zh-CN"/>
              </w:rPr>
            </w:pPr>
            <w:r>
              <w:rPr>
                <w:rFonts w:ascii="Arial" w:hAnsi="Arial" w:cs="Arial"/>
                <w:iCs/>
                <w:color w:val="000000"/>
                <w:lang w:eastAsia="zh-CN"/>
              </w:rPr>
              <w:t xml:space="preserve">If a </w:t>
            </w:r>
            <w:r>
              <w:rPr>
                <w:rFonts w:ascii="Arial" w:hAnsi="Arial" w:eastAsia="宋体" w:cs="Arial"/>
                <w:iCs/>
                <w:color w:val="000000"/>
                <w:lang w:eastAsia="zh-CN"/>
              </w:rPr>
              <w:t xml:space="preserve">Tx TEG ID is reported with a UE Rx-Tx time difference measurement, the UE should also report the association of the Tx TEG ID to </w:t>
            </w:r>
            <w:r>
              <w:rPr>
                <w:rFonts w:ascii="Arial" w:hAnsi="Arial" w:cs="Arial"/>
                <w:iCs/>
                <w:color w:val="000000"/>
                <w:lang w:eastAsia="zh-CN"/>
              </w:rPr>
              <w:t xml:space="preserve">the </w:t>
            </w:r>
            <w:r>
              <w:rPr>
                <w:rFonts w:ascii="Arial" w:hAnsi="Arial" w:cs="Arial"/>
                <w:iCs/>
                <w:lang w:eastAsia="zh-CN"/>
              </w:rPr>
              <w:t>UL SRS resource(s)</w:t>
            </w:r>
          </w:p>
          <w:p>
            <w:pPr>
              <w:numPr>
                <w:ilvl w:val="1"/>
                <w:numId w:val="13"/>
              </w:numPr>
              <w:overflowPunct/>
              <w:autoSpaceDE/>
              <w:autoSpaceDN/>
              <w:adjustRightInd/>
              <w:spacing w:before="0" w:after="0" w:line="300" w:lineRule="auto"/>
              <w:ind w:left="1440"/>
              <w:jc w:val="both"/>
              <w:textAlignment w:val="auto"/>
              <w:rPr>
                <w:rFonts w:ascii="Arial" w:hAnsi="Arial" w:eastAsia="宋体" w:cs="Arial"/>
                <w:iCs/>
                <w:lang w:eastAsia="zh-CN"/>
              </w:rPr>
            </w:pPr>
            <w:r>
              <w:rPr>
                <w:rFonts w:ascii="Arial" w:hAnsi="Arial" w:eastAsia="宋体" w:cs="Arial"/>
                <w:iCs/>
                <w:lang w:eastAsia="zh-CN"/>
              </w:rPr>
              <w:t xml:space="preserve">FFS: how the the association of the Tx TEG ID to </w:t>
            </w:r>
            <w:r>
              <w:rPr>
                <w:rFonts w:ascii="Arial" w:hAnsi="Arial" w:cs="Arial"/>
                <w:iCs/>
                <w:lang w:eastAsia="zh-CN"/>
              </w:rPr>
              <w:t>the UL SRS resource(s) is determined by UE.</w:t>
            </w:r>
          </w:p>
          <w:p>
            <w:pPr>
              <w:numPr>
                <w:ilvl w:val="1"/>
                <w:numId w:val="13"/>
              </w:numPr>
              <w:overflowPunct/>
              <w:autoSpaceDE/>
              <w:autoSpaceDN/>
              <w:adjustRightInd/>
              <w:spacing w:before="0" w:after="0" w:line="300" w:lineRule="auto"/>
              <w:ind w:left="1440"/>
              <w:jc w:val="both"/>
              <w:textAlignment w:val="auto"/>
              <w:rPr>
                <w:rFonts w:ascii="Arial" w:hAnsi="Arial" w:eastAsia="宋体" w:cs="Arial"/>
                <w:iCs/>
                <w:lang w:eastAsia="zh-CN"/>
              </w:rPr>
            </w:pPr>
            <w:r>
              <w:rPr>
                <w:rFonts w:ascii="Arial" w:hAnsi="Arial" w:eastAsia="宋体" w:cs="Arial"/>
                <w:iCs/>
                <w:lang w:eastAsia="zh-CN"/>
              </w:rPr>
              <w:t>FFS: details of the signalling</w:t>
            </w:r>
          </w:p>
          <w:p>
            <w:pPr>
              <w:adjustRightInd/>
              <w:spacing w:before="120" w:beforeLines="50" w:after="0" w:line="300" w:lineRule="auto"/>
              <w:jc w:val="both"/>
              <w:rPr>
                <w:rFonts w:ascii="Arial" w:hAnsi="Arial" w:cs="Arial"/>
                <w:iCs/>
              </w:rPr>
            </w:pPr>
            <w:r>
              <w:rPr>
                <w:rFonts w:ascii="Arial" w:hAnsi="Arial" w:cs="Arial"/>
                <w:iCs/>
                <w:highlight w:val="green"/>
              </w:rPr>
              <w:t>Agreement:</w:t>
            </w:r>
          </w:p>
          <w:p>
            <w:pPr>
              <w:adjustRightInd/>
              <w:spacing w:before="0" w:after="0" w:line="300" w:lineRule="auto"/>
              <w:jc w:val="both"/>
              <w:rPr>
                <w:rFonts w:ascii="Arial" w:hAnsi="Arial" w:cs="Arial"/>
                <w:lang w:eastAsia="zh-CN"/>
              </w:rPr>
            </w:pPr>
            <w:r>
              <w:rPr>
                <w:rFonts w:ascii="Arial" w:hAnsi="Arial" w:cs="Arial"/>
                <w:iCs/>
                <w:color w:val="000000"/>
                <w:lang w:eastAsia="zh-CN"/>
              </w:rPr>
              <w:t>If a Rx</w:t>
            </w:r>
            <w:r>
              <w:rPr>
                <w:rFonts w:ascii="Arial" w:hAnsi="Arial" w:eastAsia="宋体" w:cs="Arial"/>
                <w:iCs/>
                <w:color w:val="000000"/>
                <w:lang w:eastAsia="zh-CN"/>
              </w:rPr>
              <w:t>Tx TEG ID is reported with a UE Rx-Tx time difference measurement, the UE may optionally also report a Tx TEG ID.</w:t>
            </w:r>
          </w:p>
        </w:tc>
      </w:tr>
    </w:tbl>
    <w:p>
      <w:pPr>
        <w:spacing w:before="120" w:beforeLines="50" w:after="0" w:line="288" w:lineRule="auto"/>
        <w:jc w:val="both"/>
        <w:rPr>
          <w:rFonts w:ascii="Arial" w:hAnsi="Arial" w:cs="Arial"/>
          <w:lang w:eastAsia="zh-CN"/>
        </w:rPr>
      </w:pPr>
      <w:r>
        <w:rPr>
          <w:rFonts w:ascii="Arial" w:hAnsi="Arial" w:cs="Arial"/>
          <w:lang w:eastAsia="zh-CN"/>
        </w:rPr>
        <w:t>In this contribution, we continually provide our views on the remaining open issues to mitigate the UE/gNB Rx/Tx timing errors to enhance the positioning accuracy.</w:t>
      </w:r>
    </w:p>
    <w:p>
      <w:pPr>
        <w:pStyle w:val="160"/>
        <w:spacing w:line="288" w:lineRule="auto"/>
        <w:ind w:left="425" w:hanging="425"/>
        <w:jc w:val="both"/>
        <w:rPr>
          <w:rFonts w:cs="Arial"/>
          <w:b/>
          <w:sz w:val="30"/>
          <w:szCs w:val="30"/>
        </w:rPr>
      </w:pPr>
      <w:r>
        <w:rPr>
          <w:rFonts w:hint="eastAsia" w:cs="Arial"/>
          <w:b/>
          <w:sz w:val="30"/>
          <w:szCs w:val="30"/>
          <w:lang w:eastAsia="zh-CN"/>
        </w:rPr>
        <w:t>M</w:t>
      </w:r>
      <w:r>
        <w:rPr>
          <w:rFonts w:cs="Arial"/>
          <w:b/>
          <w:sz w:val="30"/>
          <w:szCs w:val="30"/>
          <w:lang w:eastAsia="zh-CN"/>
        </w:rPr>
        <w:t>ethods for mitigating gNB/UE Rx/Tx timing errors</w:t>
      </w:r>
    </w:p>
    <w:p>
      <w:pPr>
        <w:spacing w:before="120" w:beforeLines="50" w:after="0" w:line="288" w:lineRule="auto"/>
        <w:jc w:val="both"/>
        <w:rPr>
          <w:rFonts w:ascii="Arial" w:hAnsi="Arial" w:cs="Arial"/>
          <w:b/>
          <w:bCs/>
          <w:i/>
          <w:iCs/>
          <w:u w:val="single"/>
          <w:lang w:eastAsia="zh-CN"/>
        </w:rPr>
      </w:pPr>
      <w:r>
        <w:rPr>
          <w:rFonts w:ascii="Arial" w:hAnsi="Arial" w:cs="Arial"/>
          <w:b/>
          <w:bCs/>
          <w:i/>
          <w:iCs/>
          <w:u w:val="single"/>
          <w:lang w:eastAsia="zh-CN"/>
        </w:rPr>
        <w:t>Mitigation of gNB/UE Rx/Tx timing errors for UL positioning</w:t>
      </w:r>
    </w:p>
    <w:p>
      <w:pPr>
        <w:spacing w:before="120" w:beforeLines="50" w:after="0" w:line="288" w:lineRule="auto"/>
        <w:jc w:val="both"/>
        <w:rPr>
          <w:rFonts w:ascii="Arial" w:hAnsi="Arial" w:cs="Arial"/>
          <w:lang w:eastAsia="zh-CN"/>
        </w:rPr>
      </w:pPr>
      <w:r>
        <w:rPr>
          <w:rFonts w:hint="eastAsia" w:ascii="Arial" w:hAnsi="Arial" w:cs="Arial"/>
          <w:lang w:eastAsia="zh-CN"/>
        </w:rPr>
        <w:t>I</w:t>
      </w:r>
      <w:r>
        <w:rPr>
          <w:rFonts w:ascii="Arial" w:hAnsi="Arial" w:cs="Arial"/>
          <w:lang w:eastAsia="zh-CN"/>
        </w:rPr>
        <w:t>n RAN1#105-e meeting, the following agreement was made on mitigating the UE Tx timing errors and/or TRP Rx timing errors for UL-TDOA:</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spacing w:before="120" w:beforeLines="50" w:after="0" w:line="288" w:lineRule="auto"/>
              <w:jc w:val="both"/>
              <w:rPr>
                <w:rFonts w:ascii="Arial" w:hAnsi="Arial" w:cs="Arial"/>
                <w:lang w:eastAsia="zh-CN"/>
              </w:rPr>
            </w:pPr>
            <w:r>
              <w:rPr>
                <w:rFonts w:ascii="Arial" w:hAnsi="Arial" w:cs="Arial"/>
                <w:highlight w:val="green"/>
                <w:lang w:eastAsia="zh-CN"/>
              </w:rPr>
              <w:t>Agreement:</w:t>
            </w:r>
          </w:p>
          <w:p>
            <w:pPr>
              <w:pStyle w:val="124"/>
              <w:numPr>
                <w:ilvl w:val="0"/>
                <w:numId w:val="15"/>
              </w:numPr>
              <w:spacing w:before="0" w:line="288" w:lineRule="auto"/>
              <w:jc w:val="both"/>
              <w:rPr>
                <w:rFonts w:ascii="Arial" w:hAnsi="Arial" w:cs="Arial"/>
                <w:sz w:val="20"/>
                <w:szCs w:val="20"/>
              </w:rPr>
            </w:pPr>
            <w:r>
              <w:rPr>
                <w:rFonts w:ascii="Arial" w:hAnsi="Arial" w:eastAsia="宋体" w:cs="Arial"/>
                <w:sz w:val="20"/>
                <w:szCs w:val="20"/>
                <w:lang w:eastAsia="zh-CN"/>
              </w:rPr>
              <w:t xml:space="preserve">For mitigating UE Tx timing errors for UL TDOA, support </w:t>
            </w:r>
            <w:r>
              <w:rPr>
                <w:rFonts w:ascii="Arial" w:hAnsi="Arial" w:cs="Arial"/>
                <w:sz w:val="20"/>
                <w:szCs w:val="20"/>
              </w:rPr>
              <w:t>one of the following options:</w:t>
            </w:r>
          </w:p>
          <w:p>
            <w:pPr>
              <w:pStyle w:val="124"/>
              <w:numPr>
                <w:ilvl w:val="1"/>
                <w:numId w:val="15"/>
              </w:numPr>
              <w:spacing w:before="0" w:line="288" w:lineRule="auto"/>
              <w:jc w:val="both"/>
              <w:rPr>
                <w:rFonts w:ascii="Arial" w:hAnsi="Arial" w:eastAsia="MS Mincho" w:cs="Arial"/>
                <w:sz w:val="20"/>
                <w:szCs w:val="20"/>
                <w:lang w:val="en-IN"/>
              </w:rPr>
            </w:pPr>
            <w:r>
              <w:rPr>
                <w:rFonts w:ascii="Arial" w:hAnsi="Arial" w:eastAsia="MS Mincho" w:cs="Arial"/>
                <w:sz w:val="20"/>
                <w:szCs w:val="20"/>
                <w:lang w:val="en-IN"/>
              </w:rPr>
              <w:t xml:space="preserve">Option 1: </w:t>
            </w:r>
          </w:p>
          <w:p>
            <w:pPr>
              <w:pStyle w:val="124"/>
              <w:numPr>
                <w:ilvl w:val="2"/>
                <w:numId w:val="15"/>
              </w:numPr>
              <w:spacing w:before="0" w:line="288" w:lineRule="auto"/>
              <w:jc w:val="both"/>
              <w:rPr>
                <w:rFonts w:ascii="Arial" w:hAnsi="Arial" w:eastAsia="MS Mincho" w:cs="Arial"/>
                <w:sz w:val="20"/>
                <w:szCs w:val="20"/>
                <w:lang w:val="en-IN"/>
              </w:rPr>
            </w:pPr>
            <w:r>
              <w:rPr>
                <w:rFonts w:ascii="Arial" w:hAnsi="Arial" w:eastAsia="MS Mincho" w:cs="Arial"/>
                <w:sz w:val="20"/>
                <w:szCs w:val="20"/>
                <w:lang w:val="en-IN"/>
              </w:rPr>
              <w:t xml:space="preserve">Subject to UE’s capability, support a UE providing the association information of UL SRS resources for positioning with Tx TEGs </w:t>
            </w:r>
            <w:r>
              <w:rPr>
                <w:rFonts w:ascii="Arial" w:hAnsi="Arial" w:eastAsia="MS Mincho" w:cs="Arial"/>
                <w:i/>
                <w:iCs/>
                <w:sz w:val="20"/>
                <w:szCs w:val="20"/>
                <w:lang w:val="en-IN"/>
              </w:rPr>
              <w:t>directly</w:t>
            </w:r>
            <w:r>
              <w:rPr>
                <w:rFonts w:ascii="Arial" w:hAnsi="Arial" w:eastAsia="MS Mincho" w:cs="Arial"/>
                <w:sz w:val="20"/>
                <w:szCs w:val="20"/>
                <w:lang w:val="en-IN"/>
              </w:rPr>
              <w:t xml:space="preserve"> to the LMF if the UE has multiple Tx TEGs. </w:t>
            </w:r>
          </w:p>
          <w:p>
            <w:pPr>
              <w:pStyle w:val="124"/>
              <w:numPr>
                <w:ilvl w:val="2"/>
                <w:numId w:val="15"/>
              </w:numPr>
              <w:spacing w:before="0" w:line="288" w:lineRule="auto"/>
              <w:jc w:val="both"/>
              <w:rPr>
                <w:rFonts w:ascii="Arial" w:hAnsi="Arial" w:eastAsia="MS Mincho" w:cs="Arial"/>
                <w:sz w:val="20"/>
                <w:szCs w:val="20"/>
                <w:lang w:val="en-IN"/>
              </w:rPr>
            </w:pPr>
            <w:r>
              <w:rPr>
                <w:rFonts w:ascii="Arial" w:hAnsi="Arial" w:eastAsia="MS Mincho" w:cs="Arial"/>
                <w:sz w:val="20"/>
                <w:szCs w:val="20"/>
                <w:lang w:val="en-IN"/>
              </w:rPr>
              <w:t>FFS: Support LMF to forward the association information provided by the UE to the serving and neighboring gNBs</w:t>
            </w:r>
          </w:p>
          <w:p>
            <w:pPr>
              <w:pStyle w:val="124"/>
              <w:numPr>
                <w:ilvl w:val="1"/>
                <w:numId w:val="15"/>
              </w:numPr>
              <w:spacing w:before="0" w:line="288" w:lineRule="auto"/>
              <w:jc w:val="both"/>
              <w:rPr>
                <w:rFonts w:ascii="Arial" w:hAnsi="Arial" w:eastAsia="MS Mincho" w:cs="Arial"/>
                <w:sz w:val="20"/>
                <w:szCs w:val="20"/>
                <w:lang w:val="en-IN"/>
              </w:rPr>
            </w:pPr>
            <w:r>
              <w:rPr>
                <w:rFonts w:ascii="Arial" w:hAnsi="Arial" w:eastAsia="MS Mincho" w:cs="Arial"/>
                <w:sz w:val="20"/>
                <w:szCs w:val="20"/>
                <w:lang w:val="en-IN"/>
              </w:rPr>
              <w:t xml:space="preserve">Option 2: </w:t>
            </w:r>
          </w:p>
          <w:p>
            <w:pPr>
              <w:pStyle w:val="124"/>
              <w:numPr>
                <w:ilvl w:val="2"/>
                <w:numId w:val="15"/>
              </w:numPr>
              <w:spacing w:before="0" w:line="288" w:lineRule="auto"/>
              <w:jc w:val="both"/>
              <w:rPr>
                <w:rFonts w:ascii="Arial" w:hAnsi="Arial" w:eastAsia="MS Mincho" w:cs="Arial"/>
                <w:sz w:val="20"/>
                <w:szCs w:val="20"/>
                <w:lang w:val="en-IN"/>
              </w:rPr>
            </w:pPr>
            <w:r>
              <w:rPr>
                <w:rFonts w:ascii="Arial" w:hAnsi="Arial" w:eastAsia="MS Mincho" w:cs="Arial"/>
                <w:sz w:val="20"/>
                <w:szCs w:val="20"/>
                <w:lang w:val="en-IN"/>
              </w:rPr>
              <w:t xml:space="preserve">Subject to UE’s capability, support a UE providing the association information of UL SRS resources for positioning with Tx TEGs to the </w:t>
            </w:r>
            <w:r>
              <w:rPr>
                <w:rFonts w:ascii="Arial" w:hAnsi="Arial" w:eastAsia="MS Mincho" w:cs="Arial"/>
                <w:i/>
                <w:iCs/>
                <w:sz w:val="20"/>
                <w:szCs w:val="20"/>
                <w:lang w:val="en-IN"/>
              </w:rPr>
              <w:t>serving</w:t>
            </w:r>
            <w:r>
              <w:rPr>
                <w:rFonts w:ascii="Arial" w:hAnsi="Arial" w:eastAsia="MS Mincho" w:cs="Arial"/>
                <w:sz w:val="20"/>
                <w:szCs w:val="20"/>
                <w:lang w:val="en-IN"/>
              </w:rPr>
              <w:t xml:space="preserve"> gNB if the UE has multiple Tx TEGs. </w:t>
            </w:r>
          </w:p>
          <w:p>
            <w:pPr>
              <w:pStyle w:val="124"/>
              <w:numPr>
                <w:ilvl w:val="2"/>
                <w:numId w:val="15"/>
              </w:numPr>
              <w:spacing w:before="0" w:line="288" w:lineRule="auto"/>
              <w:jc w:val="both"/>
              <w:rPr>
                <w:rFonts w:ascii="Arial" w:hAnsi="Arial" w:eastAsia="MS Mincho" w:cs="Arial"/>
                <w:sz w:val="20"/>
                <w:szCs w:val="20"/>
                <w:lang w:val="en-IN"/>
              </w:rPr>
            </w:pPr>
            <w:r>
              <w:rPr>
                <w:rFonts w:ascii="Arial" w:hAnsi="Arial" w:eastAsia="MS Mincho" w:cs="Arial"/>
                <w:sz w:val="20"/>
                <w:szCs w:val="20"/>
                <w:lang w:val="en-IN"/>
              </w:rPr>
              <w:t xml:space="preserve">Support the </w:t>
            </w:r>
            <w:r>
              <w:rPr>
                <w:rFonts w:ascii="Arial" w:hAnsi="Arial" w:eastAsia="MS Mincho" w:cs="Arial"/>
                <w:i/>
                <w:iCs/>
                <w:sz w:val="20"/>
                <w:szCs w:val="20"/>
                <w:lang w:val="en-IN"/>
              </w:rPr>
              <w:t>serving</w:t>
            </w:r>
            <w:r>
              <w:rPr>
                <w:rFonts w:ascii="Arial" w:hAnsi="Arial" w:eastAsia="MS Mincho" w:cs="Arial"/>
                <w:sz w:val="20"/>
                <w:szCs w:val="20"/>
                <w:lang w:val="en-IN"/>
              </w:rPr>
              <w:t xml:space="preserve"> gNB to forward the association information provided by the UE to the LMF</w:t>
            </w:r>
          </w:p>
          <w:p>
            <w:pPr>
              <w:pStyle w:val="124"/>
              <w:numPr>
                <w:ilvl w:val="2"/>
                <w:numId w:val="15"/>
              </w:numPr>
              <w:spacing w:before="0" w:line="288" w:lineRule="auto"/>
              <w:jc w:val="both"/>
              <w:rPr>
                <w:rFonts w:ascii="Arial" w:hAnsi="Arial" w:eastAsia="MS Mincho" w:cs="Arial"/>
                <w:sz w:val="20"/>
                <w:szCs w:val="20"/>
                <w:lang w:val="en-IN"/>
              </w:rPr>
            </w:pPr>
            <w:r>
              <w:rPr>
                <w:rFonts w:ascii="Arial" w:hAnsi="Arial" w:eastAsia="MS Mincho" w:cs="Arial"/>
                <w:sz w:val="20"/>
                <w:szCs w:val="20"/>
                <w:lang w:val="en-IN"/>
              </w:rPr>
              <w:t xml:space="preserve">FFS: Support LMF to forward the association information from the </w:t>
            </w:r>
            <w:r>
              <w:rPr>
                <w:rFonts w:ascii="Arial" w:hAnsi="Arial" w:eastAsia="MS Mincho" w:cs="Arial"/>
                <w:i/>
                <w:iCs/>
                <w:sz w:val="20"/>
                <w:szCs w:val="20"/>
                <w:lang w:val="en-IN"/>
              </w:rPr>
              <w:t>serving</w:t>
            </w:r>
            <w:r>
              <w:rPr>
                <w:rFonts w:ascii="Arial" w:hAnsi="Arial" w:eastAsia="MS Mincho" w:cs="Arial"/>
                <w:sz w:val="20"/>
                <w:szCs w:val="20"/>
                <w:lang w:val="en-IN"/>
              </w:rPr>
              <w:t xml:space="preserve"> gNB for the UE to the neighboring gNBs</w:t>
            </w:r>
          </w:p>
          <w:p>
            <w:pPr>
              <w:pStyle w:val="124"/>
              <w:numPr>
                <w:ilvl w:val="0"/>
                <w:numId w:val="15"/>
              </w:numPr>
              <w:spacing w:before="0" w:line="288" w:lineRule="auto"/>
              <w:jc w:val="both"/>
              <w:rPr>
                <w:rFonts w:ascii="Arial" w:hAnsi="Arial" w:cs="Arial"/>
                <w:sz w:val="20"/>
                <w:szCs w:val="20"/>
              </w:rPr>
            </w:pPr>
            <w:r>
              <w:rPr>
                <w:rFonts w:ascii="Arial" w:hAnsi="Arial" w:cs="Arial"/>
                <w:sz w:val="20"/>
                <w:szCs w:val="20"/>
              </w:rPr>
              <w:t xml:space="preserve">FFS: UE should be able to report capability information related to Tx TEGs to LMF via LPP </w:t>
            </w:r>
            <w:r>
              <w:rPr>
                <w:rFonts w:ascii="Arial" w:hAnsi="Arial" w:eastAsia="宋体" w:cs="Arial"/>
                <w:sz w:val="20"/>
                <w:szCs w:val="20"/>
                <w:lang w:eastAsia="zh-CN"/>
              </w:rPr>
              <w:t>signaling</w:t>
            </w:r>
          </w:p>
          <w:p>
            <w:pPr>
              <w:pStyle w:val="124"/>
              <w:numPr>
                <w:ilvl w:val="0"/>
                <w:numId w:val="15"/>
              </w:numPr>
              <w:spacing w:before="0" w:after="120" w:afterLines="50" w:line="288" w:lineRule="auto"/>
              <w:ind w:left="714" w:hanging="357"/>
              <w:jc w:val="both"/>
              <w:rPr>
                <w:rFonts w:ascii="Arial" w:hAnsi="Arial" w:eastAsia="宋体" w:cs="Arial"/>
                <w:sz w:val="20"/>
                <w:szCs w:val="20"/>
                <w:lang w:eastAsia="zh-CN"/>
              </w:rPr>
            </w:pPr>
            <w:r>
              <w:rPr>
                <w:rFonts w:ascii="Arial" w:hAnsi="Arial" w:cs="Arial"/>
                <w:sz w:val="20"/>
                <w:szCs w:val="20"/>
              </w:rPr>
              <w:t>Support gNB to report the associated SRS resource ID/resource set ID of the RTOA measurement to LMF</w:t>
            </w:r>
          </w:p>
        </w:tc>
      </w:tr>
    </w:tbl>
    <w:p>
      <w:pPr>
        <w:spacing w:before="120" w:beforeLines="50" w:after="0" w:line="288" w:lineRule="auto"/>
        <w:jc w:val="both"/>
        <w:rPr>
          <w:rFonts w:ascii="Arial" w:hAnsi="Arial" w:cs="Arial"/>
          <w:lang w:eastAsia="zh-CN"/>
        </w:rPr>
      </w:pPr>
      <w:r>
        <w:rPr>
          <w:rFonts w:hint="eastAsia" w:ascii="Arial" w:hAnsi="Arial" w:cs="Arial"/>
          <w:lang w:eastAsia="zh-CN"/>
        </w:rPr>
        <w:t>D</w:t>
      </w:r>
      <w:r>
        <w:rPr>
          <w:rFonts w:ascii="Arial" w:hAnsi="Arial" w:cs="Arial"/>
          <w:lang w:eastAsia="zh-CN"/>
        </w:rPr>
        <w:t>uring the last RAN1 meeting, down selection between the above two options were intensively discussed. However, since companies shared diverse views, no consensus was achieved. Some companies suggested to send LS to RAN23 as the decision can be up to other WGs. Due to the lack of time schedule, no agreement was made on this issue.</w:t>
      </w:r>
    </w:p>
    <w:p>
      <w:pPr>
        <w:spacing w:before="120" w:beforeLines="50" w:after="60" w:line="288" w:lineRule="auto"/>
        <w:jc w:val="both"/>
        <w:rPr>
          <w:rFonts w:ascii="Arial" w:hAnsi="Arial" w:cs="Arial"/>
          <w:lang w:eastAsia="zh-CN"/>
        </w:rPr>
      </w:pPr>
      <w:r>
        <w:rPr>
          <w:rFonts w:hint="eastAsia" w:ascii="Arial" w:hAnsi="Arial" w:cs="Arial"/>
          <w:lang w:eastAsia="zh-CN"/>
        </w:rPr>
        <w:t>R</w:t>
      </w:r>
      <w:r>
        <w:rPr>
          <w:rFonts w:ascii="Arial" w:hAnsi="Arial" w:cs="Arial"/>
          <w:lang w:eastAsia="zh-CN"/>
        </w:rPr>
        <w:t>egarding the reporting signalling, we think that option 1 is a better choice since the association information of UL SRS pos with UE Tx TEGs is more like a capability exchanging message, which under the current positioning framework, is carried by LPP. On the other hand, option 1 is a simpler and more straightforward design, in contrast with option 2, the signalling of UE reporting the Tx TEG association information to the serving gNB, and the forwarding messages from the serving gNB to the LMF has to be designed additionally. In addition, there is no need to forward the association information from LMF to neighbouring gNBs. The gNBs reports the UL-RTOA measurements with respect to UL SRS pos resources to the LMF, which can further use the association information</w:t>
      </w:r>
      <w:r>
        <w:rPr>
          <w:rFonts w:hint="eastAsia" w:ascii="Arial" w:hAnsi="Arial" w:cs="Arial"/>
          <w:lang w:eastAsia="zh-CN"/>
        </w:rPr>
        <w:t xml:space="preserve"> </w:t>
      </w:r>
      <w:r>
        <w:rPr>
          <w:rFonts w:ascii="Arial" w:hAnsi="Arial" w:cs="Arial"/>
          <w:lang w:eastAsia="zh-CN"/>
        </w:rPr>
        <w:t>provided by the UE to mitigate the timing errors. During the discussion in the last meeting, some companies argued that for a UE which is only capable of UL positioning, no LPP signalling is supported and therefore option 1 is not workable. However, from specification point of view, the UE should support the LPP protocol to transfer its capability to the LMF.</w:t>
      </w:r>
    </w:p>
    <w:p>
      <w:pPr>
        <w:spacing w:before="120" w:beforeLines="50" w:after="60" w:line="288" w:lineRule="auto"/>
        <w:jc w:val="both"/>
        <w:rPr>
          <w:rFonts w:ascii="Arial" w:hAnsi="Arial" w:cs="Arial"/>
          <w:b/>
          <w:bCs/>
          <w:lang w:val="en-IN" w:eastAsia="zh-CN"/>
        </w:rPr>
      </w:pPr>
      <w:r>
        <w:rPr>
          <w:rFonts w:hint="eastAsia" w:ascii="Arial" w:hAnsi="Arial" w:cs="Arial"/>
          <w:b/>
          <w:bCs/>
          <w:lang w:eastAsia="zh-CN"/>
        </w:rPr>
        <w:t>P</w:t>
      </w:r>
      <w:r>
        <w:rPr>
          <w:rFonts w:ascii="Arial" w:hAnsi="Arial" w:cs="Arial"/>
          <w:b/>
          <w:bCs/>
          <w:lang w:eastAsia="zh-CN"/>
        </w:rPr>
        <w:t xml:space="preserve">roposal 1: </w:t>
      </w:r>
      <w:r>
        <w:rPr>
          <w:rFonts w:ascii="Arial" w:hAnsi="Arial" w:eastAsia="宋体" w:cs="Arial"/>
          <w:b/>
          <w:bCs/>
          <w:lang w:eastAsia="zh-CN"/>
        </w:rPr>
        <w:t xml:space="preserve">From RAN1 perspective, it is beneficial to </w:t>
      </w:r>
      <w:r>
        <w:rPr>
          <w:rFonts w:ascii="Arial" w:hAnsi="Arial" w:eastAsia="MS Mincho" w:cs="Arial"/>
          <w:b/>
          <w:bCs/>
          <w:lang w:val="en-IN"/>
        </w:rPr>
        <w:t xml:space="preserve">support a UE providing the association information of UL SRS resources for positioning with Tx TEGs </w:t>
      </w:r>
      <w:r>
        <w:rPr>
          <w:rFonts w:ascii="Arial" w:hAnsi="Arial" w:eastAsia="MS Mincho" w:cs="Arial"/>
          <w:b/>
          <w:bCs/>
          <w:i/>
          <w:iCs/>
          <w:lang w:val="en-IN"/>
        </w:rPr>
        <w:t>directly</w:t>
      </w:r>
      <w:r>
        <w:rPr>
          <w:rFonts w:ascii="Arial" w:hAnsi="Arial" w:eastAsia="MS Mincho" w:cs="Arial"/>
          <w:b/>
          <w:bCs/>
          <w:lang w:val="en-IN"/>
        </w:rPr>
        <w:t xml:space="preserve"> to the LMF if the UE has multiple Tx TEGs</w:t>
      </w:r>
      <w:r>
        <w:rPr>
          <w:rFonts w:hint="eastAsia" w:ascii="Arial" w:hAnsi="Arial" w:cs="Arial"/>
          <w:b/>
          <w:bCs/>
          <w:lang w:val="en-IN" w:eastAsia="zh-CN"/>
        </w:rPr>
        <w:t>.</w:t>
      </w:r>
    </w:p>
    <w:p>
      <w:pPr>
        <w:pStyle w:val="124"/>
        <w:numPr>
          <w:ilvl w:val="0"/>
          <w:numId w:val="16"/>
        </w:numPr>
        <w:spacing w:before="120" w:beforeLines="50" w:after="60" w:line="288" w:lineRule="auto"/>
        <w:ind w:left="709"/>
        <w:jc w:val="both"/>
        <w:rPr>
          <w:rFonts w:ascii="Arial" w:hAnsi="Arial" w:cs="Arial"/>
          <w:b/>
          <w:bCs/>
          <w:sz w:val="20"/>
          <w:szCs w:val="20"/>
          <w:lang w:eastAsia="zh-CN"/>
        </w:rPr>
      </w:pPr>
      <w:r>
        <w:rPr>
          <w:rFonts w:ascii="Arial" w:hAnsi="Arial" w:cs="Arial"/>
          <w:b/>
          <w:bCs/>
          <w:sz w:val="20"/>
          <w:szCs w:val="20"/>
          <w:lang w:val="en-IN" w:eastAsia="zh-CN"/>
        </w:rPr>
        <w:t>Decision can be finally made up to RAN2/3.</w:t>
      </w:r>
    </w:p>
    <w:p>
      <w:pPr>
        <w:spacing w:before="120" w:beforeLines="50" w:after="0" w:line="288" w:lineRule="auto"/>
        <w:jc w:val="both"/>
        <w:rPr>
          <w:rFonts w:ascii="Arial" w:hAnsi="Arial" w:cs="Arial"/>
          <w:lang w:eastAsia="zh-CN"/>
        </w:rPr>
      </w:pPr>
    </w:p>
    <w:p>
      <w:pPr>
        <w:spacing w:before="120" w:beforeLines="50" w:after="0" w:line="288" w:lineRule="auto"/>
        <w:jc w:val="both"/>
        <w:rPr>
          <w:b/>
          <w:bCs/>
          <w:i/>
          <w:iCs/>
          <w:sz w:val="24"/>
          <w:szCs w:val="24"/>
          <w:u w:val="single"/>
          <w:lang w:eastAsia="zh-CN"/>
        </w:rPr>
      </w:pPr>
      <w:r>
        <w:rPr>
          <w:rFonts w:ascii="Arial" w:hAnsi="Arial" w:cs="Arial"/>
          <w:b/>
          <w:bCs/>
          <w:i/>
          <w:iCs/>
          <w:u w:val="single"/>
          <w:lang w:eastAsia="zh-CN"/>
        </w:rPr>
        <w:t>Mitigation of gNB/UE Rx/Tx timing errors for DL+UL positioning</w:t>
      </w:r>
    </w:p>
    <w:p>
      <w:pPr>
        <w:spacing w:before="120" w:beforeLines="50" w:after="0" w:line="288" w:lineRule="auto"/>
        <w:jc w:val="both"/>
        <w:rPr>
          <w:rFonts w:ascii="Arial" w:hAnsi="Arial" w:cs="Arial"/>
          <w:lang w:eastAsia="zh-CN"/>
        </w:rPr>
      </w:pPr>
      <w:r>
        <w:rPr>
          <w:rFonts w:hint="eastAsia" w:ascii="Arial" w:hAnsi="Arial" w:cs="Arial"/>
          <w:lang w:eastAsia="zh-CN"/>
        </w:rPr>
        <w:t>D</w:t>
      </w:r>
      <w:r>
        <w:rPr>
          <w:rFonts w:ascii="Arial" w:hAnsi="Arial" w:cs="Arial"/>
          <w:lang w:eastAsia="zh-CN"/>
        </w:rPr>
        <w:t>uring the last RAN1 meeting, the previous agreement on the solutions to mitigate UE Rx/Tx timing errors for DL+UL positioning was modified, to clarify that both of the following two options are supported, which is up to UE capability:</w:t>
      </w:r>
    </w:p>
    <w:p>
      <w:pPr>
        <w:pStyle w:val="124"/>
        <w:numPr>
          <w:ilvl w:val="0"/>
          <w:numId w:val="17"/>
        </w:numPr>
        <w:spacing w:before="120" w:beforeLines="50" w:line="288" w:lineRule="auto"/>
        <w:ind w:left="709"/>
        <w:jc w:val="both"/>
        <w:rPr>
          <w:rFonts w:ascii="Arial" w:hAnsi="Arial" w:cs="Arial"/>
          <w:sz w:val="20"/>
          <w:szCs w:val="20"/>
          <w:lang w:eastAsia="zh-CN"/>
        </w:rPr>
      </w:pPr>
      <w:r>
        <w:rPr>
          <w:rFonts w:hint="eastAsia" w:ascii="Arial" w:hAnsi="Arial" w:cs="Arial"/>
          <w:sz w:val="20"/>
          <w:szCs w:val="20"/>
          <w:lang w:eastAsia="zh-CN"/>
        </w:rPr>
        <w:t>Option 1:</w:t>
      </w:r>
      <w:r>
        <w:rPr>
          <w:rFonts w:ascii="Arial" w:hAnsi="Arial" w:cs="Arial"/>
          <w:sz w:val="20"/>
          <w:szCs w:val="20"/>
          <w:lang w:eastAsia="zh-CN"/>
        </w:rPr>
        <w:t xml:space="preserve"> Reporting of UE RxTx TEG ID;</w:t>
      </w:r>
    </w:p>
    <w:p>
      <w:pPr>
        <w:pStyle w:val="124"/>
        <w:numPr>
          <w:ilvl w:val="0"/>
          <w:numId w:val="17"/>
        </w:numPr>
        <w:spacing w:before="120" w:beforeLines="50" w:line="288" w:lineRule="auto"/>
        <w:ind w:left="709"/>
        <w:jc w:val="both"/>
        <w:rPr>
          <w:rFonts w:ascii="Arial" w:hAnsi="Arial" w:cs="Arial"/>
          <w:sz w:val="20"/>
          <w:szCs w:val="20"/>
          <w:lang w:eastAsia="zh-CN"/>
        </w:rPr>
      </w:pPr>
      <w:r>
        <w:rPr>
          <w:rFonts w:hint="eastAsia" w:ascii="Arial" w:hAnsi="Arial" w:cs="Arial"/>
          <w:sz w:val="20"/>
          <w:szCs w:val="20"/>
          <w:lang w:eastAsia="zh-CN"/>
        </w:rPr>
        <w:t>Option 2</w:t>
      </w:r>
      <w:r>
        <w:rPr>
          <w:rFonts w:ascii="Arial" w:hAnsi="Arial" w:cs="Arial"/>
          <w:sz w:val="20"/>
          <w:szCs w:val="20"/>
          <w:lang w:eastAsia="zh-CN"/>
        </w:rPr>
        <w:t>: Reporting of UE Rx TEG ID and UE Tx TEG ID</w:t>
      </w:r>
    </w:p>
    <w:p>
      <w:pPr>
        <w:spacing w:before="120" w:beforeLines="50" w:after="0" w:line="288" w:lineRule="auto"/>
        <w:jc w:val="both"/>
        <w:rPr>
          <w:rFonts w:ascii="Arial" w:hAnsi="Arial" w:cs="Arial"/>
          <w:lang w:eastAsia="zh-CN"/>
        </w:rPr>
      </w:pPr>
      <w:r>
        <w:rPr>
          <w:rFonts w:ascii="Arial" w:hAnsi="Arial" w:cs="Arial"/>
          <w:lang w:eastAsia="zh-CN"/>
        </w:rPr>
        <w:t>In either option, there is a remaining issue on how the UE Tx TEG ID is associated, and based on the previous discussion, three alternatives were left for further down selection:</w:t>
      </w:r>
    </w:p>
    <w:p>
      <w:pPr>
        <w:pStyle w:val="124"/>
        <w:numPr>
          <w:ilvl w:val="0"/>
          <w:numId w:val="17"/>
        </w:numPr>
        <w:spacing w:before="120" w:beforeLines="50" w:line="288" w:lineRule="auto"/>
        <w:ind w:left="709"/>
        <w:jc w:val="both"/>
        <w:rPr>
          <w:rFonts w:ascii="Arial" w:hAnsi="Arial" w:cs="Arial"/>
          <w:sz w:val="20"/>
          <w:szCs w:val="20"/>
          <w:lang w:eastAsia="zh-CN"/>
        </w:rPr>
      </w:pPr>
      <w:r>
        <w:rPr>
          <w:rFonts w:ascii="Arial" w:hAnsi="Arial" w:cs="Arial"/>
          <w:sz w:val="20"/>
          <w:szCs w:val="20"/>
          <w:lang w:eastAsia="zh-CN"/>
        </w:rPr>
        <w:t>Alt. 1: an UL SRS resource for positioning corresponding to the Tx timing of the UE Rx-Tx measurement</w:t>
      </w:r>
    </w:p>
    <w:p>
      <w:pPr>
        <w:pStyle w:val="124"/>
        <w:numPr>
          <w:ilvl w:val="0"/>
          <w:numId w:val="17"/>
        </w:numPr>
        <w:spacing w:before="120" w:beforeLines="50" w:line="288" w:lineRule="auto"/>
        <w:ind w:left="709"/>
        <w:jc w:val="both"/>
        <w:rPr>
          <w:rFonts w:ascii="Arial" w:hAnsi="Arial" w:cs="Arial"/>
          <w:sz w:val="20"/>
          <w:szCs w:val="20"/>
          <w:lang w:eastAsia="zh-CN"/>
        </w:rPr>
      </w:pPr>
      <w:r>
        <w:rPr>
          <w:rFonts w:ascii="Arial" w:hAnsi="Arial" w:cs="Arial"/>
          <w:sz w:val="20"/>
          <w:szCs w:val="20"/>
          <w:lang w:eastAsia="zh-CN"/>
        </w:rPr>
        <w:t>Alt. 2: the Tx timing of the UE Rx-Tx measurement</w:t>
      </w:r>
    </w:p>
    <w:p>
      <w:pPr>
        <w:pStyle w:val="124"/>
        <w:numPr>
          <w:ilvl w:val="0"/>
          <w:numId w:val="17"/>
        </w:numPr>
        <w:spacing w:before="120" w:beforeLines="50" w:line="288" w:lineRule="auto"/>
        <w:ind w:left="709"/>
        <w:jc w:val="both"/>
        <w:rPr>
          <w:rFonts w:ascii="Arial" w:hAnsi="Arial" w:cs="Arial"/>
          <w:sz w:val="20"/>
          <w:szCs w:val="20"/>
          <w:lang w:eastAsia="zh-CN"/>
        </w:rPr>
      </w:pPr>
      <w:r>
        <w:rPr>
          <w:rFonts w:ascii="Arial" w:hAnsi="Arial" w:cs="Arial"/>
          <w:sz w:val="20"/>
          <w:szCs w:val="20"/>
          <w:lang w:eastAsia="zh-CN"/>
        </w:rPr>
        <w:t>Alt. 3: one or more UL SRS resources for positioning</w:t>
      </w:r>
    </w:p>
    <w:p>
      <w:pPr>
        <w:spacing w:before="120" w:beforeLines="50" w:after="0" w:line="288" w:lineRule="auto"/>
        <w:jc w:val="both"/>
        <w:rPr>
          <w:rFonts w:ascii="Arial" w:hAnsi="Arial" w:cs="Arial"/>
          <w:lang w:eastAsia="zh-CN"/>
        </w:rPr>
      </w:pPr>
      <w:r>
        <w:rPr>
          <w:rFonts w:hint="eastAsia" w:ascii="Arial" w:hAnsi="Arial" w:cs="Arial"/>
          <w:lang w:eastAsia="zh-CN"/>
        </w:rPr>
        <w:t>F</w:t>
      </w:r>
      <w:r>
        <w:rPr>
          <w:rFonts w:ascii="Arial" w:hAnsi="Arial" w:cs="Arial"/>
          <w:lang w:eastAsia="zh-CN"/>
        </w:rPr>
        <w:t xml:space="preserve">or the multi-RTT positioning, there could be a potential mismatch between the UE and gNB Rx-Tx time difference, i.e., the Rx-Tx time difference measurements from the UE and gNB side are associated with Tx or Rx TEGs that corresponding to difference SRS resources. By supporting Alt. 3, the mismatch can be solved as Alt. 3 decoupled the reporting of the Tx TEG with the UE Rx-Tx time difference measurement. </w:t>
      </w:r>
    </w:p>
    <w:p>
      <w:pPr>
        <w:spacing w:before="120" w:beforeLines="50" w:after="6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2: Support a UE Tx TEG ID to be associated with one or more UL SRS resources for positioning.</w:t>
      </w:r>
    </w:p>
    <w:p>
      <w:pPr>
        <w:spacing w:before="120" w:beforeLines="50" w:after="0" w:line="288" w:lineRule="auto"/>
        <w:jc w:val="both"/>
        <w:rPr>
          <w:rFonts w:ascii="Arial" w:hAnsi="Arial" w:cs="Arial"/>
          <w:lang w:eastAsia="zh-CN"/>
        </w:rPr>
      </w:pPr>
      <w:r>
        <w:rPr>
          <w:rFonts w:ascii="Arial" w:hAnsi="Arial" w:cs="Arial"/>
          <w:lang w:eastAsia="zh-CN"/>
        </w:rPr>
        <w:t>In the last RAN1 meeting, there is another open issue on the definition of UE Rx-Tx time difference measurements. The intention of this issue is to solve the impact of TA change between the reception of the DL PRS and the transmission of the UL SRS on the Rx-Tx time difference measurement performance, since the current definition of the UE Tx timing of Rx-Tx time difference is derived based on the UL subframe timing that is closest to the DL PRS reception subframe, but the gNB Rx timing of Rx-Tx time difference is derived based on the UL SRS reception subframe, within the period the TA may change due to the UE mobility. To solve the issue, three options were left for further discussion:</w:t>
      </w:r>
    </w:p>
    <w:p>
      <w:pPr>
        <w:pStyle w:val="124"/>
        <w:numPr>
          <w:ilvl w:val="0"/>
          <w:numId w:val="17"/>
        </w:numPr>
        <w:spacing w:before="120" w:beforeLines="50" w:line="300" w:lineRule="auto"/>
        <w:ind w:left="709"/>
        <w:jc w:val="both"/>
        <w:rPr>
          <w:lang w:eastAsia="zh-CN"/>
        </w:rPr>
      </w:pPr>
      <w:r>
        <w:rPr>
          <w:rFonts w:ascii="Arial" w:hAnsi="Arial" w:cs="Arial"/>
          <w:sz w:val="20"/>
          <w:szCs w:val="20"/>
          <w:lang w:eastAsia="zh-CN"/>
        </w:rPr>
        <w:t>Option</w:t>
      </w:r>
      <w:r>
        <w:rPr>
          <w:lang w:eastAsia="zh-CN"/>
        </w:rPr>
        <w:t xml:space="preserve"> 1: </w:t>
      </w:r>
    </w:p>
    <w:p>
      <w:pPr>
        <w:pStyle w:val="124"/>
        <w:numPr>
          <w:ilvl w:val="2"/>
          <w:numId w:val="14"/>
        </w:numPr>
        <w:spacing w:line="300" w:lineRule="auto"/>
        <w:ind w:left="993"/>
        <w:jc w:val="both"/>
        <w:rPr>
          <w:rFonts w:ascii="Arial" w:hAnsi="Arial" w:eastAsia="宋体" w:cs="Arial"/>
          <w:sz w:val="20"/>
          <w:szCs w:val="20"/>
          <w:lang w:eastAsia="zh-CN"/>
        </w:rPr>
      </w:pPr>
      <w:r>
        <w:rPr>
          <w:rFonts w:ascii="Arial" w:hAnsi="Arial" w:cs="Arial"/>
          <w:sz w:val="20"/>
          <w:szCs w:val="20"/>
          <w:lang w:eastAsia="zh-CN"/>
        </w:rPr>
        <w:t>Sub</w:t>
      </w:r>
      <w:r>
        <w:rPr>
          <w:rFonts w:ascii="Arial" w:hAnsi="Arial" w:eastAsia="宋体" w:cs="Arial"/>
          <w:sz w:val="20"/>
          <w:szCs w:val="20"/>
          <w:lang w:eastAsia="zh-CN"/>
        </w:rPr>
        <w:t>ject to UE capability, the UE may report an additional UL Timestamp associated to a UE Rx-Tx measurement, corresponding to the timing of the uplink subframe of a positioning SRS.</w:t>
      </w:r>
    </w:p>
    <w:p>
      <w:pPr>
        <w:pStyle w:val="124"/>
        <w:numPr>
          <w:ilvl w:val="2"/>
          <w:numId w:val="14"/>
        </w:numPr>
        <w:spacing w:line="300" w:lineRule="auto"/>
        <w:ind w:left="993"/>
        <w:rPr>
          <w:rFonts w:ascii="Arial" w:hAnsi="Arial" w:cs="Arial"/>
          <w:sz w:val="20"/>
          <w:szCs w:val="20"/>
          <w:lang w:eastAsia="zh-CN"/>
        </w:rPr>
      </w:pPr>
      <w:r>
        <w:rPr>
          <w:rFonts w:ascii="Arial" w:hAnsi="Arial" w:eastAsia="宋体" w:cs="Arial"/>
          <w:sz w:val="20"/>
          <w:szCs w:val="20"/>
          <w:lang w:eastAsia="zh-CN"/>
        </w:rPr>
        <w:t>Add the following to the UE Rx-Tx time difference definition (similar to the definition for HD-FDD UE in TS 36.214)</w:t>
      </w:r>
      <w:r>
        <w:rPr>
          <w:rFonts w:ascii="Arial" w:hAnsi="Arial" w:cs="Arial"/>
          <w:sz w:val="20"/>
          <w:szCs w:val="20"/>
          <w:lang w:eastAsia="zh-CN"/>
        </w:rPr>
        <w:t xml:space="preserve">: </w:t>
      </w:r>
    </w:p>
    <w:p>
      <w:pPr>
        <w:pStyle w:val="124"/>
        <w:numPr>
          <w:ilvl w:val="2"/>
          <w:numId w:val="18"/>
        </w:numPr>
        <w:spacing w:line="300" w:lineRule="auto"/>
        <w:ind w:left="1418"/>
        <w:jc w:val="both"/>
        <w:rPr>
          <w:rFonts w:ascii="Arial" w:hAnsi="Arial" w:cs="Arial"/>
          <w:sz w:val="20"/>
          <w:szCs w:val="20"/>
          <w:lang w:eastAsia="zh-CN"/>
        </w:rPr>
      </w:pPr>
      <w:r>
        <w:rPr>
          <w:rFonts w:ascii="Arial" w:hAnsi="Arial" w:cs="Arial"/>
          <w:sz w:val="20"/>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pPr>
        <w:pStyle w:val="124"/>
        <w:numPr>
          <w:ilvl w:val="0"/>
          <w:numId w:val="17"/>
        </w:numPr>
        <w:spacing w:before="120" w:beforeLines="50" w:line="300" w:lineRule="auto"/>
        <w:ind w:left="709"/>
        <w:jc w:val="both"/>
        <w:rPr>
          <w:rFonts w:ascii="Arial" w:hAnsi="Arial" w:cs="Arial"/>
          <w:sz w:val="20"/>
          <w:szCs w:val="20"/>
          <w:lang w:eastAsia="zh-CN"/>
        </w:rPr>
      </w:pPr>
      <w:r>
        <w:rPr>
          <w:rFonts w:ascii="Arial" w:hAnsi="Arial" w:cs="Arial"/>
          <w:sz w:val="20"/>
          <w:szCs w:val="20"/>
          <w:lang w:eastAsia="zh-CN"/>
        </w:rPr>
        <w:t xml:space="preserve">Option 2: </w:t>
      </w:r>
    </w:p>
    <w:p>
      <w:pPr>
        <w:pStyle w:val="124"/>
        <w:numPr>
          <w:ilvl w:val="2"/>
          <w:numId w:val="14"/>
        </w:numPr>
        <w:spacing w:line="300" w:lineRule="auto"/>
        <w:ind w:left="993"/>
        <w:rPr>
          <w:rFonts w:ascii="Arial" w:hAnsi="Arial" w:cs="Arial"/>
          <w:sz w:val="20"/>
          <w:szCs w:val="20"/>
          <w:lang w:eastAsia="zh-CN"/>
        </w:rPr>
      </w:pPr>
      <w:r>
        <w:rPr>
          <w:rFonts w:ascii="Arial" w:hAnsi="Arial" w:eastAsia="宋体" w:cs="Arial"/>
          <w:sz w:val="20"/>
          <w:szCs w:val="20"/>
          <w:lang w:eastAsia="zh-CN"/>
        </w:rPr>
        <w:t>Subject</w:t>
      </w:r>
      <w:r>
        <w:rPr>
          <w:rFonts w:ascii="Arial" w:hAnsi="Arial" w:cs="Arial"/>
          <w:sz w:val="20"/>
          <w:szCs w:val="20"/>
          <w:lang w:eastAsia="zh-CN"/>
        </w:rPr>
        <w:t xml:space="preserve"> to a UE capability, a UE may optionally report Timing Adjustment (TA) change information</w:t>
      </w:r>
    </w:p>
    <w:p>
      <w:pPr>
        <w:pStyle w:val="124"/>
        <w:numPr>
          <w:ilvl w:val="2"/>
          <w:numId w:val="18"/>
        </w:numPr>
        <w:spacing w:line="300" w:lineRule="auto"/>
        <w:ind w:left="1418"/>
        <w:jc w:val="both"/>
        <w:rPr>
          <w:rFonts w:ascii="Arial" w:hAnsi="Arial" w:cs="Arial"/>
          <w:sz w:val="20"/>
          <w:szCs w:val="20"/>
          <w:lang w:eastAsia="zh-CN"/>
        </w:rPr>
      </w:pPr>
      <w:r>
        <w:rPr>
          <w:rFonts w:ascii="Arial" w:hAnsi="Arial" w:cs="Arial"/>
          <w:sz w:val="20"/>
          <w:szCs w:val="20"/>
          <w:lang w:eastAsia="zh-CN"/>
        </w:rPr>
        <w:t>Option 3A: The TA change information is included in the UE Tx TEG report</w:t>
      </w:r>
    </w:p>
    <w:p>
      <w:pPr>
        <w:pStyle w:val="124"/>
        <w:numPr>
          <w:ilvl w:val="2"/>
          <w:numId w:val="18"/>
        </w:numPr>
        <w:spacing w:line="300" w:lineRule="auto"/>
        <w:ind w:left="1418"/>
        <w:jc w:val="both"/>
        <w:rPr>
          <w:rFonts w:ascii="Arial" w:hAnsi="Arial" w:cs="Arial"/>
          <w:sz w:val="20"/>
          <w:szCs w:val="20"/>
          <w:lang w:eastAsia="zh-CN"/>
        </w:rPr>
      </w:pPr>
      <w:r>
        <w:rPr>
          <w:rFonts w:ascii="Arial" w:hAnsi="Arial" w:cs="Arial"/>
          <w:sz w:val="20"/>
          <w:szCs w:val="20"/>
          <w:lang w:eastAsia="zh-CN"/>
        </w:rPr>
        <w:t>Option 3B: The TA change information is included in the Rx-Tx measurement report</w:t>
      </w:r>
    </w:p>
    <w:p>
      <w:pPr>
        <w:pStyle w:val="124"/>
        <w:numPr>
          <w:ilvl w:val="2"/>
          <w:numId w:val="18"/>
        </w:numPr>
        <w:spacing w:line="300" w:lineRule="auto"/>
        <w:ind w:left="1418"/>
        <w:jc w:val="both"/>
        <w:rPr>
          <w:rFonts w:ascii="Arial" w:hAnsi="Arial" w:cs="Arial"/>
          <w:sz w:val="20"/>
          <w:szCs w:val="20"/>
          <w:lang w:eastAsia="zh-CN"/>
        </w:rPr>
      </w:pPr>
      <w:r>
        <w:rPr>
          <w:rFonts w:ascii="Arial" w:hAnsi="Arial" w:cs="Arial"/>
          <w:sz w:val="20"/>
          <w:szCs w:val="20"/>
          <w:lang w:eastAsia="zh-CN"/>
        </w:rPr>
        <w:t>Note: TA change information corresponds to: Tx Timing change with a timestamp that this change occurred.</w:t>
      </w:r>
    </w:p>
    <w:p>
      <w:pPr>
        <w:pStyle w:val="124"/>
        <w:numPr>
          <w:ilvl w:val="0"/>
          <w:numId w:val="17"/>
        </w:numPr>
        <w:spacing w:before="120" w:beforeLines="50" w:line="300" w:lineRule="auto"/>
        <w:ind w:left="709"/>
        <w:jc w:val="both"/>
        <w:rPr>
          <w:rFonts w:ascii="Arial" w:hAnsi="Arial" w:cs="Arial"/>
          <w:sz w:val="20"/>
          <w:szCs w:val="20"/>
          <w:lang w:eastAsia="zh-CN"/>
        </w:rPr>
      </w:pPr>
      <w:r>
        <w:rPr>
          <w:rFonts w:ascii="Arial" w:hAnsi="Arial" w:cs="Arial"/>
          <w:sz w:val="20"/>
          <w:szCs w:val="20"/>
          <w:lang w:eastAsia="zh-CN"/>
        </w:rPr>
        <w:t xml:space="preserve">Option 3: </w:t>
      </w:r>
    </w:p>
    <w:p>
      <w:pPr>
        <w:pStyle w:val="124"/>
        <w:numPr>
          <w:ilvl w:val="2"/>
          <w:numId w:val="14"/>
        </w:numPr>
        <w:spacing w:line="300" w:lineRule="auto"/>
        <w:ind w:left="993"/>
        <w:rPr>
          <w:rFonts w:ascii="Arial" w:hAnsi="Arial" w:eastAsia="宋体" w:cs="Arial"/>
          <w:sz w:val="20"/>
          <w:szCs w:val="20"/>
          <w:lang w:eastAsia="zh-CN"/>
        </w:rPr>
      </w:pPr>
      <w:r>
        <w:rPr>
          <w:rFonts w:ascii="Arial" w:hAnsi="Arial" w:cs="Arial"/>
          <w:sz w:val="20"/>
          <w:szCs w:val="20"/>
          <w:lang w:eastAsia="zh-CN"/>
        </w:rPr>
        <w:t>Sub</w:t>
      </w:r>
      <w:r>
        <w:rPr>
          <w:rFonts w:ascii="Arial" w:hAnsi="Arial" w:eastAsia="宋体" w:cs="Arial"/>
          <w:sz w:val="20"/>
          <w:szCs w:val="20"/>
          <w:lang w:eastAsia="zh-CN"/>
        </w:rPr>
        <w:t>ject to UE capability, the UE may report an additional UL Timestamp associated to a UE Rx-Tx measurement, corresponding to the timing of the uplink subframe of a positioning SRS.</w:t>
      </w:r>
    </w:p>
    <w:p>
      <w:pPr>
        <w:pStyle w:val="124"/>
        <w:numPr>
          <w:ilvl w:val="2"/>
          <w:numId w:val="14"/>
        </w:numPr>
        <w:spacing w:line="300" w:lineRule="auto"/>
        <w:ind w:left="993"/>
        <w:rPr>
          <w:rFonts w:ascii="Arial" w:hAnsi="Arial" w:cs="Arial"/>
          <w:sz w:val="20"/>
          <w:szCs w:val="20"/>
          <w:lang w:eastAsia="zh-CN"/>
        </w:rPr>
      </w:pPr>
      <w:r>
        <w:rPr>
          <w:rFonts w:ascii="Arial" w:hAnsi="Arial" w:eastAsia="宋体" w:cs="Arial"/>
          <w:sz w:val="20"/>
          <w:szCs w:val="20"/>
          <w:lang w:eastAsia="zh-CN"/>
        </w:rPr>
        <w:t>Add the following to the UE Rx-Tx time difference definition (similar to the definition for HD-FDD UE in TS 36.214)</w:t>
      </w:r>
      <w:r>
        <w:rPr>
          <w:rFonts w:ascii="Arial" w:hAnsi="Arial" w:cs="Arial"/>
          <w:sz w:val="20"/>
          <w:szCs w:val="20"/>
          <w:lang w:eastAsia="zh-CN"/>
        </w:rPr>
        <w:t xml:space="preserve">: </w:t>
      </w:r>
    </w:p>
    <w:p>
      <w:pPr>
        <w:pStyle w:val="124"/>
        <w:numPr>
          <w:ilvl w:val="2"/>
          <w:numId w:val="18"/>
        </w:numPr>
        <w:spacing w:line="300" w:lineRule="auto"/>
        <w:ind w:left="1418"/>
        <w:rPr>
          <w:rFonts w:ascii="Arial" w:hAnsi="Arial" w:cs="Arial"/>
          <w:sz w:val="20"/>
          <w:szCs w:val="20"/>
          <w:lang w:eastAsia="zh-CN"/>
        </w:rPr>
      </w:pPr>
      <w:r>
        <w:rPr>
          <w:rFonts w:ascii="Arial" w:hAnsi="Arial" w:cs="Arial"/>
          <w:sz w:val="20"/>
          <w:szCs w:val="20"/>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 within the report</w:t>
      </w:r>
    </w:p>
    <w:p>
      <w:pPr>
        <w:spacing w:line="300" w:lineRule="auto"/>
        <w:rPr>
          <w:rFonts w:ascii="Arial" w:hAnsi="Arial" w:cs="Arial"/>
          <w:lang w:eastAsia="zh-CN"/>
        </w:rPr>
      </w:pPr>
      <w:r>
        <w:rPr>
          <w:rFonts w:hint="eastAsia" w:ascii="Arial" w:hAnsi="Arial" w:cs="Arial"/>
          <w:lang w:eastAsia="zh-CN"/>
        </w:rPr>
        <w:t>I</w:t>
      </w:r>
      <w:r>
        <w:rPr>
          <w:rFonts w:ascii="Arial" w:hAnsi="Arial" w:cs="Arial"/>
          <w:lang w:eastAsia="zh-CN"/>
        </w:rPr>
        <w:t>n our understanding, all three options work. The the difference among the three options is that, for option 1, the UE compensate the TA change up to its implantation, and it additionally reports a UL timestamp to assist the LMF to match the UE and gNB Rx-Tx time differences when TA changes; for option 2, on the other hand, the UE performs no compensation and directly reports the TA change information to the LMF; and option 3 is basically the combination of option 1 and option 2. In such sense, it would be easy to support option 3, and it can be subject to UE capability, whether or not the TA change will be compensated or reported.</w:t>
      </w:r>
    </w:p>
    <w:p>
      <w:pPr>
        <w:spacing w:line="300" w:lineRule="auto"/>
        <w:rPr>
          <w:rFonts w:ascii="Arial" w:hAnsi="Arial" w:eastAsia="宋体" w:cs="Arial"/>
          <w:b/>
          <w:bCs/>
          <w:lang w:eastAsia="zh-CN"/>
        </w:rPr>
      </w:pPr>
      <w:r>
        <w:rPr>
          <w:rFonts w:hint="eastAsia" w:ascii="Arial" w:hAnsi="Arial" w:cs="Arial"/>
          <w:b/>
          <w:bCs/>
          <w:lang w:eastAsia="zh-CN"/>
        </w:rPr>
        <w:t>P</w:t>
      </w:r>
      <w:r>
        <w:rPr>
          <w:rFonts w:ascii="Arial" w:hAnsi="Arial" w:cs="Arial"/>
          <w:b/>
          <w:bCs/>
          <w:lang w:eastAsia="zh-CN"/>
        </w:rPr>
        <w:t xml:space="preserve">roposal 3: Support option 3 </w:t>
      </w:r>
      <w:r>
        <w:rPr>
          <w:rFonts w:ascii="Arial" w:hAnsi="Arial" w:cs="Arial"/>
          <w:b/>
          <w:bCs/>
        </w:rPr>
        <w:t xml:space="preserve">related to </w:t>
      </w:r>
      <w:r>
        <w:rPr>
          <w:rFonts w:ascii="Arial" w:hAnsi="Arial" w:eastAsia="宋体" w:cs="Arial"/>
          <w:b/>
          <w:bCs/>
          <w:lang w:eastAsia="zh-CN"/>
        </w:rPr>
        <w:t>the UE Rx-Tx time difference:</w:t>
      </w:r>
    </w:p>
    <w:p>
      <w:pPr>
        <w:pStyle w:val="124"/>
        <w:numPr>
          <w:ilvl w:val="0"/>
          <w:numId w:val="17"/>
        </w:numPr>
        <w:spacing w:before="120" w:beforeLines="50" w:line="300" w:lineRule="auto"/>
        <w:ind w:left="709"/>
        <w:jc w:val="both"/>
        <w:rPr>
          <w:rFonts w:ascii="Arial" w:hAnsi="Arial" w:cs="Arial"/>
          <w:b/>
          <w:bCs/>
          <w:sz w:val="20"/>
          <w:szCs w:val="20"/>
          <w:lang w:eastAsia="zh-CN"/>
        </w:rPr>
      </w:pPr>
      <w:r>
        <w:rPr>
          <w:rFonts w:ascii="Arial" w:hAnsi="Arial" w:cs="Arial"/>
          <w:b/>
          <w:bCs/>
          <w:sz w:val="20"/>
          <w:szCs w:val="20"/>
          <w:lang w:eastAsia="zh-CN"/>
        </w:rPr>
        <w:t xml:space="preserve">Option 3: </w:t>
      </w:r>
    </w:p>
    <w:p>
      <w:pPr>
        <w:pStyle w:val="124"/>
        <w:numPr>
          <w:ilvl w:val="2"/>
          <w:numId w:val="14"/>
        </w:numPr>
        <w:spacing w:line="300" w:lineRule="auto"/>
        <w:ind w:left="993"/>
        <w:rPr>
          <w:rFonts w:ascii="Arial" w:hAnsi="Arial" w:eastAsia="宋体" w:cs="Arial"/>
          <w:b/>
          <w:bCs/>
          <w:sz w:val="20"/>
          <w:szCs w:val="20"/>
          <w:lang w:eastAsia="zh-CN"/>
        </w:rPr>
      </w:pPr>
      <w:r>
        <w:rPr>
          <w:rFonts w:ascii="Arial" w:hAnsi="Arial" w:cs="Arial"/>
          <w:b/>
          <w:bCs/>
          <w:sz w:val="20"/>
          <w:szCs w:val="20"/>
          <w:lang w:eastAsia="zh-CN"/>
        </w:rPr>
        <w:t>Sub</w:t>
      </w:r>
      <w:r>
        <w:rPr>
          <w:rFonts w:ascii="Arial" w:hAnsi="Arial" w:eastAsia="宋体" w:cs="Arial"/>
          <w:b/>
          <w:bCs/>
          <w:sz w:val="20"/>
          <w:szCs w:val="20"/>
          <w:lang w:eastAsia="zh-CN"/>
        </w:rPr>
        <w:t>ject to UE capability, the UE may report an additional UL Timestamp associated to a UE Rx-Tx measurement, corresponding to the timing of the uplink subframe of a positioning SRS.</w:t>
      </w:r>
    </w:p>
    <w:p>
      <w:pPr>
        <w:pStyle w:val="124"/>
        <w:numPr>
          <w:ilvl w:val="2"/>
          <w:numId w:val="14"/>
        </w:numPr>
        <w:spacing w:line="300" w:lineRule="auto"/>
        <w:ind w:left="993"/>
        <w:rPr>
          <w:rFonts w:ascii="Arial" w:hAnsi="Arial" w:cs="Arial"/>
          <w:b/>
          <w:bCs/>
          <w:sz w:val="20"/>
          <w:szCs w:val="20"/>
          <w:lang w:eastAsia="zh-CN"/>
        </w:rPr>
      </w:pPr>
      <w:r>
        <w:rPr>
          <w:rFonts w:ascii="Arial" w:hAnsi="Arial" w:eastAsia="宋体" w:cs="Arial"/>
          <w:b/>
          <w:bCs/>
          <w:sz w:val="20"/>
          <w:szCs w:val="20"/>
          <w:lang w:eastAsia="zh-CN"/>
        </w:rPr>
        <w:t>Add the following to the UE Rx-Tx time difference definition (similar to the definition for HD-FDD UE in TS 36.214)</w:t>
      </w:r>
      <w:r>
        <w:rPr>
          <w:rFonts w:ascii="Arial" w:hAnsi="Arial" w:cs="Arial"/>
          <w:b/>
          <w:bCs/>
          <w:sz w:val="20"/>
          <w:szCs w:val="20"/>
          <w:lang w:eastAsia="zh-CN"/>
        </w:rPr>
        <w:t xml:space="preserve">: </w:t>
      </w:r>
    </w:p>
    <w:p>
      <w:pPr>
        <w:pStyle w:val="124"/>
        <w:numPr>
          <w:ilvl w:val="2"/>
          <w:numId w:val="18"/>
        </w:numPr>
        <w:spacing w:line="300" w:lineRule="auto"/>
        <w:ind w:left="1418"/>
        <w:rPr>
          <w:rFonts w:ascii="Arial" w:hAnsi="Arial" w:cs="Arial"/>
          <w:b/>
          <w:bCs/>
          <w:sz w:val="20"/>
          <w:szCs w:val="20"/>
          <w:lang w:eastAsia="zh-CN"/>
        </w:rPr>
      </w:pPr>
      <w:r>
        <w:rPr>
          <w:rFonts w:ascii="Arial" w:hAnsi="Arial" w:cs="Arial"/>
          <w:b/>
          <w:bCs/>
          <w:sz w:val="20"/>
          <w:szCs w:val="20"/>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 within the report</w:t>
      </w:r>
    </w:p>
    <w:p>
      <w:pPr>
        <w:spacing w:before="120" w:beforeLines="50" w:after="60" w:line="288" w:lineRule="auto"/>
        <w:jc w:val="both"/>
        <w:rPr>
          <w:rFonts w:ascii="Arial" w:hAnsi="Arial" w:cs="Arial"/>
          <w:b/>
          <w:bCs/>
          <w:lang w:eastAsia="zh-CN"/>
        </w:rPr>
      </w:pPr>
    </w:p>
    <w:p>
      <w:pPr>
        <w:pStyle w:val="160"/>
        <w:spacing w:line="288" w:lineRule="auto"/>
        <w:jc w:val="both"/>
        <w:rPr>
          <w:b/>
          <w:sz w:val="30"/>
          <w:szCs w:val="30"/>
          <w:lang w:val="en-US"/>
        </w:rPr>
      </w:pPr>
      <w:bookmarkStart w:id="1" w:name="_Ref31533076"/>
      <w:r>
        <w:rPr>
          <w:b/>
          <w:sz w:val="30"/>
          <w:szCs w:val="30"/>
          <w:lang w:val="en-US"/>
        </w:rPr>
        <w:t>Conclusions</w:t>
      </w:r>
    </w:p>
    <w:bookmarkEnd w:id="1"/>
    <w:p>
      <w:pPr>
        <w:widowControl w:val="0"/>
        <w:overflowPunct/>
        <w:autoSpaceDE/>
        <w:adjustRightInd/>
        <w:spacing w:line="288" w:lineRule="auto"/>
        <w:jc w:val="both"/>
        <w:textAlignment w:val="auto"/>
        <w:rPr>
          <w:rFonts w:ascii="Arial" w:hAnsi="Arial" w:cs="Arial"/>
          <w:lang w:eastAsia="zh-CN"/>
        </w:rPr>
      </w:pPr>
      <w:r>
        <w:rPr>
          <w:rFonts w:ascii="Arial" w:hAnsi="Arial" w:eastAsia="宋体"/>
        </w:rPr>
        <w:t xml:space="preserve">In this contribution, </w:t>
      </w:r>
      <w:r>
        <w:rPr>
          <w:rFonts w:ascii="Arial" w:hAnsi="Arial" w:cs="Arial"/>
          <w:lang w:eastAsia="zh-CN"/>
        </w:rPr>
        <w:t>we discuss solutions to mitigate the gNB/UE timing errors, and the following and proposals are provided:</w:t>
      </w:r>
    </w:p>
    <w:p>
      <w:pPr>
        <w:spacing w:before="120" w:beforeLines="50" w:after="60" w:line="288" w:lineRule="auto"/>
        <w:jc w:val="both"/>
        <w:rPr>
          <w:rFonts w:ascii="Arial" w:hAnsi="Arial" w:cs="Arial"/>
          <w:b/>
          <w:bCs/>
          <w:lang w:val="en-IN" w:eastAsia="zh-CN"/>
        </w:rPr>
      </w:pPr>
      <w:r>
        <w:rPr>
          <w:rFonts w:hint="eastAsia" w:ascii="Arial" w:hAnsi="Arial" w:cs="Arial"/>
          <w:b/>
          <w:bCs/>
          <w:lang w:eastAsia="zh-CN"/>
        </w:rPr>
        <w:t>P</w:t>
      </w:r>
      <w:r>
        <w:rPr>
          <w:rFonts w:ascii="Arial" w:hAnsi="Arial" w:cs="Arial"/>
          <w:b/>
          <w:bCs/>
          <w:lang w:eastAsia="zh-CN"/>
        </w:rPr>
        <w:t xml:space="preserve">roposal 1: </w:t>
      </w:r>
      <w:r>
        <w:rPr>
          <w:rFonts w:ascii="Arial" w:hAnsi="Arial" w:eastAsia="宋体" w:cs="Arial"/>
          <w:b/>
          <w:bCs/>
          <w:lang w:eastAsia="zh-CN"/>
        </w:rPr>
        <w:t xml:space="preserve">From RAN1 perspective, it is beneficial to </w:t>
      </w:r>
      <w:r>
        <w:rPr>
          <w:rFonts w:ascii="Arial" w:hAnsi="Arial" w:eastAsia="MS Mincho" w:cs="Arial"/>
          <w:b/>
          <w:bCs/>
          <w:lang w:val="en-IN"/>
        </w:rPr>
        <w:t xml:space="preserve">support a UE providing the association information of UL SRS resources for positioning with Tx TEGs </w:t>
      </w:r>
      <w:r>
        <w:rPr>
          <w:rFonts w:ascii="Arial" w:hAnsi="Arial" w:eastAsia="MS Mincho" w:cs="Arial"/>
          <w:b/>
          <w:bCs/>
          <w:i/>
          <w:iCs/>
          <w:lang w:val="en-IN"/>
        </w:rPr>
        <w:t>directly</w:t>
      </w:r>
      <w:r>
        <w:rPr>
          <w:rFonts w:ascii="Arial" w:hAnsi="Arial" w:eastAsia="MS Mincho" w:cs="Arial"/>
          <w:b/>
          <w:bCs/>
          <w:lang w:val="en-IN"/>
        </w:rPr>
        <w:t xml:space="preserve"> to the LMF if the UE has multiple Tx TEGs</w:t>
      </w:r>
      <w:r>
        <w:rPr>
          <w:rFonts w:hint="eastAsia" w:ascii="Arial" w:hAnsi="Arial" w:cs="Arial"/>
          <w:b/>
          <w:bCs/>
          <w:lang w:val="en-IN" w:eastAsia="zh-CN"/>
        </w:rPr>
        <w:t>.</w:t>
      </w:r>
    </w:p>
    <w:p>
      <w:pPr>
        <w:pStyle w:val="124"/>
        <w:numPr>
          <w:ilvl w:val="0"/>
          <w:numId w:val="16"/>
        </w:numPr>
        <w:spacing w:before="120" w:beforeLines="50" w:after="60" w:line="288" w:lineRule="auto"/>
        <w:ind w:left="709"/>
        <w:jc w:val="both"/>
        <w:rPr>
          <w:rFonts w:ascii="Arial" w:hAnsi="Arial" w:cs="Arial"/>
          <w:b/>
          <w:bCs/>
          <w:sz w:val="20"/>
          <w:szCs w:val="20"/>
          <w:lang w:eastAsia="zh-CN"/>
        </w:rPr>
      </w:pPr>
      <w:r>
        <w:rPr>
          <w:rFonts w:ascii="Arial" w:hAnsi="Arial" w:cs="Arial"/>
          <w:b/>
          <w:bCs/>
          <w:sz w:val="20"/>
          <w:szCs w:val="20"/>
          <w:lang w:val="en-IN" w:eastAsia="zh-CN"/>
        </w:rPr>
        <w:t>Decision can be finally made up to RAN2/3.</w:t>
      </w:r>
    </w:p>
    <w:p>
      <w:pPr>
        <w:spacing w:before="120" w:beforeLines="50" w:after="6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2: Support a UE Tx TEG ID to be associated with one or more UL SRS resources for positioning.</w:t>
      </w:r>
    </w:p>
    <w:p>
      <w:pPr>
        <w:spacing w:line="300" w:lineRule="auto"/>
        <w:rPr>
          <w:rFonts w:ascii="Arial" w:hAnsi="Arial" w:eastAsia="宋体" w:cs="Arial"/>
          <w:b/>
          <w:bCs/>
          <w:lang w:eastAsia="zh-CN"/>
        </w:rPr>
      </w:pPr>
      <w:r>
        <w:rPr>
          <w:rFonts w:hint="eastAsia" w:ascii="Arial" w:hAnsi="Arial" w:cs="Arial"/>
          <w:b/>
          <w:bCs/>
          <w:lang w:eastAsia="zh-CN"/>
        </w:rPr>
        <w:t>P</w:t>
      </w:r>
      <w:r>
        <w:rPr>
          <w:rFonts w:ascii="Arial" w:hAnsi="Arial" w:cs="Arial"/>
          <w:b/>
          <w:bCs/>
          <w:lang w:eastAsia="zh-CN"/>
        </w:rPr>
        <w:t xml:space="preserve">roposal 3: Support option 3 </w:t>
      </w:r>
      <w:r>
        <w:rPr>
          <w:rFonts w:ascii="Arial" w:hAnsi="Arial" w:cs="Arial"/>
          <w:b/>
          <w:bCs/>
        </w:rPr>
        <w:t xml:space="preserve">related to </w:t>
      </w:r>
      <w:r>
        <w:rPr>
          <w:rFonts w:ascii="Arial" w:hAnsi="Arial" w:eastAsia="宋体" w:cs="Arial"/>
          <w:b/>
          <w:bCs/>
          <w:lang w:eastAsia="zh-CN"/>
        </w:rPr>
        <w:t>the UE Rx-Tx time difference:</w:t>
      </w:r>
    </w:p>
    <w:p>
      <w:pPr>
        <w:pStyle w:val="124"/>
        <w:numPr>
          <w:ilvl w:val="0"/>
          <w:numId w:val="17"/>
        </w:numPr>
        <w:spacing w:before="120" w:beforeLines="50" w:line="300" w:lineRule="auto"/>
        <w:ind w:left="709"/>
        <w:jc w:val="both"/>
        <w:rPr>
          <w:rFonts w:ascii="Arial" w:hAnsi="Arial" w:cs="Arial"/>
          <w:b/>
          <w:bCs/>
          <w:sz w:val="20"/>
          <w:szCs w:val="20"/>
          <w:lang w:eastAsia="zh-CN"/>
        </w:rPr>
      </w:pPr>
      <w:r>
        <w:rPr>
          <w:rFonts w:ascii="Arial" w:hAnsi="Arial" w:cs="Arial"/>
          <w:b/>
          <w:bCs/>
          <w:sz w:val="20"/>
          <w:szCs w:val="20"/>
          <w:lang w:eastAsia="zh-CN"/>
        </w:rPr>
        <w:t xml:space="preserve">Option 3: </w:t>
      </w:r>
    </w:p>
    <w:p>
      <w:pPr>
        <w:pStyle w:val="124"/>
        <w:numPr>
          <w:ilvl w:val="2"/>
          <w:numId w:val="14"/>
        </w:numPr>
        <w:spacing w:line="300" w:lineRule="auto"/>
        <w:ind w:left="993"/>
        <w:rPr>
          <w:rFonts w:ascii="Arial" w:hAnsi="Arial" w:eastAsia="宋体" w:cs="Arial"/>
          <w:b/>
          <w:bCs/>
          <w:sz w:val="20"/>
          <w:szCs w:val="20"/>
          <w:lang w:eastAsia="zh-CN"/>
        </w:rPr>
      </w:pPr>
      <w:r>
        <w:rPr>
          <w:rFonts w:ascii="Arial" w:hAnsi="Arial" w:cs="Arial"/>
          <w:b/>
          <w:bCs/>
          <w:sz w:val="20"/>
          <w:szCs w:val="20"/>
          <w:lang w:eastAsia="zh-CN"/>
        </w:rPr>
        <w:t>Sub</w:t>
      </w:r>
      <w:r>
        <w:rPr>
          <w:rFonts w:ascii="Arial" w:hAnsi="Arial" w:eastAsia="宋体" w:cs="Arial"/>
          <w:b/>
          <w:bCs/>
          <w:sz w:val="20"/>
          <w:szCs w:val="20"/>
          <w:lang w:eastAsia="zh-CN"/>
        </w:rPr>
        <w:t>ject to UE capability, the UE may report an additional UL Timestamp associated to a UE Rx-Tx measurement, corresponding to the timing of the uplink subframe of a positioning SRS.</w:t>
      </w:r>
    </w:p>
    <w:p>
      <w:pPr>
        <w:pStyle w:val="124"/>
        <w:numPr>
          <w:ilvl w:val="2"/>
          <w:numId w:val="14"/>
        </w:numPr>
        <w:spacing w:line="300" w:lineRule="auto"/>
        <w:ind w:left="993"/>
        <w:rPr>
          <w:rFonts w:ascii="Arial" w:hAnsi="Arial" w:cs="Arial"/>
          <w:b/>
          <w:bCs/>
          <w:sz w:val="20"/>
          <w:szCs w:val="20"/>
          <w:lang w:eastAsia="zh-CN"/>
        </w:rPr>
      </w:pPr>
      <w:r>
        <w:rPr>
          <w:rFonts w:ascii="Arial" w:hAnsi="Arial" w:eastAsia="宋体" w:cs="Arial"/>
          <w:b/>
          <w:bCs/>
          <w:sz w:val="20"/>
          <w:szCs w:val="20"/>
          <w:lang w:eastAsia="zh-CN"/>
        </w:rPr>
        <w:t>Add the following to the UE Rx-Tx time difference definition (similar to the definition for HD-FDD UE in TS 36.214)</w:t>
      </w:r>
      <w:r>
        <w:rPr>
          <w:rFonts w:ascii="Arial" w:hAnsi="Arial" w:cs="Arial"/>
          <w:b/>
          <w:bCs/>
          <w:sz w:val="20"/>
          <w:szCs w:val="20"/>
          <w:lang w:eastAsia="zh-CN"/>
        </w:rPr>
        <w:t xml:space="preserve">: </w:t>
      </w:r>
    </w:p>
    <w:p>
      <w:pPr>
        <w:pStyle w:val="124"/>
        <w:numPr>
          <w:ilvl w:val="2"/>
          <w:numId w:val="18"/>
        </w:numPr>
        <w:spacing w:line="300" w:lineRule="auto"/>
        <w:ind w:left="1418"/>
        <w:rPr>
          <w:rFonts w:ascii="Arial" w:hAnsi="Arial" w:cs="Arial"/>
          <w:b/>
          <w:bCs/>
          <w:sz w:val="20"/>
          <w:szCs w:val="20"/>
          <w:lang w:eastAsia="zh-CN"/>
        </w:rPr>
      </w:pPr>
      <w:r>
        <w:rPr>
          <w:rFonts w:ascii="Arial" w:hAnsi="Arial" w:cs="Arial"/>
          <w:b/>
          <w:bCs/>
          <w:sz w:val="20"/>
          <w:szCs w:val="20"/>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 within the report</w:t>
      </w:r>
    </w:p>
    <w:p>
      <w:pPr>
        <w:pStyle w:val="160"/>
        <w:spacing w:line="288" w:lineRule="auto"/>
        <w:jc w:val="both"/>
        <w:rPr>
          <w:b/>
          <w:sz w:val="30"/>
          <w:szCs w:val="30"/>
          <w:lang w:val="en-US"/>
        </w:rPr>
      </w:pPr>
      <w:r>
        <w:rPr>
          <w:b/>
          <w:sz w:val="30"/>
          <w:szCs w:val="30"/>
          <w:lang w:val="en-US"/>
        </w:rPr>
        <w:t>References</w:t>
      </w:r>
    </w:p>
    <w:p>
      <w:pPr>
        <w:widowControl w:val="0"/>
        <w:numPr>
          <w:ilvl w:val="0"/>
          <w:numId w:val="19"/>
        </w:numPr>
        <w:overflowPunct/>
        <w:autoSpaceDE/>
        <w:adjustRightInd/>
        <w:spacing w:line="288" w:lineRule="auto"/>
        <w:jc w:val="both"/>
        <w:textAlignment w:val="auto"/>
        <w:outlineLvl w:val="0"/>
        <w:rPr>
          <w:rFonts w:ascii="Arial" w:hAnsi="Arial" w:eastAsia="宋体"/>
        </w:rPr>
      </w:pPr>
      <w:bookmarkStart w:id="2" w:name="_Ref83830298"/>
      <w:r>
        <w:rPr>
          <w:rFonts w:ascii="Arial" w:hAnsi="Arial" w:eastAsia="宋体"/>
        </w:rPr>
        <w:t>Draft Report of 3GPP TSG RAN WG1 #106-e v0.2.0</w:t>
      </w:r>
      <w:bookmarkEnd w:id="2"/>
    </w:p>
    <w:sectPr>
      <w:footerReference r:id="rId5" w:type="default"/>
      <w:headerReference r:id="rId4" w:type="even"/>
      <w:footerReference r:id="rId6"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NimbusRomNo9L-Regu">
    <w:altName w:val="Times New Roman"/>
    <w:panose1 w:val="00000000000000000000"/>
    <w:charset w:val="00"/>
    <w:family w:val="auto"/>
    <w:pitch w:val="default"/>
    <w:sig w:usb0="00000000" w:usb1="00000000" w:usb2="00000000" w:usb3="00000000" w:csb0="00000001" w:csb1="00000000"/>
  </w:font>
  <w:font w:name="CMMI10">
    <w:altName w:val="Times New Roman"/>
    <w:panose1 w:val="00000000000000000000"/>
    <w:charset w:val="00"/>
    <w:family w:val="roman"/>
    <w:pitch w:val="default"/>
    <w:sig w:usb0="00000000" w:usb1="00000000" w:usb2="00000000" w:usb3="00000000" w:csb0="00000000" w:csb1="00000000"/>
  </w:font>
  <w:font w:name="CMSY10">
    <w:altName w:val="Times New Roman"/>
    <w:panose1 w:val="00000000000000000000"/>
    <w:charset w:val="00"/>
    <w:family w:val="roman"/>
    <w:pitch w:val="default"/>
    <w:sig w:usb0="00000000" w:usb1="00000000" w:usb2="00000000" w:usb3="00000000" w:csb0="00000000" w:csb1="00000000"/>
  </w:font>
  <w:font w:name="CMR10">
    <w:altName w:val="Times New Roman"/>
    <w:panose1 w:val="00000000000000000000"/>
    <w:charset w:val="00"/>
    <w:family w:val="roman"/>
    <w:pitch w:val="default"/>
    <w:sig w:usb0="00000000" w:usb1="00000000" w:usb2="00000000" w:usb3="00000000" w:csb0="00000000" w:csb1="00000000"/>
  </w:font>
  <w:font w:name="Symbol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9"/>
      <w:ind w:right="360"/>
      <w:rPr>
        <w:b/>
        <w:i/>
        <w:sz w:val="10"/>
      </w:rPr>
    </w:pPr>
    <w:r>
      <w:rPr>
        <w:rStyle w:val="120"/>
        <w:b/>
        <w:i/>
        <w:sz w:val="18"/>
      </w:rPr>
      <w:fldChar w:fldCharType="begin"/>
    </w:r>
    <w:r>
      <w:rPr>
        <w:rStyle w:val="120"/>
        <w:b/>
        <w:i/>
        <w:sz w:val="18"/>
      </w:rPr>
      <w:instrText xml:space="preserve"> PAGE </w:instrText>
    </w:r>
    <w:r>
      <w:rPr>
        <w:rStyle w:val="120"/>
        <w:b/>
        <w:i/>
        <w:sz w:val="18"/>
      </w:rPr>
      <w:fldChar w:fldCharType="separate"/>
    </w:r>
    <w:r>
      <w:rPr>
        <w:rStyle w:val="120"/>
        <w:b/>
        <w:i/>
        <w:sz w:val="18"/>
      </w:rPr>
      <w:t>2</w:t>
    </w:r>
    <w:r>
      <w:rPr>
        <w:rStyle w:val="120"/>
        <w:b/>
        <w:i/>
        <w:sz w:val="18"/>
      </w:rPr>
      <w:fldChar w:fldCharType="end"/>
    </w:r>
    <w:r>
      <w:rPr>
        <w:rStyle w:val="120"/>
        <w:b/>
        <w:i/>
        <w:sz w:val="18"/>
      </w:rPr>
      <w:t>/</w:t>
    </w:r>
    <w:r>
      <w:rPr>
        <w:rStyle w:val="120"/>
        <w:b/>
        <w:i/>
        <w:sz w:val="18"/>
      </w:rPr>
      <w:fldChar w:fldCharType="begin"/>
    </w:r>
    <w:r>
      <w:rPr>
        <w:rStyle w:val="120"/>
        <w:b/>
        <w:i/>
        <w:sz w:val="18"/>
      </w:rPr>
      <w:instrText xml:space="preserve"> NUMPAGES </w:instrText>
    </w:r>
    <w:r>
      <w:rPr>
        <w:rStyle w:val="120"/>
        <w:b/>
        <w:i/>
        <w:sz w:val="18"/>
      </w:rPr>
      <w:fldChar w:fldCharType="separate"/>
    </w:r>
    <w:r>
      <w:rPr>
        <w:rStyle w:val="120"/>
        <w:b/>
        <w:i/>
        <w:sz w:val="18"/>
      </w:rPr>
      <w:t>4</w:t>
    </w:r>
    <w:r>
      <w:rPr>
        <w:rStyle w:val="120"/>
        <w:b/>
        <w:i/>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9"/>
      <w:framePr w:wrap="around" w:vAnchor="text" w:hAnchor="margin" w:xAlign="right" w:y="1"/>
      <w:rPr>
        <w:rStyle w:val="120"/>
      </w:rPr>
    </w:pPr>
    <w:r>
      <w:rPr>
        <w:rStyle w:val="120"/>
      </w:rPr>
      <w:fldChar w:fldCharType="begin"/>
    </w:r>
    <w:r>
      <w:rPr>
        <w:rStyle w:val="120"/>
      </w:rPr>
      <w:instrText xml:space="preserve">PAGE  </w:instrText>
    </w:r>
    <w:r>
      <w:rPr>
        <w:rStyle w:val="120"/>
      </w:rPr>
      <w:fldChar w:fldCharType="end"/>
    </w:r>
  </w:p>
  <w:p>
    <w:pPr>
      <w:pStyle w:val="10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51D6589"/>
    <w:multiLevelType w:val="multilevel"/>
    <w:tmpl w:val="051D6589"/>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255"/>
        </w:tabs>
        <w:ind w:left="5255" w:hanging="576"/>
      </w:pPr>
      <w:rPr>
        <w:rFonts w:hint="default"/>
        <w:i w:val="0"/>
        <w:sz w:val="22"/>
        <w:szCs w:val="22"/>
        <w:lang w:val="en-US"/>
      </w:rPr>
    </w:lvl>
    <w:lvl w:ilvl="2" w:tentative="0">
      <w:start w:val="1"/>
      <w:numFmt w:val="decimal"/>
      <w:pStyle w:val="4"/>
      <w:lvlText w:val="%1.%2.%3"/>
      <w:lvlJc w:val="left"/>
      <w:pPr>
        <w:tabs>
          <w:tab w:val="left" w:pos="568"/>
        </w:tabs>
        <w:ind w:left="568" w:firstLine="0"/>
      </w:pPr>
      <w:rPr>
        <w:rFonts w:hint="default"/>
      </w:rPr>
    </w:lvl>
    <w:lvl w:ilvl="3" w:tentative="0">
      <w:start w:val="1"/>
      <w:numFmt w:val="decimal"/>
      <w:pStyle w:val="5"/>
      <w:lvlText w:val="%1.%2.%3.%4"/>
      <w:lvlJc w:val="left"/>
      <w:pPr>
        <w:tabs>
          <w:tab w:val="left" w:pos="1432"/>
        </w:tabs>
        <w:ind w:left="1432" w:hanging="864"/>
      </w:pPr>
      <w:rPr>
        <w:rFonts w:hint="default"/>
      </w:rPr>
    </w:lvl>
    <w:lvl w:ilvl="4" w:tentative="0">
      <w:start w:val="1"/>
      <w:numFmt w:val="decimal"/>
      <w:pStyle w:val="6"/>
      <w:lvlText w:val="%1.%2.%3.%4.%5"/>
      <w:lvlJc w:val="left"/>
      <w:pPr>
        <w:tabs>
          <w:tab w:val="left" w:pos="10578"/>
        </w:tabs>
        <w:ind w:left="10506" w:hanging="1008"/>
      </w:pPr>
      <w:rPr>
        <w:rFonts w:hint="default"/>
        <w:lang w:val="en-US"/>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0734512"/>
    <w:multiLevelType w:val="multilevel"/>
    <w:tmpl w:val="10734512"/>
    <w:lvl w:ilvl="0" w:tentative="0">
      <w:start w:val="1"/>
      <w:numFmt w:val="decimal"/>
      <w:pStyle w:val="162"/>
      <w:lvlText w:val="%1.1"/>
      <w:lvlJc w:val="left"/>
      <w:pPr>
        <w:ind w:left="720" w:hanging="360"/>
      </w:pPr>
      <w:rPr>
        <w:rFonts w:hint="default"/>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0C15FE7"/>
    <w:multiLevelType w:val="multilevel"/>
    <w:tmpl w:val="10C15FE7"/>
    <w:lvl w:ilvl="0" w:tentative="0">
      <w:start w:val="1"/>
      <w:numFmt w:val="bullet"/>
      <w:pStyle w:val="1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Arial" w:hAnsi="Arial" w:cs="Arial"/>
        <w:sz w:val="20"/>
        <w:szCs w:val="20"/>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07676C1"/>
    <w:multiLevelType w:val="multilevel"/>
    <w:tmpl w:val="207676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10B5F73"/>
    <w:multiLevelType w:val="multilevel"/>
    <w:tmpl w:val="210B5F7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2CC7125C"/>
    <w:multiLevelType w:val="singleLevel"/>
    <w:tmpl w:val="2CC7125C"/>
    <w:lvl w:ilvl="0" w:tentative="0">
      <w:start w:val="1"/>
      <w:numFmt w:val="bullet"/>
      <w:pStyle w:val="104"/>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7207C2F"/>
    <w:multiLevelType w:val="multilevel"/>
    <w:tmpl w:val="37207C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Calibri" w:hAnsi="Calibri" w:eastAsia="宋体" w:cstheme="minorBidi"/>
        <w:sz w:val="16"/>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17F6AFB"/>
    <w:multiLevelType w:val="multilevel"/>
    <w:tmpl w:val="417F6AFB"/>
    <w:lvl w:ilvl="0" w:tentative="0">
      <w:start w:val="1"/>
      <w:numFmt w:val="bullet"/>
      <w:pStyle w:val="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64D3319"/>
    <w:multiLevelType w:val="multilevel"/>
    <w:tmpl w:val="464D3319"/>
    <w:lvl w:ilvl="0" w:tentative="0">
      <w:start w:val="1"/>
      <w:numFmt w:val="decimal"/>
      <w:pStyle w:val="176"/>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FB52522"/>
    <w:multiLevelType w:val="multilevel"/>
    <w:tmpl w:val="4FB52522"/>
    <w:lvl w:ilvl="0" w:tentative="0">
      <w:start w:val="1"/>
      <w:numFmt w:val="bullet"/>
      <w:lvlText w:val="●"/>
      <w:lvlJc w:val="left"/>
      <w:pPr>
        <w:ind w:left="420" w:hanging="420"/>
      </w:pPr>
      <w:rPr>
        <w:rFonts w:hint="default" w:ascii="Calibri" w:hAnsi="Calibri" w:eastAsia="宋体" w:cstheme="minorBidi"/>
        <w:sz w:val="16"/>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101505E"/>
    <w:multiLevelType w:val="multilevel"/>
    <w:tmpl w:val="5101505E"/>
    <w:lvl w:ilvl="0" w:tentative="0">
      <w:start w:val="1"/>
      <w:numFmt w:val="decimal"/>
      <w:pStyle w:val="18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1D23283"/>
    <w:multiLevelType w:val="multilevel"/>
    <w:tmpl w:val="51D232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21F44A7"/>
    <w:multiLevelType w:val="multilevel"/>
    <w:tmpl w:val="521F44A7"/>
    <w:lvl w:ilvl="0" w:tentative="0">
      <w:start w:val="1"/>
      <w:numFmt w:val="bullet"/>
      <w:pStyle w:val="183"/>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28C1EFE"/>
    <w:multiLevelType w:val="multilevel"/>
    <w:tmpl w:val="528C1EF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7">
    <w:nsid w:val="592F1C5C"/>
    <w:multiLevelType w:val="multilevel"/>
    <w:tmpl w:val="592F1C5C"/>
    <w:lvl w:ilvl="0" w:tentative="0">
      <w:start w:val="1"/>
      <w:numFmt w:val="bullet"/>
      <w:lvlText w:val="●"/>
      <w:lvlJc w:val="left"/>
      <w:pPr>
        <w:ind w:left="420" w:hanging="420"/>
      </w:pPr>
      <w:rPr>
        <w:rFonts w:hint="default" w:ascii="Calibri" w:hAnsi="Calibri" w:eastAsia="宋体" w:cstheme="minorBidi"/>
        <w:sz w:val="16"/>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E760327"/>
    <w:multiLevelType w:val="multilevel"/>
    <w:tmpl w:val="6E760327"/>
    <w:lvl w:ilvl="0" w:tentative="0">
      <w:start w:val="1"/>
      <w:numFmt w:val="decimal"/>
      <w:pStyle w:val="181"/>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10"/>
  </w:num>
  <w:num w:numId="3">
    <w:abstractNumId w:val="8"/>
  </w:num>
  <w:num w:numId="4">
    <w:abstractNumId w:val="7"/>
  </w:num>
  <w:num w:numId="5">
    <w:abstractNumId w:val="3"/>
  </w:num>
  <w:num w:numId="6">
    <w:abstractNumId w:val="2"/>
  </w:num>
  <w:num w:numId="7">
    <w:abstractNumId w:val="0"/>
  </w:num>
  <w:num w:numId="8">
    <w:abstractNumId w:val="11"/>
  </w:num>
  <w:num w:numId="9">
    <w:abstractNumId w:val="18"/>
  </w:num>
  <w:num w:numId="10">
    <w:abstractNumId w:val="13"/>
  </w:num>
  <w:num w:numId="11">
    <w:abstractNumId w:val="15"/>
  </w:num>
  <w:num w:numId="12">
    <w:abstractNumId w:val="5"/>
  </w:num>
  <w:num w:numId="13">
    <w:abstractNumId w:val="6"/>
  </w:num>
  <w:num w:numId="14">
    <w:abstractNumId w:val="14"/>
  </w:num>
  <w:num w:numId="15">
    <w:abstractNumId w:val="16"/>
  </w:num>
  <w:num w:numId="16">
    <w:abstractNumId w:val="17"/>
  </w:num>
  <w:num w:numId="17">
    <w:abstractNumId w:val="12"/>
  </w:num>
  <w:num w:numId="18">
    <w:abstractNumId w:val="9"/>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390"/>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91"/>
    <w:rsid w:val="000170B6"/>
    <w:rsid w:val="0001729B"/>
    <w:rsid w:val="00017309"/>
    <w:rsid w:val="00017802"/>
    <w:rsid w:val="00017915"/>
    <w:rsid w:val="00020331"/>
    <w:rsid w:val="000205C1"/>
    <w:rsid w:val="0002060C"/>
    <w:rsid w:val="000208B8"/>
    <w:rsid w:val="0002094A"/>
    <w:rsid w:val="0002096C"/>
    <w:rsid w:val="00020A18"/>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8B2"/>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A8D"/>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1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222"/>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73"/>
    <w:rsid w:val="000818F6"/>
    <w:rsid w:val="00081AF9"/>
    <w:rsid w:val="00082152"/>
    <w:rsid w:val="000822F5"/>
    <w:rsid w:val="00082399"/>
    <w:rsid w:val="000823DC"/>
    <w:rsid w:val="000826FF"/>
    <w:rsid w:val="000829FE"/>
    <w:rsid w:val="00082A49"/>
    <w:rsid w:val="00082CBD"/>
    <w:rsid w:val="00082E87"/>
    <w:rsid w:val="000831F0"/>
    <w:rsid w:val="00083322"/>
    <w:rsid w:val="00083423"/>
    <w:rsid w:val="0008356E"/>
    <w:rsid w:val="00083657"/>
    <w:rsid w:val="0008369C"/>
    <w:rsid w:val="00083788"/>
    <w:rsid w:val="00083AF5"/>
    <w:rsid w:val="00083B15"/>
    <w:rsid w:val="00083F98"/>
    <w:rsid w:val="000841A0"/>
    <w:rsid w:val="00084255"/>
    <w:rsid w:val="00084BC2"/>
    <w:rsid w:val="00084BFE"/>
    <w:rsid w:val="00084EE0"/>
    <w:rsid w:val="00085239"/>
    <w:rsid w:val="000855C3"/>
    <w:rsid w:val="00085726"/>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BE3"/>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BD8"/>
    <w:rsid w:val="00097CD8"/>
    <w:rsid w:val="000A02DC"/>
    <w:rsid w:val="000A0CA1"/>
    <w:rsid w:val="000A0E99"/>
    <w:rsid w:val="000A1AD3"/>
    <w:rsid w:val="000A1C86"/>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4EF"/>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8C8"/>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245"/>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339"/>
    <w:rsid w:val="001074BC"/>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7F0"/>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4D"/>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1AC"/>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2E9"/>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3E1"/>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26"/>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A4"/>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CD6"/>
    <w:rsid w:val="00187FF6"/>
    <w:rsid w:val="001902FA"/>
    <w:rsid w:val="00190307"/>
    <w:rsid w:val="00190927"/>
    <w:rsid w:val="00190BD5"/>
    <w:rsid w:val="00191727"/>
    <w:rsid w:val="001918FE"/>
    <w:rsid w:val="00191A2B"/>
    <w:rsid w:val="00191BFE"/>
    <w:rsid w:val="00191DA6"/>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4A69"/>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86"/>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97C"/>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1D"/>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06E"/>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D72"/>
    <w:rsid w:val="001E4098"/>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02"/>
    <w:rsid w:val="002047DE"/>
    <w:rsid w:val="00204A5A"/>
    <w:rsid w:val="00204C12"/>
    <w:rsid w:val="00204F93"/>
    <w:rsid w:val="00205230"/>
    <w:rsid w:val="0020553F"/>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DFF"/>
    <w:rsid w:val="00206E1F"/>
    <w:rsid w:val="00206E5A"/>
    <w:rsid w:val="00206F49"/>
    <w:rsid w:val="00207355"/>
    <w:rsid w:val="002075EC"/>
    <w:rsid w:val="0020760D"/>
    <w:rsid w:val="00207613"/>
    <w:rsid w:val="002076EE"/>
    <w:rsid w:val="00207847"/>
    <w:rsid w:val="00207AF9"/>
    <w:rsid w:val="00207BB9"/>
    <w:rsid w:val="00207E44"/>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4D2"/>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899"/>
    <w:rsid w:val="00223ACD"/>
    <w:rsid w:val="00223ADC"/>
    <w:rsid w:val="00223F34"/>
    <w:rsid w:val="002241C9"/>
    <w:rsid w:val="00224506"/>
    <w:rsid w:val="0022469B"/>
    <w:rsid w:val="00224890"/>
    <w:rsid w:val="002248E2"/>
    <w:rsid w:val="00224A9B"/>
    <w:rsid w:val="00224C25"/>
    <w:rsid w:val="00225CED"/>
    <w:rsid w:val="00225DB5"/>
    <w:rsid w:val="00225EDD"/>
    <w:rsid w:val="0022657F"/>
    <w:rsid w:val="0022683F"/>
    <w:rsid w:val="002269A7"/>
    <w:rsid w:val="00226BD3"/>
    <w:rsid w:val="00226C2B"/>
    <w:rsid w:val="00226D25"/>
    <w:rsid w:val="00226F21"/>
    <w:rsid w:val="0022735A"/>
    <w:rsid w:val="00227375"/>
    <w:rsid w:val="00227406"/>
    <w:rsid w:val="00227546"/>
    <w:rsid w:val="002275A8"/>
    <w:rsid w:val="0022776D"/>
    <w:rsid w:val="002277C3"/>
    <w:rsid w:val="00227873"/>
    <w:rsid w:val="002279D2"/>
    <w:rsid w:val="00227D31"/>
    <w:rsid w:val="00227F9E"/>
    <w:rsid w:val="00230040"/>
    <w:rsid w:val="002300E1"/>
    <w:rsid w:val="002305EF"/>
    <w:rsid w:val="00230944"/>
    <w:rsid w:val="00230AD3"/>
    <w:rsid w:val="00230BB1"/>
    <w:rsid w:val="00230C5E"/>
    <w:rsid w:val="0023101D"/>
    <w:rsid w:val="00231299"/>
    <w:rsid w:val="00231465"/>
    <w:rsid w:val="002314EE"/>
    <w:rsid w:val="002316ED"/>
    <w:rsid w:val="00231740"/>
    <w:rsid w:val="002318F3"/>
    <w:rsid w:val="00231929"/>
    <w:rsid w:val="00231A06"/>
    <w:rsid w:val="00231D67"/>
    <w:rsid w:val="00231E15"/>
    <w:rsid w:val="00232191"/>
    <w:rsid w:val="0023255D"/>
    <w:rsid w:val="00232587"/>
    <w:rsid w:val="0023291E"/>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15E"/>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6DD"/>
    <w:rsid w:val="00240A3A"/>
    <w:rsid w:val="00240B7D"/>
    <w:rsid w:val="00240E65"/>
    <w:rsid w:val="00240F76"/>
    <w:rsid w:val="0024103F"/>
    <w:rsid w:val="00241210"/>
    <w:rsid w:val="00241702"/>
    <w:rsid w:val="0024186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35F"/>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A7F"/>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15"/>
    <w:rsid w:val="00266F5D"/>
    <w:rsid w:val="00266FA0"/>
    <w:rsid w:val="0026716C"/>
    <w:rsid w:val="0026733C"/>
    <w:rsid w:val="0026748C"/>
    <w:rsid w:val="002676F7"/>
    <w:rsid w:val="0026772D"/>
    <w:rsid w:val="002678FE"/>
    <w:rsid w:val="0027000A"/>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9CA"/>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73"/>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3844"/>
    <w:rsid w:val="00293ADB"/>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202"/>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5"/>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16"/>
    <w:rsid w:val="002A732C"/>
    <w:rsid w:val="002A733B"/>
    <w:rsid w:val="002A7449"/>
    <w:rsid w:val="002A79B4"/>
    <w:rsid w:val="002A7A6A"/>
    <w:rsid w:val="002A7AB4"/>
    <w:rsid w:val="002A7B72"/>
    <w:rsid w:val="002A7CF6"/>
    <w:rsid w:val="002B02AE"/>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3D7"/>
    <w:rsid w:val="002B340B"/>
    <w:rsid w:val="002B34AE"/>
    <w:rsid w:val="002B3718"/>
    <w:rsid w:val="002B39ED"/>
    <w:rsid w:val="002B3D07"/>
    <w:rsid w:val="002B3D90"/>
    <w:rsid w:val="002B3E45"/>
    <w:rsid w:val="002B409D"/>
    <w:rsid w:val="002B46A6"/>
    <w:rsid w:val="002B4A64"/>
    <w:rsid w:val="002B4C39"/>
    <w:rsid w:val="002B54AE"/>
    <w:rsid w:val="002B5976"/>
    <w:rsid w:val="002B5A76"/>
    <w:rsid w:val="002B5AA3"/>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0E2C"/>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6D5"/>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45"/>
    <w:rsid w:val="002F4854"/>
    <w:rsid w:val="002F489E"/>
    <w:rsid w:val="002F48D4"/>
    <w:rsid w:val="002F4934"/>
    <w:rsid w:val="002F4A52"/>
    <w:rsid w:val="002F4CF5"/>
    <w:rsid w:val="002F4FC5"/>
    <w:rsid w:val="002F50E1"/>
    <w:rsid w:val="002F5422"/>
    <w:rsid w:val="002F55D2"/>
    <w:rsid w:val="002F5634"/>
    <w:rsid w:val="002F576A"/>
    <w:rsid w:val="002F5DC5"/>
    <w:rsid w:val="002F5FDA"/>
    <w:rsid w:val="002F619C"/>
    <w:rsid w:val="002F6319"/>
    <w:rsid w:val="002F6721"/>
    <w:rsid w:val="002F6B3F"/>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2B97"/>
    <w:rsid w:val="003030BD"/>
    <w:rsid w:val="003034FC"/>
    <w:rsid w:val="0030361B"/>
    <w:rsid w:val="00303733"/>
    <w:rsid w:val="003039EA"/>
    <w:rsid w:val="00303AEC"/>
    <w:rsid w:val="00303B81"/>
    <w:rsid w:val="00303C07"/>
    <w:rsid w:val="00303FB7"/>
    <w:rsid w:val="00304013"/>
    <w:rsid w:val="00304373"/>
    <w:rsid w:val="0030438A"/>
    <w:rsid w:val="003043B7"/>
    <w:rsid w:val="00304549"/>
    <w:rsid w:val="00304784"/>
    <w:rsid w:val="00304AC5"/>
    <w:rsid w:val="00304BB6"/>
    <w:rsid w:val="00304DA0"/>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0E63"/>
    <w:rsid w:val="00311012"/>
    <w:rsid w:val="00311336"/>
    <w:rsid w:val="00311387"/>
    <w:rsid w:val="0031141D"/>
    <w:rsid w:val="00311642"/>
    <w:rsid w:val="00311761"/>
    <w:rsid w:val="00311941"/>
    <w:rsid w:val="003121B8"/>
    <w:rsid w:val="0031226C"/>
    <w:rsid w:val="00312417"/>
    <w:rsid w:val="003125FC"/>
    <w:rsid w:val="00312CA9"/>
    <w:rsid w:val="00313575"/>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658"/>
    <w:rsid w:val="0032086D"/>
    <w:rsid w:val="00320875"/>
    <w:rsid w:val="00320B1B"/>
    <w:rsid w:val="0032101D"/>
    <w:rsid w:val="00321479"/>
    <w:rsid w:val="0032172E"/>
    <w:rsid w:val="00321822"/>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DCF"/>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4DE"/>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638"/>
    <w:rsid w:val="00363B63"/>
    <w:rsid w:val="00363F7A"/>
    <w:rsid w:val="00364A63"/>
    <w:rsid w:val="00364DC8"/>
    <w:rsid w:val="00365150"/>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018"/>
    <w:rsid w:val="0037514F"/>
    <w:rsid w:val="003751D1"/>
    <w:rsid w:val="00375AE6"/>
    <w:rsid w:val="00375B6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30D"/>
    <w:rsid w:val="0038067A"/>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31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7D3"/>
    <w:rsid w:val="003909CF"/>
    <w:rsid w:val="00390B8F"/>
    <w:rsid w:val="00390C2B"/>
    <w:rsid w:val="00390C56"/>
    <w:rsid w:val="00390F22"/>
    <w:rsid w:val="0039122C"/>
    <w:rsid w:val="0039124D"/>
    <w:rsid w:val="003914C2"/>
    <w:rsid w:val="0039181D"/>
    <w:rsid w:val="00391A53"/>
    <w:rsid w:val="00391A92"/>
    <w:rsid w:val="00391B43"/>
    <w:rsid w:val="00391B90"/>
    <w:rsid w:val="003926BE"/>
    <w:rsid w:val="0039295A"/>
    <w:rsid w:val="00392AC0"/>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0A9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431"/>
    <w:rsid w:val="003A590E"/>
    <w:rsid w:val="003A5A8C"/>
    <w:rsid w:val="003A5CD5"/>
    <w:rsid w:val="003A5E54"/>
    <w:rsid w:val="003A6196"/>
    <w:rsid w:val="003A6330"/>
    <w:rsid w:val="003A672D"/>
    <w:rsid w:val="003A67EA"/>
    <w:rsid w:val="003A6BC9"/>
    <w:rsid w:val="003A6C31"/>
    <w:rsid w:val="003A6CF6"/>
    <w:rsid w:val="003A75C5"/>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1ED4"/>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7FD"/>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592"/>
    <w:rsid w:val="003F2624"/>
    <w:rsid w:val="003F26E3"/>
    <w:rsid w:val="003F2711"/>
    <w:rsid w:val="003F2A56"/>
    <w:rsid w:val="003F2AD4"/>
    <w:rsid w:val="003F2CB0"/>
    <w:rsid w:val="003F3865"/>
    <w:rsid w:val="003F3A77"/>
    <w:rsid w:val="003F3FEB"/>
    <w:rsid w:val="003F404C"/>
    <w:rsid w:val="003F45AD"/>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0EAD"/>
    <w:rsid w:val="004010CF"/>
    <w:rsid w:val="00401175"/>
    <w:rsid w:val="004012FA"/>
    <w:rsid w:val="004017C6"/>
    <w:rsid w:val="00401BBE"/>
    <w:rsid w:val="00401EF2"/>
    <w:rsid w:val="004024AB"/>
    <w:rsid w:val="0040286C"/>
    <w:rsid w:val="00402F2C"/>
    <w:rsid w:val="0040303D"/>
    <w:rsid w:val="004030BF"/>
    <w:rsid w:val="004030DA"/>
    <w:rsid w:val="0040379F"/>
    <w:rsid w:val="00403805"/>
    <w:rsid w:val="00403824"/>
    <w:rsid w:val="00403891"/>
    <w:rsid w:val="00403E3B"/>
    <w:rsid w:val="00403F25"/>
    <w:rsid w:val="00403F81"/>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1D"/>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25"/>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B2F"/>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6F"/>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5FF"/>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374"/>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02E"/>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4FB9"/>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6"/>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2819"/>
    <w:rsid w:val="004931BF"/>
    <w:rsid w:val="0049349F"/>
    <w:rsid w:val="004935A4"/>
    <w:rsid w:val="00493D08"/>
    <w:rsid w:val="00493DE2"/>
    <w:rsid w:val="00493E9F"/>
    <w:rsid w:val="00494541"/>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6FA"/>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1E"/>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1B2"/>
    <w:rsid w:val="004A7276"/>
    <w:rsid w:val="004A727C"/>
    <w:rsid w:val="004A7D2A"/>
    <w:rsid w:val="004A7EE7"/>
    <w:rsid w:val="004A7FB0"/>
    <w:rsid w:val="004A7FF9"/>
    <w:rsid w:val="004B0043"/>
    <w:rsid w:val="004B0156"/>
    <w:rsid w:val="004B02AD"/>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5F70"/>
    <w:rsid w:val="004B6301"/>
    <w:rsid w:val="004B656F"/>
    <w:rsid w:val="004B6725"/>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1BC"/>
    <w:rsid w:val="004D3251"/>
    <w:rsid w:val="004D3DB8"/>
    <w:rsid w:val="004D4261"/>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76"/>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869"/>
    <w:rsid w:val="004F0B88"/>
    <w:rsid w:val="004F0C82"/>
    <w:rsid w:val="004F1051"/>
    <w:rsid w:val="004F12B0"/>
    <w:rsid w:val="004F133C"/>
    <w:rsid w:val="004F13D2"/>
    <w:rsid w:val="004F150C"/>
    <w:rsid w:val="004F1A00"/>
    <w:rsid w:val="004F1D32"/>
    <w:rsid w:val="004F1EF5"/>
    <w:rsid w:val="004F2126"/>
    <w:rsid w:val="004F2179"/>
    <w:rsid w:val="004F233C"/>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1A4"/>
    <w:rsid w:val="005027D0"/>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080"/>
    <w:rsid w:val="005251DA"/>
    <w:rsid w:val="00525407"/>
    <w:rsid w:val="005254CD"/>
    <w:rsid w:val="00525501"/>
    <w:rsid w:val="005255A1"/>
    <w:rsid w:val="00525AD1"/>
    <w:rsid w:val="00525E8C"/>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89"/>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1EDB"/>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7B"/>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5E80"/>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01B"/>
    <w:rsid w:val="0057672D"/>
    <w:rsid w:val="00576A37"/>
    <w:rsid w:val="00576FC7"/>
    <w:rsid w:val="005772E6"/>
    <w:rsid w:val="00577368"/>
    <w:rsid w:val="005777AC"/>
    <w:rsid w:val="00577EB4"/>
    <w:rsid w:val="00577F3D"/>
    <w:rsid w:val="00580150"/>
    <w:rsid w:val="00580735"/>
    <w:rsid w:val="005809EB"/>
    <w:rsid w:val="00580E45"/>
    <w:rsid w:val="00581038"/>
    <w:rsid w:val="0058116D"/>
    <w:rsid w:val="0058134E"/>
    <w:rsid w:val="00581448"/>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777"/>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156"/>
    <w:rsid w:val="005943C6"/>
    <w:rsid w:val="0059443E"/>
    <w:rsid w:val="005946EC"/>
    <w:rsid w:val="00594858"/>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AE1"/>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2A3"/>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66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6F6"/>
    <w:rsid w:val="005D27CD"/>
    <w:rsid w:val="005D2A49"/>
    <w:rsid w:val="005D2B7E"/>
    <w:rsid w:val="005D2BEC"/>
    <w:rsid w:val="005D2EE8"/>
    <w:rsid w:val="005D3100"/>
    <w:rsid w:val="005D31C7"/>
    <w:rsid w:val="005D31D3"/>
    <w:rsid w:val="005D31E0"/>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64"/>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BAF"/>
    <w:rsid w:val="005E4F80"/>
    <w:rsid w:val="005E4FBD"/>
    <w:rsid w:val="005E5009"/>
    <w:rsid w:val="005E5137"/>
    <w:rsid w:val="005E540E"/>
    <w:rsid w:val="005E548F"/>
    <w:rsid w:val="005E5563"/>
    <w:rsid w:val="005E580A"/>
    <w:rsid w:val="005E59D1"/>
    <w:rsid w:val="005E5E27"/>
    <w:rsid w:val="005E66F1"/>
    <w:rsid w:val="005E6813"/>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058"/>
    <w:rsid w:val="005F1674"/>
    <w:rsid w:val="005F1AF3"/>
    <w:rsid w:val="005F1C0B"/>
    <w:rsid w:val="005F1CE1"/>
    <w:rsid w:val="005F1FE4"/>
    <w:rsid w:val="005F28DA"/>
    <w:rsid w:val="005F2E3C"/>
    <w:rsid w:val="005F3019"/>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138"/>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E7"/>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2F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CB2"/>
    <w:rsid w:val="00614CB4"/>
    <w:rsid w:val="00614D09"/>
    <w:rsid w:val="00614D1E"/>
    <w:rsid w:val="00615185"/>
    <w:rsid w:val="0061524B"/>
    <w:rsid w:val="00615624"/>
    <w:rsid w:val="0061565F"/>
    <w:rsid w:val="006156E9"/>
    <w:rsid w:val="00615BDB"/>
    <w:rsid w:val="00615EFE"/>
    <w:rsid w:val="00616885"/>
    <w:rsid w:val="0061695E"/>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2E29"/>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4E4"/>
    <w:rsid w:val="00640529"/>
    <w:rsid w:val="006409F3"/>
    <w:rsid w:val="00641061"/>
    <w:rsid w:val="00641092"/>
    <w:rsid w:val="006414ED"/>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2DB4"/>
    <w:rsid w:val="00653205"/>
    <w:rsid w:val="00653273"/>
    <w:rsid w:val="006537ED"/>
    <w:rsid w:val="006537FA"/>
    <w:rsid w:val="00653830"/>
    <w:rsid w:val="00653ABF"/>
    <w:rsid w:val="00653B8D"/>
    <w:rsid w:val="00654346"/>
    <w:rsid w:val="006544F6"/>
    <w:rsid w:val="00654591"/>
    <w:rsid w:val="00654B42"/>
    <w:rsid w:val="00654C81"/>
    <w:rsid w:val="00654D29"/>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6F60"/>
    <w:rsid w:val="00677139"/>
    <w:rsid w:val="00677725"/>
    <w:rsid w:val="00677D6D"/>
    <w:rsid w:val="0068013A"/>
    <w:rsid w:val="00680956"/>
    <w:rsid w:val="00680A97"/>
    <w:rsid w:val="00680D9B"/>
    <w:rsid w:val="00680EA0"/>
    <w:rsid w:val="00680F30"/>
    <w:rsid w:val="00680F81"/>
    <w:rsid w:val="0068101B"/>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4E6A"/>
    <w:rsid w:val="00685725"/>
    <w:rsid w:val="00685BB7"/>
    <w:rsid w:val="00685D3B"/>
    <w:rsid w:val="0068608B"/>
    <w:rsid w:val="006860A4"/>
    <w:rsid w:val="0068623E"/>
    <w:rsid w:val="00686310"/>
    <w:rsid w:val="00686366"/>
    <w:rsid w:val="006864F7"/>
    <w:rsid w:val="00686533"/>
    <w:rsid w:val="0068653A"/>
    <w:rsid w:val="0068673B"/>
    <w:rsid w:val="006867BE"/>
    <w:rsid w:val="006870BD"/>
    <w:rsid w:val="00687141"/>
    <w:rsid w:val="006871BA"/>
    <w:rsid w:val="0068721F"/>
    <w:rsid w:val="00687CDE"/>
    <w:rsid w:val="00687E09"/>
    <w:rsid w:val="006901CD"/>
    <w:rsid w:val="006904F6"/>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9BE"/>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8A1"/>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6FD3"/>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2FE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7EB"/>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2DC"/>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27F03"/>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B07"/>
    <w:rsid w:val="00732E3A"/>
    <w:rsid w:val="007330FF"/>
    <w:rsid w:val="00733240"/>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67"/>
    <w:rsid w:val="007356D0"/>
    <w:rsid w:val="007360CF"/>
    <w:rsid w:val="00736130"/>
    <w:rsid w:val="007361A5"/>
    <w:rsid w:val="007361C3"/>
    <w:rsid w:val="0073637C"/>
    <w:rsid w:val="007368ED"/>
    <w:rsid w:val="00736BEE"/>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675"/>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32"/>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0E"/>
    <w:rsid w:val="00771CAA"/>
    <w:rsid w:val="00771CFB"/>
    <w:rsid w:val="00771E56"/>
    <w:rsid w:val="00771FB5"/>
    <w:rsid w:val="007721AD"/>
    <w:rsid w:val="00772571"/>
    <w:rsid w:val="00772900"/>
    <w:rsid w:val="00772D15"/>
    <w:rsid w:val="00772DC3"/>
    <w:rsid w:val="0077301C"/>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C00"/>
    <w:rsid w:val="00782D8A"/>
    <w:rsid w:val="0078300A"/>
    <w:rsid w:val="007831EB"/>
    <w:rsid w:val="00783315"/>
    <w:rsid w:val="007833C3"/>
    <w:rsid w:val="00783580"/>
    <w:rsid w:val="007835D9"/>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AC"/>
    <w:rsid w:val="007916D2"/>
    <w:rsid w:val="00791ACE"/>
    <w:rsid w:val="00791ADE"/>
    <w:rsid w:val="00791AFB"/>
    <w:rsid w:val="00791BEA"/>
    <w:rsid w:val="00791D75"/>
    <w:rsid w:val="007922A9"/>
    <w:rsid w:val="007926B7"/>
    <w:rsid w:val="0079279A"/>
    <w:rsid w:val="00792867"/>
    <w:rsid w:val="00792A0E"/>
    <w:rsid w:val="00792B57"/>
    <w:rsid w:val="00792BFC"/>
    <w:rsid w:val="00792C8A"/>
    <w:rsid w:val="00792ECC"/>
    <w:rsid w:val="00792ED5"/>
    <w:rsid w:val="00793213"/>
    <w:rsid w:val="007939C7"/>
    <w:rsid w:val="00793BDD"/>
    <w:rsid w:val="00793DED"/>
    <w:rsid w:val="00793F1C"/>
    <w:rsid w:val="00793F70"/>
    <w:rsid w:val="0079436C"/>
    <w:rsid w:val="007947FB"/>
    <w:rsid w:val="00794980"/>
    <w:rsid w:val="007949DE"/>
    <w:rsid w:val="007954AC"/>
    <w:rsid w:val="007956F4"/>
    <w:rsid w:val="007959D0"/>
    <w:rsid w:val="00795B83"/>
    <w:rsid w:val="00795E1B"/>
    <w:rsid w:val="0079601B"/>
    <w:rsid w:val="007962E1"/>
    <w:rsid w:val="0079663F"/>
    <w:rsid w:val="00796F91"/>
    <w:rsid w:val="007971F3"/>
    <w:rsid w:val="0079727F"/>
    <w:rsid w:val="00797347"/>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8B"/>
    <w:rsid w:val="007B44DC"/>
    <w:rsid w:val="007B4543"/>
    <w:rsid w:val="007B476E"/>
    <w:rsid w:val="007B4841"/>
    <w:rsid w:val="007B48FC"/>
    <w:rsid w:val="007B4937"/>
    <w:rsid w:val="007B4C26"/>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120"/>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A3E"/>
    <w:rsid w:val="007D0DE3"/>
    <w:rsid w:val="007D11B6"/>
    <w:rsid w:val="007D1382"/>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B8F"/>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C5B"/>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E63"/>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0D8"/>
    <w:rsid w:val="00811733"/>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7EE"/>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4C"/>
    <w:rsid w:val="00844F44"/>
    <w:rsid w:val="00845035"/>
    <w:rsid w:val="0084503E"/>
    <w:rsid w:val="0084504C"/>
    <w:rsid w:val="00845369"/>
    <w:rsid w:val="00845768"/>
    <w:rsid w:val="00845C30"/>
    <w:rsid w:val="00845E0B"/>
    <w:rsid w:val="00845F51"/>
    <w:rsid w:val="00845F6D"/>
    <w:rsid w:val="00846106"/>
    <w:rsid w:val="008462E7"/>
    <w:rsid w:val="00846467"/>
    <w:rsid w:val="0084674D"/>
    <w:rsid w:val="00846AFB"/>
    <w:rsid w:val="00846D1E"/>
    <w:rsid w:val="00846D8A"/>
    <w:rsid w:val="00847991"/>
    <w:rsid w:val="00847C4E"/>
    <w:rsid w:val="00847E72"/>
    <w:rsid w:val="008504B3"/>
    <w:rsid w:val="0085081C"/>
    <w:rsid w:val="0085126C"/>
    <w:rsid w:val="0085130C"/>
    <w:rsid w:val="00851491"/>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CB"/>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691C"/>
    <w:rsid w:val="00866B7F"/>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988"/>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75A"/>
    <w:rsid w:val="008A111D"/>
    <w:rsid w:val="008A1597"/>
    <w:rsid w:val="008A197B"/>
    <w:rsid w:val="008A1C65"/>
    <w:rsid w:val="008A1C6C"/>
    <w:rsid w:val="008A1CB6"/>
    <w:rsid w:val="008A1CF8"/>
    <w:rsid w:val="008A1DAA"/>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6CCD"/>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0C6"/>
    <w:rsid w:val="008B757A"/>
    <w:rsid w:val="008B766A"/>
    <w:rsid w:val="008B7A0E"/>
    <w:rsid w:val="008C0044"/>
    <w:rsid w:val="008C087C"/>
    <w:rsid w:val="008C0B0A"/>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7B1"/>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34E"/>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0F9A"/>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8EF"/>
    <w:rsid w:val="008E4CF3"/>
    <w:rsid w:val="008E4D72"/>
    <w:rsid w:val="008E51C3"/>
    <w:rsid w:val="008E5436"/>
    <w:rsid w:val="008E5564"/>
    <w:rsid w:val="008E5B5F"/>
    <w:rsid w:val="008E5D5A"/>
    <w:rsid w:val="008E5D7A"/>
    <w:rsid w:val="008E5E0A"/>
    <w:rsid w:val="008E627A"/>
    <w:rsid w:val="008E6333"/>
    <w:rsid w:val="008E6788"/>
    <w:rsid w:val="008E6B9F"/>
    <w:rsid w:val="008E6CE7"/>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114"/>
    <w:rsid w:val="008F7B94"/>
    <w:rsid w:val="008F7BD6"/>
    <w:rsid w:val="008F7CEF"/>
    <w:rsid w:val="008F7E34"/>
    <w:rsid w:val="008F7F61"/>
    <w:rsid w:val="0090009E"/>
    <w:rsid w:val="009000FD"/>
    <w:rsid w:val="00900688"/>
    <w:rsid w:val="009007EA"/>
    <w:rsid w:val="009009B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721"/>
    <w:rsid w:val="00905816"/>
    <w:rsid w:val="009058DE"/>
    <w:rsid w:val="00905A06"/>
    <w:rsid w:val="00906000"/>
    <w:rsid w:val="00906100"/>
    <w:rsid w:val="0090649A"/>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3CA6"/>
    <w:rsid w:val="00924108"/>
    <w:rsid w:val="0092434B"/>
    <w:rsid w:val="009245F5"/>
    <w:rsid w:val="009247D8"/>
    <w:rsid w:val="0092498F"/>
    <w:rsid w:val="00924A77"/>
    <w:rsid w:val="00924A82"/>
    <w:rsid w:val="00924F5D"/>
    <w:rsid w:val="00924F80"/>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809"/>
    <w:rsid w:val="0096392B"/>
    <w:rsid w:val="0096397B"/>
    <w:rsid w:val="00964036"/>
    <w:rsid w:val="009640C7"/>
    <w:rsid w:val="00964791"/>
    <w:rsid w:val="00964873"/>
    <w:rsid w:val="00964B17"/>
    <w:rsid w:val="00964C39"/>
    <w:rsid w:val="00964E3C"/>
    <w:rsid w:val="00964E69"/>
    <w:rsid w:val="00964EA5"/>
    <w:rsid w:val="0096504D"/>
    <w:rsid w:val="00965443"/>
    <w:rsid w:val="009654F0"/>
    <w:rsid w:val="0096569C"/>
    <w:rsid w:val="009659EA"/>
    <w:rsid w:val="00965A1D"/>
    <w:rsid w:val="009662CB"/>
    <w:rsid w:val="0096691D"/>
    <w:rsid w:val="00966EC4"/>
    <w:rsid w:val="00967148"/>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3F33"/>
    <w:rsid w:val="00973F5F"/>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389"/>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DFA"/>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4DB7"/>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6DE9"/>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087"/>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2B"/>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87E"/>
    <w:rsid w:val="009D69DA"/>
    <w:rsid w:val="009D6D32"/>
    <w:rsid w:val="009D7207"/>
    <w:rsid w:val="009D75A4"/>
    <w:rsid w:val="009D76C8"/>
    <w:rsid w:val="009D7852"/>
    <w:rsid w:val="009D7932"/>
    <w:rsid w:val="009D7DA0"/>
    <w:rsid w:val="009E07F9"/>
    <w:rsid w:val="009E0C95"/>
    <w:rsid w:val="009E0D2B"/>
    <w:rsid w:val="009E115C"/>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E7E1E"/>
    <w:rsid w:val="009F06E6"/>
    <w:rsid w:val="009F06F6"/>
    <w:rsid w:val="009F074E"/>
    <w:rsid w:val="009F0C38"/>
    <w:rsid w:val="009F0CD1"/>
    <w:rsid w:val="009F1033"/>
    <w:rsid w:val="009F14D4"/>
    <w:rsid w:val="009F14E1"/>
    <w:rsid w:val="009F1531"/>
    <w:rsid w:val="009F169F"/>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70"/>
    <w:rsid w:val="00A22D9C"/>
    <w:rsid w:val="00A2330B"/>
    <w:rsid w:val="00A23459"/>
    <w:rsid w:val="00A2349B"/>
    <w:rsid w:val="00A2361D"/>
    <w:rsid w:val="00A23730"/>
    <w:rsid w:val="00A23921"/>
    <w:rsid w:val="00A2394B"/>
    <w:rsid w:val="00A23AB0"/>
    <w:rsid w:val="00A24150"/>
    <w:rsid w:val="00A2470A"/>
    <w:rsid w:val="00A2481C"/>
    <w:rsid w:val="00A24CCF"/>
    <w:rsid w:val="00A24DF5"/>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435"/>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288"/>
    <w:rsid w:val="00A3345F"/>
    <w:rsid w:val="00A334DA"/>
    <w:rsid w:val="00A33C3D"/>
    <w:rsid w:val="00A33C9E"/>
    <w:rsid w:val="00A33E01"/>
    <w:rsid w:val="00A340A1"/>
    <w:rsid w:val="00A3439D"/>
    <w:rsid w:val="00A34788"/>
    <w:rsid w:val="00A347EF"/>
    <w:rsid w:val="00A34C1C"/>
    <w:rsid w:val="00A34D1D"/>
    <w:rsid w:val="00A34F2A"/>
    <w:rsid w:val="00A352E3"/>
    <w:rsid w:val="00A353C4"/>
    <w:rsid w:val="00A35735"/>
    <w:rsid w:val="00A35A0B"/>
    <w:rsid w:val="00A35E4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B29"/>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80C"/>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0FE"/>
    <w:rsid w:val="00A6533F"/>
    <w:rsid w:val="00A65354"/>
    <w:rsid w:val="00A656D7"/>
    <w:rsid w:val="00A65781"/>
    <w:rsid w:val="00A657CF"/>
    <w:rsid w:val="00A65A57"/>
    <w:rsid w:val="00A65FBF"/>
    <w:rsid w:val="00A66015"/>
    <w:rsid w:val="00A6603A"/>
    <w:rsid w:val="00A66089"/>
    <w:rsid w:val="00A664D2"/>
    <w:rsid w:val="00A66824"/>
    <w:rsid w:val="00A669B0"/>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D5C"/>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461"/>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D70"/>
    <w:rsid w:val="00A8221B"/>
    <w:rsid w:val="00A82665"/>
    <w:rsid w:val="00A82979"/>
    <w:rsid w:val="00A82A27"/>
    <w:rsid w:val="00A82ADE"/>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739"/>
    <w:rsid w:val="00A930F9"/>
    <w:rsid w:val="00A934FE"/>
    <w:rsid w:val="00A93715"/>
    <w:rsid w:val="00A9399B"/>
    <w:rsid w:val="00A939D3"/>
    <w:rsid w:val="00A93B4D"/>
    <w:rsid w:val="00A93BDA"/>
    <w:rsid w:val="00A93E41"/>
    <w:rsid w:val="00A93E56"/>
    <w:rsid w:val="00A93FDF"/>
    <w:rsid w:val="00A94187"/>
    <w:rsid w:val="00A943D6"/>
    <w:rsid w:val="00A9456B"/>
    <w:rsid w:val="00A94A2A"/>
    <w:rsid w:val="00A94A70"/>
    <w:rsid w:val="00A94A84"/>
    <w:rsid w:val="00A94CAC"/>
    <w:rsid w:val="00A94D0B"/>
    <w:rsid w:val="00A9505F"/>
    <w:rsid w:val="00A951FD"/>
    <w:rsid w:val="00A95262"/>
    <w:rsid w:val="00A9526D"/>
    <w:rsid w:val="00A9544F"/>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A9D"/>
    <w:rsid w:val="00A97B8C"/>
    <w:rsid w:val="00A97BCA"/>
    <w:rsid w:val="00A97E1F"/>
    <w:rsid w:val="00A97E7B"/>
    <w:rsid w:val="00AA0003"/>
    <w:rsid w:val="00AA0BE7"/>
    <w:rsid w:val="00AA0EDB"/>
    <w:rsid w:val="00AA158B"/>
    <w:rsid w:val="00AA16D6"/>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5E0"/>
    <w:rsid w:val="00AA56AE"/>
    <w:rsid w:val="00AA5960"/>
    <w:rsid w:val="00AA5C8F"/>
    <w:rsid w:val="00AA6026"/>
    <w:rsid w:val="00AA6075"/>
    <w:rsid w:val="00AA6206"/>
    <w:rsid w:val="00AA630A"/>
    <w:rsid w:val="00AA6933"/>
    <w:rsid w:val="00AA69EF"/>
    <w:rsid w:val="00AA6B64"/>
    <w:rsid w:val="00AA6C06"/>
    <w:rsid w:val="00AA6DCE"/>
    <w:rsid w:val="00AA6F9A"/>
    <w:rsid w:val="00AA71F6"/>
    <w:rsid w:val="00AA7744"/>
    <w:rsid w:val="00AA7ABD"/>
    <w:rsid w:val="00AA7BBE"/>
    <w:rsid w:val="00AA7C4F"/>
    <w:rsid w:val="00AB001C"/>
    <w:rsid w:val="00AB00CD"/>
    <w:rsid w:val="00AB0151"/>
    <w:rsid w:val="00AB02C8"/>
    <w:rsid w:val="00AB0476"/>
    <w:rsid w:val="00AB0507"/>
    <w:rsid w:val="00AB06B8"/>
    <w:rsid w:val="00AB0ADE"/>
    <w:rsid w:val="00AB0CA0"/>
    <w:rsid w:val="00AB102D"/>
    <w:rsid w:val="00AB1565"/>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4C5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496"/>
    <w:rsid w:val="00AC2473"/>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9E2"/>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9BF"/>
    <w:rsid w:val="00AE2BF0"/>
    <w:rsid w:val="00AE2BFE"/>
    <w:rsid w:val="00AE2C77"/>
    <w:rsid w:val="00AE2DDF"/>
    <w:rsid w:val="00AE3004"/>
    <w:rsid w:val="00AE36E1"/>
    <w:rsid w:val="00AE3CE1"/>
    <w:rsid w:val="00AE4318"/>
    <w:rsid w:val="00AE4557"/>
    <w:rsid w:val="00AE4A1F"/>
    <w:rsid w:val="00AE4B5C"/>
    <w:rsid w:val="00AE4C51"/>
    <w:rsid w:val="00AE4C55"/>
    <w:rsid w:val="00AE4F01"/>
    <w:rsid w:val="00AE5323"/>
    <w:rsid w:val="00AE552C"/>
    <w:rsid w:val="00AE567B"/>
    <w:rsid w:val="00AE5749"/>
    <w:rsid w:val="00AE576A"/>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7EC"/>
    <w:rsid w:val="00AF28B0"/>
    <w:rsid w:val="00AF2A7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0AD"/>
    <w:rsid w:val="00B12440"/>
    <w:rsid w:val="00B124BA"/>
    <w:rsid w:val="00B12E5E"/>
    <w:rsid w:val="00B12F78"/>
    <w:rsid w:val="00B137BE"/>
    <w:rsid w:val="00B137D3"/>
    <w:rsid w:val="00B1388A"/>
    <w:rsid w:val="00B13EA6"/>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2A"/>
    <w:rsid w:val="00B25585"/>
    <w:rsid w:val="00B2593D"/>
    <w:rsid w:val="00B25974"/>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37F88"/>
    <w:rsid w:val="00B4003E"/>
    <w:rsid w:val="00B40292"/>
    <w:rsid w:val="00B40486"/>
    <w:rsid w:val="00B404EF"/>
    <w:rsid w:val="00B405D6"/>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A0C"/>
    <w:rsid w:val="00B6784C"/>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1F60"/>
    <w:rsid w:val="00B72184"/>
    <w:rsid w:val="00B7273B"/>
    <w:rsid w:val="00B727B8"/>
    <w:rsid w:val="00B7288E"/>
    <w:rsid w:val="00B728F8"/>
    <w:rsid w:val="00B73168"/>
    <w:rsid w:val="00B73259"/>
    <w:rsid w:val="00B73453"/>
    <w:rsid w:val="00B737C7"/>
    <w:rsid w:val="00B737D9"/>
    <w:rsid w:val="00B73B14"/>
    <w:rsid w:val="00B7414E"/>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4C"/>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0DC"/>
    <w:rsid w:val="00B86485"/>
    <w:rsid w:val="00B86557"/>
    <w:rsid w:val="00B86686"/>
    <w:rsid w:val="00B86734"/>
    <w:rsid w:val="00B8678D"/>
    <w:rsid w:val="00B8692C"/>
    <w:rsid w:val="00B86988"/>
    <w:rsid w:val="00B86A4D"/>
    <w:rsid w:val="00B86BDC"/>
    <w:rsid w:val="00B86EC5"/>
    <w:rsid w:val="00B87094"/>
    <w:rsid w:val="00B872AE"/>
    <w:rsid w:val="00B874B3"/>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60"/>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126"/>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4B00"/>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B98"/>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52E"/>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65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07E"/>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114"/>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8B4"/>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56"/>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3C8"/>
    <w:rsid w:val="00C274BE"/>
    <w:rsid w:val="00C275A3"/>
    <w:rsid w:val="00C27B46"/>
    <w:rsid w:val="00C27C3C"/>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7A"/>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9E4"/>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5FEF"/>
    <w:rsid w:val="00C5638E"/>
    <w:rsid w:val="00C56918"/>
    <w:rsid w:val="00C569CA"/>
    <w:rsid w:val="00C56A5F"/>
    <w:rsid w:val="00C5707E"/>
    <w:rsid w:val="00C57CC6"/>
    <w:rsid w:val="00C57D03"/>
    <w:rsid w:val="00C57FE8"/>
    <w:rsid w:val="00C60193"/>
    <w:rsid w:val="00C601EB"/>
    <w:rsid w:val="00C6068B"/>
    <w:rsid w:val="00C609A7"/>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777"/>
    <w:rsid w:val="00C65B70"/>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052"/>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39A"/>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89"/>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4E8"/>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3E5"/>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78"/>
    <w:rsid w:val="00CA4CD7"/>
    <w:rsid w:val="00CA4FE7"/>
    <w:rsid w:val="00CA51A0"/>
    <w:rsid w:val="00CA5F13"/>
    <w:rsid w:val="00CA6164"/>
    <w:rsid w:val="00CA6254"/>
    <w:rsid w:val="00CA636F"/>
    <w:rsid w:val="00CA6410"/>
    <w:rsid w:val="00CA6819"/>
    <w:rsid w:val="00CA7050"/>
    <w:rsid w:val="00CA71D1"/>
    <w:rsid w:val="00CA73B2"/>
    <w:rsid w:val="00CA73E5"/>
    <w:rsid w:val="00CA74E8"/>
    <w:rsid w:val="00CA7695"/>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7F"/>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09"/>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847"/>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2C6"/>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CB7"/>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1A"/>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71"/>
    <w:rsid w:val="00D15D13"/>
    <w:rsid w:val="00D15D5B"/>
    <w:rsid w:val="00D15D9D"/>
    <w:rsid w:val="00D16103"/>
    <w:rsid w:val="00D1624D"/>
    <w:rsid w:val="00D163B5"/>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85"/>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877"/>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4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52"/>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2D8"/>
    <w:rsid w:val="00D633C2"/>
    <w:rsid w:val="00D63BAD"/>
    <w:rsid w:val="00D63C2C"/>
    <w:rsid w:val="00D63C5F"/>
    <w:rsid w:val="00D6410E"/>
    <w:rsid w:val="00D6420E"/>
    <w:rsid w:val="00D642F2"/>
    <w:rsid w:val="00D6433E"/>
    <w:rsid w:val="00D64346"/>
    <w:rsid w:val="00D6447E"/>
    <w:rsid w:val="00D6453F"/>
    <w:rsid w:val="00D647C9"/>
    <w:rsid w:val="00D647F6"/>
    <w:rsid w:val="00D647F9"/>
    <w:rsid w:val="00D6485C"/>
    <w:rsid w:val="00D6492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228"/>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C8A"/>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0F52"/>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636C"/>
    <w:rsid w:val="00D865CF"/>
    <w:rsid w:val="00D86833"/>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7B"/>
    <w:rsid w:val="00D912DF"/>
    <w:rsid w:val="00D9154A"/>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6D"/>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56"/>
    <w:rsid w:val="00DA3BAD"/>
    <w:rsid w:val="00DA3BE7"/>
    <w:rsid w:val="00DA3E2A"/>
    <w:rsid w:val="00DA3F00"/>
    <w:rsid w:val="00DA3F7F"/>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7DA"/>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AE9"/>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7FD"/>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00F"/>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8B5"/>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78F"/>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3C9"/>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ACF"/>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B77"/>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6F6"/>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57C7D"/>
    <w:rsid w:val="00E57F85"/>
    <w:rsid w:val="00E6000E"/>
    <w:rsid w:val="00E60241"/>
    <w:rsid w:val="00E6029F"/>
    <w:rsid w:val="00E602C9"/>
    <w:rsid w:val="00E60369"/>
    <w:rsid w:val="00E60884"/>
    <w:rsid w:val="00E608B7"/>
    <w:rsid w:val="00E60C2D"/>
    <w:rsid w:val="00E60F80"/>
    <w:rsid w:val="00E613CC"/>
    <w:rsid w:val="00E613DB"/>
    <w:rsid w:val="00E616F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40"/>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25"/>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56C"/>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C75"/>
    <w:rsid w:val="00EA5EB9"/>
    <w:rsid w:val="00EA5F07"/>
    <w:rsid w:val="00EA5F39"/>
    <w:rsid w:val="00EA6506"/>
    <w:rsid w:val="00EA66F6"/>
    <w:rsid w:val="00EA673B"/>
    <w:rsid w:val="00EA708C"/>
    <w:rsid w:val="00EA72BF"/>
    <w:rsid w:val="00EA760C"/>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97A"/>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8CD"/>
    <w:rsid w:val="00EC0A4B"/>
    <w:rsid w:val="00EC0BE4"/>
    <w:rsid w:val="00EC0CA0"/>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081"/>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9B"/>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C07"/>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2E"/>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602"/>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3EE7"/>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A3"/>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365"/>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E84"/>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9ED"/>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540"/>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37D32"/>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047"/>
    <w:rsid w:val="00F431C9"/>
    <w:rsid w:val="00F43360"/>
    <w:rsid w:val="00F4348C"/>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63E"/>
    <w:rsid w:val="00F47720"/>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411"/>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A0D"/>
    <w:rsid w:val="00F60D68"/>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0EF"/>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84"/>
    <w:rsid w:val="00F763DF"/>
    <w:rsid w:val="00F76786"/>
    <w:rsid w:val="00F76841"/>
    <w:rsid w:val="00F76A60"/>
    <w:rsid w:val="00F76B03"/>
    <w:rsid w:val="00F76B74"/>
    <w:rsid w:val="00F77003"/>
    <w:rsid w:val="00F77363"/>
    <w:rsid w:val="00F773E4"/>
    <w:rsid w:val="00F77613"/>
    <w:rsid w:val="00F7768C"/>
    <w:rsid w:val="00F77863"/>
    <w:rsid w:val="00F7792A"/>
    <w:rsid w:val="00F77C47"/>
    <w:rsid w:val="00F77CFA"/>
    <w:rsid w:val="00F77E63"/>
    <w:rsid w:val="00F77F77"/>
    <w:rsid w:val="00F800C1"/>
    <w:rsid w:val="00F80347"/>
    <w:rsid w:val="00F80D32"/>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3A"/>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4D3"/>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0EB"/>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391"/>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897"/>
    <w:rsid w:val="00FA2AB0"/>
    <w:rsid w:val="00FA2E85"/>
    <w:rsid w:val="00FA36E8"/>
    <w:rsid w:val="00FA375C"/>
    <w:rsid w:val="00FA3ADA"/>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6EF8"/>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946"/>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758"/>
    <w:rsid w:val="00FC0AB4"/>
    <w:rsid w:val="00FC0B0B"/>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34"/>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5D8"/>
    <w:rsid w:val="00FD197D"/>
    <w:rsid w:val="00FD21DD"/>
    <w:rsid w:val="00FD2524"/>
    <w:rsid w:val="00FD2804"/>
    <w:rsid w:val="00FD282A"/>
    <w:rsid w:val="00FD2A71"/>
    <w:rsid w:val="00FD2B66"/>
    <w:rsid w:val="00FD3149"/>
    <w:rsid w:val="00FD3905"/>
    <w:rsid w:val="00FD3C15"/>
    <w:rsid w:val="00FD4212"/>
    <w:rsid w:val="00FD4620"/>
    <w:rsid w:val="00FD4652"/>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51"/>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3F8A"/>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 w:val="174F1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unhideWhenUsed="0" w:uiPriority="0" w:semiHidden="0" w:name="heading 8"/>
    <w:lsdException w:unhideWhenUsed="0" w:uiPriority="0" w:semiHidden="0" w:name="heading 9"/>
    <w:lsdException w:unhideWhenUsed="0" w:uiPriority="99" w:name="index 1"/>
    <w:lsdException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cs="Times New Roman" w:eastAsiaTheme="minorEastAsia"/>
      <w:lang w:val="en-GB" w:eastAsia="en-US" w:bidi="ar-SA"/>
    </w:rPr>
  </w:style>
  <w:style w:type="paragraph" w:styleId="2">
    <w:name w:val="heading 1"/>
    <w:next w:val="1"/>
    <w:link w:val="114"/>
    <w:qFormat/>
    <w:uiPriority w:val="9"/>
    <w:pPr>
      <w:keepNext/>
      <w:keepLines/>
      <w:numPr>
        <w:ilvl w:val="0"/>
        <w:numId w:val="1"/>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eastAsiaTheme="minorEastAsia"/>
      <w:sz w:val="36"/>
      <w:lang w:val="en-GB" w:eastAsia="en-US" w:bidi="ar-SA"/>
    </w:rPr>
  </w:style>
  <w:style w:type="paragraph" w:styleId="3">
    <w:name w:val="heading 2"/>
    <w:basedOn w:val="2"/>
    <w:next w:val="1"/>
    <w:link w:val="115"/>
    <w:qFormat/>
    <w:uiPriority w:val="9"/>
    <w:pPr>
      <w:numPr>
        <w:ilvl w:val="1"/>
      </w:numPr>
      <w:pBdr>
        <w:top w:val="none" w:color="auto" w:sz="0" w:space="0"/>
      </w:pBdr>
      <w:spacing w:before="180"/>
      <w:outlineLvl w:val="1"/>
    </w:pPr>
    <w:rPr>
      <w:sz w:val="32"/>
    </w:rPr>
  </w:style>
  <w:style w:type="paragraph" w:styleId="4">
    <w:name w:val="heading 3"/>
    <w:basedOn w:val="3"/>
    <w:next w:val="1"/>
    <w:link w:val="116"/>
    <w:qFormat/>
    <w:uiPriority w:val="0"/>
    <w:pPr>
      <w:numPr>
        <w:ilvl w:val="2"/>
      </w:numPr>
      <w:spacing w:before="120"/>
      <w:outlineLvl w:val="2"/>
    </w:pPr>
    <w:rPr>
      <w:sz w:val="28"/>
    </w:rPr>
  </w:style>
  <w:style w:type="paragraph" w:styleId="5">
    <w:name w:val="heading 4"/>
    <w:basedOn w:val="4"/>
    <w:next w:val="1"/>
    <w:link w:val="117"/>
    <w:qFormat/>
    <w:uiPriority w:val="9"/>
    <w:pPr>
      <w:numPr>
        <w:ilvl w:val="3"/>
      </w:numPr>
      <w:outlineLvl w:val="3"/>
    </w:pPr>
    <w:rPr>
      <w:sz w:val="24"/>
    </w:rPr>
  </w:style>
  <w:style w:type="paragraph" w:styleId="6">
    <w:name w:val="heading 5"/>
    <w:basedOn w:val="5"/>
    <w:next w:val="1"/>
    <w:link w:val="118"/>
    <w:qFormat/>
    <w:uiPriority w:val="9"/>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uiPriority w:val="0"/>
    <w:pPr>
      <w:ind w:left="0" w:firstLine="0"/>
      <w:outlineLvl w:val="7"/>
    </w:pPr>
  </w:style>
  <w:style w:type="paragraph" w:styleId="11">
    <w:name w:val="heading 9"/>
    <w:basedOn w:val="10"/>
    <w:next w:val="1"/>
    <w:uiPriority w:val="0"/>
    <w:pPr>
      <w:outlineLvl w:val="8"/>
    </w:pPr>
  </w:style>
  <w:style w:type="character" w:default="1" w:styleId="63">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ind w:left="2268" w:hanging="2268"/>
    </w:pPr>
  </w:style>
  <w:style w:type="paragraph" w:styleId="16">
    <w:name w:val="toc 6"/>
    <w:basedOn w:val="17"/>
    <w:next w:val="1"/>
    <w:semiHidden/>
    <w:qFormat/>
    <w:uiPriority w:val="0"/>
    <w:pPr>
      <w:ind w:left="1985" w:hanging="1985"/>
    </w:pPr>
  </w:style>
  <w:style w:type="paragraph" w:styleId="17">
    <w:name w:val="toc 5"/>
    <w:basedOn w:val="18"/>
    <w:next w:val="1"/>
    <w:semiHidden/>
    <w:uiPriority w:val="0"/>
    <w:pPr>
      <w:ind w:left="1701" w:hanging="1701"/>
    </w:pPr>
  </w:style>
  <w:style w:type="paragraph" w:styleId="18">
    <w:name w:val="toc 4"/>
    <w:basedOn w:val="19"/>
    <w:next w:val="1"/>
    <w:semiHidden/>
    <w:uiPriority w:val="0"/>
    <w:pPr>
      <w:ind w:left="1418" w:hanging="1418"/>
    </w:pPr>
  </w:style>
  <w:style w:type="paragraph" w:styleId="19">
    <w:name w:val="toc 3"/>
    <w:basedOn w:val="20"/>
    <w:next w:val="1"/>
    <w:semiHidden/>
    <w:qFormat/>
    <w:uiPriority w:val="0"/>
    <w:pPr>
      <w:ind w:left="1134" w:hanging="1134"/>
    </w:pPr>
  </w:style>
  <w:style w:type="paragraph" w:styleId="20">
    <w:name w:val="toc 2"/>
    <w:basedOn w:val="21"/>
    <w:next w:val="1"/>
    <w:link w:val="168"/>
    <w:semiHidden/>
    <w:qFormat/>
    <w:uiPriority w:val="0"/>
    <w:pPr>
      <w:spacing w:before="0"/>
      <w:ind w:left="851" w:hanging="851"/>
    </w:pPr>
    <w:rPr>
      <w:sz w:val="20"/>
    </w:rPr>
  </w:style>
  <w:style w:type="paragraph" w:customStyle="1" w:styleId="21">
    <w:name w:val="3GPP Agreements"/>
    <w:basedOn w:val="1"/>
    <w:link w:val="167"/>
    <w:qFormat/>
    <w:uiPriority w:val="0"/>
    <w:pPr>
      <w:numPr>
        <w:ilvl w:val="0"/>
        <w:numId w:val="2"/>
      </w:numPr>
      <w:spacing w:before="60" w:after="60"/>
      <w:jc w:val="both"/>
    </w:pPr>
    <w:rPr>
      <w:sz w:val="22"/>
      <w:lang w:val="en-US" w:eastAsia="zh-CN"/>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index 8"/>
    <w:basedOn w:val="1"/>
    <w:next w:val="1"/>
    <w:qFormat/>
    <w:uiPriority w:val="0"/>
    <w:pPr>
      <w:spacing w:after="0"/>
      <w:ind w:left="1600" w:hanging="200"/>
    </w:pPr>
    <w:rPr>
      <w:rFonts w:ascii="Calibri" w:hAnsi="Calibri" w:cs="Calibri"/>
    </w:rPr>
  </w:style>
  <w:style w:type="paragraph" w:styleId="29">
    <w:name w:val="caption"/>
    <w:basedOn w:val="1"/>
    <w:next w:val="1"/>
    <w:link w:val="136"/>
    <w:qFormat/>
    <w:uiPriority w:val="0"/>
    <w:pPr>
      <w:spacing w:before="120"/>
    </w:pPr>
    <w:rPr>
      <w:b/>
      <w:bCs/>
    </w:rPr>
  </w:style>
  <w:style w:type="paragraph" w:styleId="30">
    <w:name w:val="index 5"/>
    <w:basedOn w:val="1"/>
    <w:next w:val="1"/>
    <w:qFormat/>
    <w:uiPriority w:val="0"/>
    <w:pPr>
      <w:spacing w:after="0"/>
      <w:ind w:left="1000" w:hanging="200"/>
    </w:pPr>
    <w:rPr>
      <w:rFonts w:ascii="Calibri" w:hAnsi="Calibri" w:cs="Calibri"/>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128"/>
    <w:qFormat/>
    <w:uiPriority w:val="0"/>
  </w:style>
  <w:style w:type="paragraph" w:styleId="33">
    <w:name w:val="index 6"/>
    <w:basedOn w:val="1"/>
    <w:next w:val="1"/>
    <w:qFormat/>
    <w:uiPriority w:val="0"/>
    <w:pPr>
      <w:spacing w:after="0"/>
      <w:ind w:left="1200" w:hanging="200"/>
    </w:pPr>
    <w:rPr>
      <w:rFonts w:ascii="Calibri" w:hAnsi="Calibri" w:cs="Calibri"/>
    </w:rPr>
  </w:style>
  <w:style w:type="paragraph" w:styleId="34">
    <w:name w:val="Body Text 3"/>
    <w:basedOn w:val="1"/>
    <w:qFormat/>
    <w:uiPriority w:val="0"/>
    <w:rPr>
      <w:i/>
    </w:rPr>
  </w:style>
  <w:style w:type="paragraph" w:styleId="35">
    <w:name w:val="Body Text"/>
    <w:basedOn w:val="1"/>
    <w:qFormat/>
    <w:uiPriority w:val="0"/>
    <w:pPr>
      <w:jc w:val="both"/>
    </w:pPr>
    <w:rPr>
      <w:rFonts w:ascii="Times" w:hAnsi="Times"/>
      <w:szCs w:val="24"/>
      <w:lang w:val="en-US"/>
    </w:rPr>
  </w:style>
  <w:style w:type="paragraph" w:styleId="36">
    <w:name w:val="index 4"/>
    <w:basedOn w:val="1"/>
    <w:next w:val="1"/>
    <w:qFormat/>
    <w:uiPriority w:val="0"/>
    <w:pPr>
      <w:spacing w:after="0"/>
      <w:ind w:left="800" w:hanging="200"/>
    </w:pPr>
    <w:rPr>
      <w:rFonts w:ascii="Calibri" w:hAnsi="Calibri" w:cs="Calibri"/>
    </w:rPr>
  </w:style>
  <w:style w:type="paragraph" w:styleId="37">
    <w:name w:val="Plain Text"/>
    <w:basedOn w:val="1"/>
    <w:link w:val="184"/>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38">
    <w:name w:val="List Bullet 5"/>
    <w:basedOn w:val="24"/>
    <w:qFormat/>
    <w:uiPriority w:val="0"/>
    <w:pPr>
      <w:ind w:left="1702"/>
    </w:pPr>
  </w:style>
  <w:style w:type="paragraph" w:styleId="39">
    <w:name w:val="List Number 4"/>
    <w:basedOn w:val="1"/>
    <w:qFormat/>
    <w:uiPriority w:val="0"/>
    <w:pPr>
      <w:numPr>
        <w:ilvl w:val="0"/>
        <w:numId w:val="3"/>
      </w:numPr>
      <w:tabs>
        <w:tab w:val="left" w:pos="1209"/>
      </w:tabs>
      <w:ind w:left="1209"/>
    </w:pPr>
    <w:rPr>
      <w:rFonts w:eastAsia="MS Mincho"/>
      <w:lang w:eastAsia="en-GB"/>
    </w:rPr>
  </w:style>
  <w:style w:type="paragraph" w:styleId="40">
    <w:name w:val="toc 8"/>
    <w:basedOn w:val="41"/>
    <w:next w:val="1"/>
    <w:semiHidden/>
    <w:uiPriority w:val="0"/>
    <w:pPr>
      <w:tabs>
        <w:tab w:val="right" w:leader="dot" w:pos="9639"/>
      </w:tabs>
      <w:spacing w:before="180"/>
      <w:ind w:left="2693" w:hanging="2693"/>
    </w:pPr>
    <w:rPr>
      <w:b/>
    </w:rPr>
  </w:style>
  <w:style w:type="paragraph" w:styleId="4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US" w:eastAsia="en-US" w:bidi="ar-SA"/>
    </w:rPr>
  </w:style>
  <w:style w:type="paragraph" w:styleId="42">
    <w:name w:val="index 3"/>
    <w:basedOn w:val="1"/>
    <w:next w:val="1"/>
    <w:qFormat/>
    <w:uiPriority w:val="0"/>
    <w:pPr>
      <w:spacing w:after="0"/>
      <w:ind w:left="600" w:hanging="200"/>
    </w:pPr>
    <w:rPr>
      <w:rFonts w:ascii="Calibri" w:hAnsi="Calibri" w:cs="Calibri"/>
    </w:rPr>
  </w:style>
  <w:style w:type="paragraph" w:styleId="43">
    <w:name w:val="Balloon Text"/>
    <w:basedOn w:val="1"/>
    <w:semiHidden/>
    <w:qFormat/>
    <w:uiPriority w:val="0"/>
    <w:rPr>
      <w:rFonts w:ascii="Tahoma" w:hAnsi="Tahoma" w:cs="Tahoma"/>
      <w:sz w:val="16"/>
      <w:szCs w:val="16"/>
    </w:rPr>
  </w:style>
  <w:style w:type="paragraph" w:styleId="44">
    <w:name w:val="footer"/>
    <w:basedOn w:val="45"/>
    <w:link w:val="130"/>
    <w:qFormat/>
    <w:uiPriority w:val="99"/>
    <w:pPr>
      <w:jc w:val="center"/>
    </w:pPr>
    <w:rPr>
      <w:i/>
    </w:rPr>
  </w:style>
  <w:style w:type="paragraph" w:styleId="45">
    <w:name w:val="header"/>
    <w:link w:val="131"/>
    <w:qFormat/>
    <w:uiPriority w:val="0"/>
    <w:pPr>
      <w:widowControl w:val="0"/>
      <w:overflowPunct w:val="0"/>
      <w:autoSpaceDE w:val="0"/>
      <w:autoSpaceDN w:val="0"/>
      <w:adjustRightInd w:val="0"/>
      <w:textAlignment w:val="baseline"/>
    </w:pPr>
    <w:rPr>
      <w:rFonts w:ascii="Arial" w:hAnsi="Arial" w:cs="Times New Roman" w:eastAsiaTheme="minorEastAsia"/>
      <w:b/>
      <w:sz w:val="18"/>
      <w:lang w:val="en-US" w:eastAsia="en-US" w:bidi="ar-SA"/>
    </w:rPr>
  </w:style>
  <w:style w:type="paragraph" w:styleId="46">
    <w:name w:val="index heading"/>
    <w:basedOn w:val="1"/>
    <w:next w:val="47"/>
    <w:qFormat/>
    <w:uiPriority w:val="99"/>
    <w:pPr>
      <w:spacing w:after="0"/>
    </w:pPr>
    <w:rPr>
      <w:rFonts w:ascii="Calibri" w:hAnsi="Calibri" w:cs="Calibri"/>
    </w:rPr>
  </w:style>
  <w:style w:type="paragraph" w:styleId="47">
    <w:name w:val="index 1"/>
    <w:basedOn w:val="1"/>
    <w:next w:val="1"/>
    <w:semiHidden/>
    <w:uiPriority w:val="99"/>
    <w:pPr>
      <w:spacing w:after="0"/>
      <w:ind w:left="200" w:hanging="200"/>
    </w:pPr>
    <w:rPr>
      <w:rFonts w:ascii="Calibri" w:hAnsi="Calibri" w:cs="Calibri"/>
    </w:rPr>
  </w:style>
  <w:style w:type="paragraph" w:styleId="48">
    <w:name w:val="Subtitle"/>
    <w:basedOn w:val="1"/>
    <w:next w:val="1"/>
    <w:link w:val="126"/>
    <w:qFormat/>
    <w:uiPriority w:val="0"/>
    <w:pPr>
      <w:spacing w:after="60"/>
      <w:jc w:val="center"/>
      <w:outlineLvl w:val="1"/>
    </w:pPr>
    <w:rPr>
      <w:rFonts w:ascii="Cambria" w:hAnsi="Cambria" w:eastAsia="Times New Roman"/>
      <w:sz w:val="24"/>
      <w:szCs w:val="24"/>
    </w:rPr>
  </w:style>
  <w:style w:type="paragraph" w:styleId="49">
    <w:name w:val="footnote text"/>
    <w:basedOn w:val="1"/>
    <w:link w:val="155"/>
    <w:semiHidden/>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index 7"/>
    <w:basedOn w:val="1"/>
    <w:next w:val="1"/>
    <w:qFormat/>
    <w:uiPriority w:val="0"/>
    <w:pPr>
      <w:spacing w:after="0"/>
      <w:ind w:left="1400" w:hanging="200"/>
    </w:pPr>
    <w:rPr>
      <w:rFonts w:ascii="Calibri" w:hAnsi="Calibri" w:cs="Calibri"/>
    </w:rPr>
  </w:style>
  <w:style w:type="paragraph" w:styleId="53">
    <w:name w:val="index 9"/>
    <w:basedOn w:val="1"/>
    <w:next w:val="1"/>
    <w:qFormat/>
    <w:uiPriority w:val="0"/>
    <w:pPr>
      <w:spacing w:after="0"/>
      <w:ind w:left="1800" w:hanging="200"/>
    </w:pPr>
    <w:rPr>
      <w:rFonts w:ascii="Calibri" w:hAnsi="Calibri" w:cs="Calibri"/>
    </w:rPr>
  </w:style>
  <w:style w:type="paragraph" w:styleId="54">
    <w:name w:val="table of figures"/>
    <w:basedOn w:val="1"/>
    <w:next w:val="1"/>
    <w:qFormat/>
    <w:uiPriority w:val="99"/>
    <w:pPr>
      <w:spacing w:after="0"/>
      <w:ind w:left="400" w:hanging="400"/>
    </w:pPr>
    <w:rPr>
      <w:rFonts w:ascii="Calibri" w:hAnsi="Calibri" w:cs="Calibri"/>
      <w:b/>
      <w:bCs/>
    </w:rPr>
  </w:style>
  <w:style w:type="paragraph" w:styleId="55">
    <w:name w:val="toc 9"/>
    <w:basedOn w:val="40"/>
    <w:next w:val="1"/>
    <w:semiHidden/>
    <w:uiPriority w:val="0"/>
    <w:pPr>
      <w:ind w:left="1418" w:hanging="1418"/>
    </w:pPr>
  </w:style>
  <w:style w:type="paragraph" w:styleId="56">
    <w:name w:val="Body Text 2"/>
    <w:basedOn w:val="1"/>
    <w:qFormat/>
    <w:uiPriority w:val="0"/>
    <w:pPr>
      <w:tabs>
        <w:tab w:val="left" w:pos="1985"/>
      </w:tabs>
      <w:spacing w:after="0"/>
      <w:jc w:val="both"/>
    </w:pPr>
    <w:rPr>
      <w:rFonts w:ascii="Arial" w:hAnsi="Arial"/>
      <w:sz w:val="22"/>
    </w:rPr>
  </w:style>
  <w:style w:type="paragraph" w:styleId="57">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58">
    <w:name w:val="index 2"/>
    <w:basedOn w:val="47"/>
    <w:next w:val="1"/>
    <w:semiHidden/>
    <w:uiPriority w:val="0"/>
    <w:pPr>
      <w:ind w:left="400"/>
    </w:pPr>
  </w:style>
  <w:style w:type="paragraph" w:styleId="59">
    <w:name w:val="annotation subject"/>
    <w:basedOn w:val="32"/>
    <w:next w:val="32"/>
    <w:link w:val="178"/>
    <w:qFormat/>
    <w:uiPriority w:val="99"/>
    <w:rPr>
      <w:b/>
      <w:bCs/>
    </w:rPr>
  </w:style>
  <w:style w:type="table" w:styleId="61">
    <w:name w:val="Table Grid"/>
    <w:basedOn w:val="60"/>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Dark List Accent 6"/>
    <w:basedOn w:val="60"/>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4">
    <w:name w:val="page number"/>
    <w:basedOn w:val="63"/>
    <w:qFormat/>
    <w:uiPriority w:val="0"/>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Hyperlink"/>
    <w:qFormat/>
    <w:uiPriority w:val="99"/>
    <w:rPr>
      <w:color w:val="0000FF"/>
      <w:u w:val="single"/>
    </w:rPr>
  </w:style>
  <w:style w:type="character" w:styleId="68">
    <w:name w:val="annotation reference"/>
    <w:qFormat/>
    <w:uiPriority w:val="0"/>
    <w:rPr>
      <w:sz w:val="16"/>
      <w:szCs w:val="16"/>
    </w:rPr>
  </w:style>
  <w:style w:type="character" w:styleId="69">
    <w:name w:val="footnote reference"/>
    <w:semiHidden/>
    <w:qFormat/>
    <w:uiPriority w:val="0"/>
    <w:rPr>
      <w:b/>
      <w:position w:val="6"/>
      <w:sz w:val="16"/>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US" w:bidi="ar-SA"/>
    </w:rPr>
  </w:style>
  <w:style w:type="paragraph" w:customStyle="1" w:styleId="71">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US" w:eastAsia="en-US" w:bidi="ar-SA"/>
    </w:rPr>
  </w:style>
  <w:style w:type="paragraph" w:customStyle="1" w:styleId="72">
    <w:name w:val="TT"/>
    <w:basedOn w:val="2"/>
    <w:next w:val="1"/>
    <w:uiPriority w:val="0"/>
    <w:pPr>
      <w:outlineLvl w:val="9"/>
    </w:pPr>
  </w:style>
  <w:style w:type="paragraph" w:customStyle="1" w:styleId="73">
    <w:name w:val="TAH"/>
    <w:basedOn w:val="74"/>
    <w:link w:val="143"/>
    <w:qFormat/>
    <w:uiPriority w:val="0"/>
    <w:rPr>
      <w:b/>
    </w:rPr>
  </w:style>
  <w:style w:type="paragraph" w:customStyle="1" w:styleId="74">
    <w:name w:val="TAC"/>
    <w:basedOn w:val="75"/>
    <w:link w:val="135"/>
    <w:uiPriority w:val="0"/>
    <w:pPr>
      <w:jc w:val="center"/>
    </w:pPr>
  </w:style>
  <w:style w:type="paragraph" w:customStyle="1" w:styleId="75">
    <w:name w:val="TAL"/>
    <w:basedOn w:val="1"/>
    <w:link w:val="133"/>
    <w:qFormat/>
    <w:uiPriority w:val="0"/>
    <w:pPr>
      <w:keepNext/>
      <w:keepLines/>
      <w:spacing w:after="0"/>
    </w:pPr>
    <w:rPr>
      <w:rFonts w:ascii="Arial" w:hAnsi="Arial"/>
      <w:sz w:val="18"/>
    </w:rPr>
  </w:style>
  <w:style w:type="paragraph" w:customStyle="1" w:styleId="76">
    <w:name w:val="TF"/>
    <w:basedOn w:val="77"/>
    <w:link w:val="142"/>
    <w:qFormat/>
    <w:uiPriority w:val="0"/>
    <w:pPr>
      <w:keepNext w:val="0"/>
      <w:spacing w:before="0" w:after="240"/>
    </w:pPr>
  </w:style>
  <w:style w:type="paragraph" w:customStyle="1" w:styleId="77">
    <w:name w:val="TH"/>
    <w:basedOn w:val="1"/>
    <w:link w:val="134"/>
    <w:qFormat/>
    <w:uiPriority w:val="0"/>
    <w:pPr>
      <w:keepNext/>
      <w:keepLines/>
      <w:spacing w:before="60"/>
      <w:jc w:val="center"/>
    </w:pPr>
    <w:rPr>
      <w:rFonts w:ascii="Arial" w:hAnsi="Arial"/>
      <w:b/>
    </w:rPr>
  </w:style>
  <w:style w:type="paragraph" w:customStyle="1" w:styleId="78">
    <w:name w:val="NO"/>
    <w:basedOn w:val="1"/>
    <w:link w:val="157"/>
    <w:qFormat/>
    <w:uiPriority w:val="0"/>
    <w:pPr>
      <w:keepLines/>
      <w:ind w:left="1135" w:hanging="851"/>
    </w:pPr>
  </w:style>
  <w:style w:type="paragraph" w:customStyle="1" w:styleId="79">
    <w:name w:val="EX"/>
    <w:basedOn w:val="1"/>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US"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US"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US" w:eastAsia="en-US"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US" w:eastAsia="en-US"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US" w:eastAsia="en-US"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6">
    <w:name w:val="Editor's Note"/>
    <w:basedOn w:val="78"/>
    <w:qFormat/>
    <w:uiPriority w:val="0"/>
    <w:rPr>
      <w:color w:val="FF0000"/>
    </w:rPr>
  </w:style>
  <w:style w:type="paragraph" w:customStyle="1" w:styleId="97">
    <w:name w:val="B1"/>
    <w:basedOn w:val="14"/>
    <w:link w:val="156"/>
    <w:qFormat/>
    <w:uiPriority w:val="0"/>
  </w:style>
  <w:style w:type="paragraph" w:customStyle="1" w:styleId="98">
    <w:name w:val="B2"/>
    <w:basedOn w:val="13"/>
    <w:link w:val="173"/>
    <w:qFormat/>
    <w:uiPriority w:val="0"/>
  </w:style>
  <w:style w:type="paragraph" w:customStyle="1" w:styleId="99">
    <w:name w:val="B3"/>
    <w:basedOn w:val="12"/>
    <w:qFormat/>
    <w:uiPriority w:val="0"/>
  </w:style>
  <w:style w:type="paragraph" w:customStyle="1" w:styleId="100">
    <w:name w:val="B4"/>
    <w:basedOn w:val="51"/>
    <w:qFormat/>
    <w:uiPriority w:val="0"/>
  </w:style>
  <w:style w:type="paragraph" w:customStyle="1" w:styleId="101">
    <w:name w:val="B5"/>
    <w:basedOn w:val="50"/>
    <w:qFormat/>
    <w:uiPriority w:val="0"/>
  </w:style>
  <w:style w:type="paragraph" w:customStyle="1" w:styleId="102">
    <w:name w:val="ZTD"/>
    <w:basedOn w:val="90"/>
    <w:qFormat/>
    <w:uiPriority w:val="0"/>
    <w:pPr>
      <w:framePr w:hRule="auto" w:y="852"/>
    </w:pPr>
    <w:rPr>
      <w:i w:val="0"/>
      <w:sz w:val="40"/>
    </w:rPr>
  </w:style>
  <w:style w:type="character" w:customStyle="1" w:styleId="103">
    <w:name w:val="MTEquationSection"/>
    <w:qFormat/>
    <w:uiPriority w:val="0"/>
    <w:rPr>
      <w:rFonts w:ascii="Arial" w:hAnsi="Arial"/>
      <w:color w:val="FF0000"/>
      <w:sz w:val="24"/>
    </w:rPr>
  </w:style>
  <w:style w:type="paragraph" w:customStyle="1" w:styleId="104">
    <w:name w:val="Bulleted o 1"/>
    <w:basedOn w:val="1"/>
    <w:qFormat/>
    <w:uiPriority w:val="0"/>
    <w:pPr>
      <w:numPr>
        <w:ilvl w:val="0"/>
        <w:numId w:val="4"/>
      </w:numPr>
    </w:pPr>
  </w:style>
  <w:style w:type="paragraph" w:customStyle="1" w:styleId="105">
    <w:name w:val="text"/>
    <w:basedOn w:val="1"/>
    <w:qFormat/>
    <w:uiPriority w:val="0"/>
    <w:pPr>
      <w:spacing w:after="240"/>
      <w:jc w:val="both"/>
    </w:pPr>
    <w:rPr>
      <w:sz w:val="24"/>
      <w:lang w:val="en-US" w:eastAsia="zh-CN"/>
    </w:rPr>
  </w:style>
  <w:style w:type="paragraph" w:customStyle="1" w:styleId="106">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107">
    <w:name w:val="00 BodyText"/>
    <w:basedOn w:val="1"/>
    <w:qFormat/>
    <w:uiPriority w:val="0"/>
    <w:pPr>
      <w:spacing w:after="220"/>
    </w:pPr>
    <w:rPr>
      <w:rFonts w:ascii="Arial" w:hAnsi="Arial"/>
      <w:sz w:val="22"/>
      <w:lang w:val="en-US"/>
    </w:rPr>
  </w:style>
  <w:style w:type="paragraph" w:customStyle="1" w:styleId="108">
    <w:name w:val="11 BodyText"/>
    <w:basedOn w:val="1"/>
    <w:qFormat/>
    <w:uiPriority w:val="0"/>
    <w:pPr>
      <w:spacing w:after="220"/>
      <w:ind w:left="1298"/>
    </w:pPr>
    <w:rPr>
      <w:rFonts w:ascii="Arial" w:hAnsi="Arial"/>
      <w:sz w:val="22"/>
      <w:lang w:val="en-US"/>
    </w:rPr>
  </w:style>
  <w:style w:type="paragraph" w:customStyle="1" w:styleId="109">
    <w:name w:val="table"/>
    <w:basedOn w:val="105"/>
    <w:next w:val="105"/>
    <w:qFormat/>
    <w:uiPriority w:val="0"/>
    <w:pPr>
      <w:spacing w:after="0"/>
      <w:jc w:val="center"/>
    </w:pPr>
    <w:rPr>
      <w:sz w:val="20"/>
    </w:rPr>
  </w:style>
  <w:style w:type="paragraph" w:customStyle="1" w:styleId="110">
    <w:name w:val="body Char Char Char"/>
    <w:basedOn w:val="1"/>
    <w:qFormat/>
    <w:uiPriority w:val="0"/>
    <w:pPr>
      <w:tabs>
        <w:tab w:val="left" w:pos="2160"/>
      </w:tabs>
      <w:spacing w:before="120" w:line="280" w:lineRule="atLeast"/>
      <w:jc w:val="both"/>
    </w:pPr>
    <w:rPr>
      <w:rFonts w:ascii="New York" w:hAnsi="New York"/>
      <w:sz w:val="24"/>
      <w:lang w:val="en-US"/>
    </w:rPr>
  </w:style>
  <w:style w:type="character" w:customStyle="1" w:styleId="111">
    <w:name w:val="Heading 1 Char"/>
    <w:qFormat/>
    <w:uiPriority w:val="0"/>
    <w:rPr>
      <w:rFonts w:ascii="Arial" w:hAnsi="Arial"/>
      <w:sz w:val="36"/>
      <w:lang w:val="en-GB" w:eastAsia="en-US" w:bidi="ar-SA"/>
    </w:rPr>
  </w:style>
  <w:style w:type="paragraph" w:customStyle="1" w:styleId="112">
    <w:name w:val="body"/>
    <w:basedOn w:val="1"/>
    <w:qFormat/>
    <w:uiPriority w:val="0"/>
    <w:pPr>
      <w:tabs>
        <w:tab w:val="left" w:pos="2160"/>
      </w:tabs>
      <w:spacing w:before="120" w:line="280" w:lineRule="atLeast"/>
      <w:jc w:val="both"/>
    </w:pPr>
    <w:rPr>
      <w:rFonts w:ascii="New York" w:hAnsi="New York"/>
      <w:sz w:val="24"/>
      <w:lang w:val="en-US"/>
    </w:rPr>
  </w:style>
  <w:style w:type="paragraph" w:customStyle="1" w:styleId="113">
    <w:name w:val="CR Cover Page"/>
    <w:qFormat/>
    <w:uiPriority w:val="0"/>
    <w:pPr>
      <w:spacing w:after="120"/>
    </w:pPr>
    <w:rPr>
      <w:rFonts w:ascii="Arial" w:hAnsi="Arial" w:eastAsia="MS Mincho" w:cs="Times New Roman"/>
      <w:lang w:val="en-GB" w:eastAsia="en-US" w:bidi="ar-SA"/>
    </w:rPr>
  </w:style>
  <w:style w:type="character" w:customStyle="1" w:styleId="114">
    <w:name w:val="标题 1 字符"/>
    <w:link w:val="2"/>
    <w:qFormat/>
    <w:uiPriority w:val="9"/>
    <w:rPr>
      <w:rFonts w:ascii="Arial" w:hAnsi="Arial"/>
      <w:sz w:val="36"/>
      <w:lang w:val="en-GB"/>
    </w:rPr>
  </w:style>
  <w:style w:type="character" w:customStyle="1" w:styleId="115">
    <w:name w:val="标题 2 字符"/>
    <w:link w:val="3"/>
    <w:qFormat/>
    <w:uiPriority w:val="9"/>
    <w:rPr>
      <w:rFonts w:ascii="Arial" w:hAnsi="Arial"/>
      <w:sz w:val="32"/>
      <w:lang w:val="en-GB"/>
    </w:rPr>
  </w:style>
  <w:style w:type="character" w:customStyle="1" w:styleId="116">
    <w:name w:val="标题 3 字符"/>
    <w:link w:val="4"/>
    <w:qFormat/>
    <w:uiPriority w:val="0"/>
    <w:rPr>
      <w:rFonts w:ascii="Arial" w:hAnsi="Arial"/>
      <w:sz w:val="28"/>
      <w:lang w:val="en-GB"/>
    </w:rPr>
  </w:style>
  <w:style w:type="character" w:customStyle="1" w:styleId="117">
    <w:name w:val="标题 4 字符"/>
    <w:link w:val="5"/>
    <w:qFormat/>
    <w:uiPriority w:val="9"/>
    <w:rPr>
      <w:rFonts w:ascii="Arial" w:hAnsi="Arial"/>
      <w:sz w:val="24"/>
      <w:lang w:val="en-GB"/>
    </w:rPr>
  </w:style>
  <w:style w:type="character" w:customStyle="1" w:styleId="118">
    <w:name w:val="标题 5 字符"/>
    <w:link w:val="6"/>
    <w:qFormat/>
    <w:uiPriority w:val="9"/>
    <w:rPr>
      <w:rFonts w:ascii="Arial" w:hAnsi="Arial"/>
      <w:sz w:val="22"/>
      <w:lang w:val="en-GB"/>
    </w:rPr>
  </w:style>
  <w:style w:type="character" w:customStyle="1" w:styleId="119">
    <w:name w:val="Char Char3"/>
    <w:qFormat/>
    <w:uiPriority w:val="0"/>
    <w:rPr>
      <w:rFonts w:ascii="Arial" w:hAnsi="Arial"/>
      <w:sz w:val="36"/>
      <w:lang w:val="en-GB" w:eastAsia="en-US" w:bidi="ar-SA"/>
    </w:rPr>
  </w:style>
  <w:style w:type="character" w:customStyle="1" w:styleId="120">
    <w:name w:val="Char Char2"/>
    <w:qFormat/>
    <w:uiPriority w:val="0"/>
    <w:rPr>
      <w:rFonts w:ascii="Arial" w:hAnsi="Arial"/>
      <w:sz w:val="32"/>
      <w:lang w:val="en-GB" w:eastAsia="en-US" w:bidi="ar-SA"/>
    </w:rPr>
  </w:style>
  <w:style w:type="character" w:customStyle="1" w:styleId="121">
    <w:name w:val="Char Char1"/>
    <w:qFormat/>
    <w:uiPriority w:val="0"/>
    <w:rPr>
      <w:rFonts w:ascii="Arial" w:hAnsi="Arial"/>
      <w:sz w:val="28"/>
      <w:lang w:val="en-GB" w:eastAsia="en-US" w:bidi="ar-SA"/>
    </w:rPr>
  </w:style>
  <w:style w:type="character" w:customStyle="1" w:styleId="122">
    <w:name w:val="h4 Char Char"/>
    <w:qFormat/>
    <w:uiPriority w:val="0"/>
    <w:rPr>
      <w:rFonts w:ascii="Arial" w:hAnsi="Arial"/>
      <w:sz w:val="24"/>
      <w:lang w:val="en-GB" w:eastAsia="en-US" w:bidi="ar-SA"/>
    </w:rPr>
  </w:style>
  <w:style w:type="character" w:customStyle="1" w:styleId="123">
    <w:name w:val="Char Char"/>
    <w:qFormat/>
    <w:uiPriority w:val="0"/>
    <w:rPr>
      <w:rFonts w:ascii="Arial" w:hAnsi="Arial"/>
      <w:sz w:val="22"/>
      <w:lang w:val="en-GB" w:eastAsia="en-US" w:bidi="ar-SA"/>
    </w:rPr>
  </w:style>
  <w:style w:type="paragraph" w:styleId="124">
    <w:name w:val="List Paragraph"/>
    <w:basedOn w:val="1"/>
    <w:link w:val="147"/>
    <w:qFormat/>
    <w:uiPriority w:val="34"/>
    <w:pPr>
      <w:overflowPunct/>
      <w:autoSpaceDE/>
      <w:autoSpaceDN/>
      <w:adjustRightInd/>
      <w:spacing w:after="0"/>
      <w:ind w:left="720"/>
      <w:textAlignment w:val="auto"/>
    </w:pPr>
    <w:rPr>
      <w:rFonts w:ascii="Calibri" w:hAnsi="Calibri" w:eastAsia="Calibri"/>
      <w:sz w:val="22"/>
      <w:szCs w:val="22"/>
      <w:lang w:val="en-US"/>
    </w:rPr>
  </w:style>
  <w:style w:type="paragraph" w:customStyle="1" w:styleId="125">
    <w:name w:val="Reference"/>
    <w:basedOn w:val="79"/>
    <w:qFormat/>
    <w:uiPriority w:val="0"/>
    <w:pPr>
      <w:tabs>
        <w:tab w:val="left" w:pos="360"/>
      </w:tabs>
      <w:suppressAutoHyphens/>
      <w:autoSpaceDN/>
      <w:adjustRightInd/>
      <w:ind w:left="0" w:firstLine="0"/>
    </w:pPr>
    <w:rPr>
      <w:lang w:eastAsia="ar-SA"/>
    </w:rPr>
  </w:style>
  <w:style w:type="character" w:customStyle="1" w:styleId="126">
    <w:name w:val="副标题 字符"/>
    <w:link w:val="48"/>
    <w:qFormat/>
    <w:uiPriority w:val="0"/>
    <w:rPr>
      <w:rFonts w:ascii="Cambria" w:hAnsi="Cambria" w:eastAsia="Times New Roman" w:cs="Times New Roman"/>
      <w:sz w:val="24"/>
      <w:szCs w:val="24"/>
      <w:lang w:val="en-GB"/>
    </w:rPr>
  </w:style>
  <w:style w:type="paragraph" w:customStyle="1" w:styleId="127">
    <w:name w:val="Revision"/>
    <w:hidden/>
    <w:semiHidden/>
    <w:qFormat/>
    <w:uiPriority w:val="99"/>
    <w:rPr>
      <w:rFonts w:ascii="Times New Roman" w:hAnsi="Times New Roman" w:cs="Times New Roman" w:eastAsiaTheme="minorEastAsia"/>
      <w:lang w:val="en-GB" w:eastAsia="en-US" w:bidi="ar-SA"/>
    </w:rPr>
  </w:style>
  <w:style w:type="character" w:customStyle="1" w:styleId="128">
    <w:name w:val="批注文字 字符"/>
    <w:link w:val="32"/>
    <w:qFormat/>
    <w:uiPriority w:val="0"/>
    <w:rPr>
      <w:rFonts w:ascii="Times New Roman" w:hAnsi="Times New Roman"/>
      <w:lang w:val="en-GB"/>
    </w:rPr>
  </w:style>
  <w:style w:type="character" w:styleId="129">
    <w:name w:val="Placeholder Text"/>
    <w:semiHidden/>
    <w:qFormat/>
    <w:uiPriority w:val="99"/>
    <w:rPr>
      <w:color w:val="808080"/>
    </w:rPr>
  </w:style>
  <w:style w:type="character" w:customStyle="1" w:styleId="130">
    <w:name w:val="页脚 字符"/>
    <w:link w:val="44"/>
    <w:qFormat/>
    <w:uiPriority w:val="99"/>
    <w:rPr>
      <w:rFonts w:ascii="Arial" w:hAnsi="Arial"/>
      <w:b/>
      <w:i/>
      <w:sz w:val="18"/>
    </w:rPr>
  </w:style>
  <w:style w:type="character" w:customStyle="1" w:styleId="131">
    <w:name w:val="页眉 字符"/>
    <w:link w:val="45"/>
    <w:qFormat/>
    <w:locked/>
    <w:uiPriority w:val="0"/>
    <w:rPr>
      <w:rFonts w:ascii="Arial" w:hAnsi="Arial"/>
      <w:b/>
      <w:sz w:val="18"/>
      <w:lang w:val="en-US" w:eastAsia="en-US"/>
    </w:rPr>
  </w:style>
  <w:style w:type="character" w:customStyle="1" w:styleId="132">
    <w:name w:val="PL Char"/>
    <w:link w:val="86"/>
    <w:qFormat/>
    <w:uiPriority w:val="0"/>
    <w:rPr>
      <w:rFonts w:ascii="Courier New" w:hAnsi="Courier New"/>
      <w:sz w:val="16"/>
    </w:rPr>
  </w:style>
  <w:style w:type="character" w:customStyle="1" w:styleId="133">
    <w:name w:val="TAL Car"/>
    <w:link w:val="75"/>
    <w:qFormat/>
    <w:uiPriority w:val="0"/>
    <w:rPr>
      <w:rFonts w:ascii="Arial" w:hAnsi="Arial"/>
      <w:sz w:val="18"/>
      <w:lang w:val="en-GB"/>
    </w:rPr>
  </w:style>
  <w:style w:type="character" w:customStyle="1" w:styleId="134">
    <w:name w:val="TH Char"/>
    <w:link w:val="77"/>
    <w:qFormat/>
    <w:uiPriority w:val="0"/>
    <w:rPr>
      <w:rFonts w:ascii="Arial" w:hAnsi="Arial"/>
      <w:b/>
      <w:lang w:val="en-GB"/>
    </w:rPr>
  </w:style>
  <w:style w:type="character" w:customStyle="1" w:styleId="135">
    <w:name w:val="TAC Char"/>
    <w:link w:val="74"/>
    <w:qFormat/>
    <w:locked/>
    <w:uiPriority w:val="0"/>
    <w:rPr>
      <w:rFonts w:ascii="Arial" w:hAnsi="Arial"/>
      <w:sz w:val="18"/>
      <w:lang w:val="en-GB"/>
    </w:rPr>
  </w:style>
  <w:style w:type="character" w:customStyle="1" w:styleId="136">
    <w:name w:val="题注 字符"/>
    <w:link w:val="29"/>
    <w:qFormat/>
    <w:uiPriority w:val="0"/>
    <w:rPr>
      <w:rFonts w:ascii="Times New Roman" w:hAnsi="Times New Roman"/>
      <w:b/>
      <w:bCs/>
      <w:lang w:val="en-GB"/>
    </w:rPr>
  </w:style>
  <w:style w:type="paragraph" w:customStyle="1" w:styleId="137">
    <w:name w:val="3GPP Normal Text"/>
    <w:basedOn w:val="35"/>
    <w:link w:val="138"/>
    <w:qFormat/>
    <w:uiPriority w:val="0"/>
    <w:pPr>
      <w:overflowPunct/>
      <w:autoSpaceDE/>
      <w:autoSpaceDN/>
      <w:adjustRightInd/>
      <w:spacing w:before="120"/>
      <w:textAlignment w:val="auto"/>
    </w:pPr>
    <w:rPr>
      <w:rFonts w:ascii="Times New Roman" w:hAnsi="Times New Roman" w:eastAsia="MS Mincho"/>
      <w:sz w:val="22"/>
    </w:rPr>
  </w:style>
  <w:style w:type="character" w:customStyle="1" w:styleId="138">
    <w:name w:val="3GPP Normal Text Char"/>
    <w:link w:val="137"/>
    <w:qFormat/>
    <w:uiPriority w:val="0"/>
    <w:rPr>
      <w:rFonts w:ascii="Times New Roman" w:hAnsi="Times New Roman" w:eastAsia="MS Mincho"/>
      <w:sz w:val="22"/>
      <w:szCs w:val="24"/>
    </w:rPr>
  </w:style>
  <w:style w:type="paragraph" w:customStyle="1" w:styleId="139">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40">
    <w:name w:val="Text"/>
    <w:basedOn w:val="1"/>
    <w:link w:val="141"/>
    <w:qFormat/>
    <w:uiPriority w:val="0"/>
    <w:pPr>
      <w:overflowPunct/>
      <w:autoSpaceDE/>
      <w:autoSpaceDN/>
      <w:adjustRightInd/>
      <w:spacing w:after="0"/>
      <w:textAlignment w:val="auto"/>
    </w:pPr>
    <w:rPr>
      <w:rFonts w:ascii="Times" w:hAnsi="Times" w:eastAsia="Batang"/>
      <w:szCs w:val="24"/>
    </w:rPr>
  </w:style>
  <w:style w:type="character" w:customStyle="1" w:styleId="141">
    <w:name w:val="Text Char"/>
    <w:link w:val="140"/>
    <w:qFormat/>
    <w:uiPriority w:val="0"/>
    <w:rPr>
      <w:rFonts w:ascii="Times" w:hAnsi="Times" w:eastAsia="Batang"/>
      <w:szCs w:val="24"/>
      <w:lang w:val="en-GB" w:eastAsia="en-US"/>
    </w:rPr>
  </w:style>
  <w:style w:type="character" w:customStyle="1" w:styleId="142">
    <w:name w:val="TF Char"/>
    <w:link w:val="76"/>
    <w:qFormat/>
    <w:uiPriority w:val="0"/>
    <w:rPr>
      <w:rFonts w:ascii="Arial" w:hAnsi="Arial"/>
      <w:b/>
      <w:lang w:val="en-GB" w:eastAsia="en-US"/>
    </w:rPr>
  </w:style>
  <w:style w:type="character" w:customStyle="1" w:styleId="143">
    <w:name w:val="TAH Car"/>
    <w:link w:val="73"/>
    <w:qFormat/>
    <w:uiPriority w:val="0"/>
    <w:rPr>
      <w:rFonts w:ascii="Arial" w:hAnsi="Arial"/>
      <w:b/>
      <w:sz w:val="18"/>
      <w:lang w:val="en-GB" w:eastAsia="en-US"/>
    </w:rPr>
  </w:style>
  <w:style w:type="paragraph" w:customStyle="1" w:styleId="144">
    <w:name w:val="LGTdoc_본문"/>
    <w:basedOn w:val="1"/>
    <w:qFormat/>
    <w:uiPriority w:val="0"/>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145">
    <w:name w:val="3GPP Proposal"/>
    <w:basedOn w:val="137"/>
    <w:link w:val="146"/>
    <w:qFormat/>
    <w:uiPriority w:val="0"/>
    <w:pPr>
      <w:keepNext/>
      <w:keepLines/>
      <w:contextualSpacing/>
      <w:jc w:val="left"/>
    </w:pPr>
    <w:rPr>
      <w:b/>
    </w:rPr>
  </w:style>
  <w:style w:type="character" w:customStyle="1" w:styleId="146">
    <w:name w:val="3GPP Proposal Char"/>
    <w:link w:val="145"/>
    <w:qFormat/>
    <w:uiPriority w:val="0"/>
    <w:rPr>
      <w:rFonts w:ascii="Times New Roman" w:hAnsi="Times New Roman" w:eastAsia="MS Mincho"/>
      <w:b/>
      <w:sz w:val="22"/>
      <w:szCs w:val="24"/>
    </w:rPr>
  </w:style>
  <w:style w:type="character" w:customStyle="1" w:styleId="147">
    <w:name w:val="列表段落 字符"/>
    <w:link w:val="124"/>
    <w:qFormat/>
    <w:locked/>
    <w:uiPriority w:val="34"/>
    <w:rPr>
      <w:rFonts w:ascii="Calibri" w:hAnsi="Calibri" w:eastAsia="Calibri"/>
      <w:sz w:val="22"/>
      <w:szCs w:val="22"/>
      <w:lang w:val="en-US" w:eastAsia="en-US"/>
    </w:rPr>
  </w:style>
  <w:style w:type="character" w:customStyle="1" w:styleId="148">
    <w:name w:val="fontstyle01"/>
    <w:qFormat/>
    <w:uiPriority w:val="0"/>
    <w:rPr>
      <w:rFonts w:hint="default" w:ascii="NimbusRomNo9L-Regu" w:hAnsi="NimbusRomNo9L-Regu"/>
      <w:color w:val="000000"/>
      <w:sz w:val="22"/>
      <w:szCs w:val="22"/>
    </w:rPr>
  </w:style>
  <w:style w:type="character" w:customStyle="1" w:styleId="149">
    <w:name w:val="fontstyle21"/>
    <w:qFormat/>
    <w:uiPriority w:val="0"/>
    <w:rPr>
      <w:rFonts w:hint="default" w:ascii="CMMI10" w:hAnsi="CMMI10"/>
      <w:i/>
      <w:iCs/>
      <w:color w:val="000000"/>
      <w:sz w:val="16"/>
      <w:szCs w:val="16"/>
    </w:rPr>
  </w:style>
  <w:style w:type="character" w:customStyle="1" w:styleId="150">
    <w:name w:val="fontstyle31"/>
    <w:qFormat/>
    <w:uiPriority w:val="0"/>
    <w:rPr>
      <w:rFonts w:hint="default" w:ascii="CMSY10" w:hAnsi="CMSY10"/>
      <w:i/>
      <w:iCs/>
      <w:color w:val="000000"/>
      <w:sz w:val="20"/>
      <w:szCs w:val="20"/>
    </w:rPr>
  </w:style>
  <w:style w:type="character" w:customStyle="1" w:styleId="151">
    <w:name w:val="fontstyle41"/>
    <w:qFormat/>
    <w:uiPriority w:val="0"/>
    <w:rPr>
      <w:rFonts w:hint="default" w:ascii="CMR10" w:hAnsi="CMR10"/>
      <w:color w:val="000000"/>
      <w:sz w:val="20"/>
      <w:szCs w:val="20"/>
    </w:rPr>
  </w:style>
  <w:style w:type="character" w:customStyle="1" w:styleId="152">
    <w:name w:val="fontstyle51"/>
    <w:qFormat/>
    <w:uiPriority w:val="0"/>
    <w:rPr>
      <w:rFonts w:hint="default" w:ascii="NimbusRomNo9L-Regu" w:hAnsi="NimbusRomNo9L-Regu"/>
      <w:color w:val="000000"/>
      <w:sz w:val="20"/>
      <w:szCs w:val="20"/>
    </w:rPr>
  </w:style>
  <w:style w:type="character" w:customStyle="1" w:styleId="153">
    <w:name w:val="TAL Char"/>
    <w:qFormat/>
    <w:uiPriority w:val="0"/>
    <w:rPr>
      <w:rFonts w:ascii="Arial" w:hAnsi="Arial"/>
      <w:sz w:val="18"/>
      <w:lang w:eastAsia="en-US"/>
    </w:rPr>
  </w:style>
  <w:style w:type="paragraph" w:customStyle="1" w:styleId="15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155">
    <w:name w:val="脚注文本 字符"/>
    <w:link w:val="49"/>
    <w:semiHidden/>
    <w:qFormat/>
    <w:locked/>
    <w:uiPriority w:val="0"/>
    <w:rPr>
      <w:rFonts w:ascii="Times New Roman" w:hAnsi="Times New Roman"/>
      <w:sz w:val="16"/>
      <w:lang w:val="en-GB"/>
    </w:rPr>
  </w:style>
  <w:style w:type="character" w:customStyle="1" w:styleId="156">
    <w:name w:val="B1 Char"/>
    <w:link w:val="97"/>
    <w:qFormat/>
    <w:uiPriority w:val="0"/>
    <w:rPr>
      <w:rFonts w:ascii="Times New Roman" w:hAnsi="Times New Roman"/>
      <w:lang w:val="en-GB"/>
    </w:rPr>
  </w:style>
  <w:style w:type="character" w:customStyle="1" w:styleId="157">
    <w:name w:val="NO Char"/>
    <w:link w:val="78"/>
    <w:qFormat/>
    <w:uiPriority w:val="0"/>
    <w:rPr>
      <w:rFonts w:ascii="Times New Roman" w:hAnsi="Times New Roman"/>
      <w:lang w:val="en-GB"/>
    </w:rPr>
  </w:style>
  <w:style w:type="paragraph" w:customStyle="1" w:styleId="158">
    <w:name w:val="B3+"/>
    <w:basedOn w:val="99"/>
    <w:qFormat/>
    <w:uiPriority w:val="0"/>
    <w:pPr>
      <w:numPr>
        <w:ilvl w:val="0"/>
        <w:numId w:val="5"/>
      </w:numPr>
      <w:tabs>
        <w:tab w:val="left" w:pos="1134"/>
      </w:tabs>
      <w:spacing w:after="180"/>
    </w:pPr>
    <w:rPr>
      <w:rFonts w:eastAsia="Times New Roman"/>
    </w:rPr>
  </w:style>
  <w:style w:type="paragraph" w:customStyle="1" w:styleId="159">
    <w:name w:val="3GPP Text"/>
    <w:basedOn w:val="1"/>
    <w:link w:val="161"/>
    <w:qFormat/>
    <w:uiPriority w:val="0"/>
    <w:pPr>
      <w:spacing w:before="120"/>
      <w:jc w:val="both"/>
    </w:pPr>
    <w:rPr>
      <w:sz w:val="22"/>
      <w:lang w:val="en-US"/>
    </w:rPr>
  </w:style>
  <w:style w:type="paragraph" w:customStyle="1" w:styleId="160">
    <w:name w:val="3GPP H1"/>
    <w:basedOn w:val="2"/>
    <w:next w:val="159"/>
    <w:link w:val="163"/>
    <w:qFormat/>
    <w:uiPriority w:val="0"/>
  </w:style>
  <w:style w:type="character" w:customStyle="1" w:styleId="161">
    <w:name w:val="3GPP Text Char"/>
    <w:link w:val="159"/>
    <w:qFormat/>
    <w:uiPriority w:val="0"/>
    <w:rPr>
      <w:rFonts w:ascii="Times New Roman" w:hAnsi="Times New Roman"/>
      <w:sz w:val="22"/>
    </w:rPr>
  </w:style>
  <w:style w:type="paragraph" w:customStyle="1" w:styleId="162">
    <w:name w:val="3GPP H2"/>
    <w:basedOn w:val="3"/>
    <w:next w:val="159"/>
    <w:link w:val="165"/>
    <w:qFormat/>
    <w:uiPriority w:val="0"/>
    <w:pPr>
      <w:numPr>
        <w:ilvl w:val="0"/>
        <w:numId w:val="6"/>
      </w:numPr>
      <w:tabs>
        <w:tab w:val="left" w:pos="567"/>
      </w:tabs>
      <w:spacing w:before="120"/>
    </w:pPr>
  </w:style>
  <w:style w:type="character" w:customStyle="1" w:styleId="163">
    <w:name w:val="3GPP H1 Char"/>
    <w:link w:val="160"/>
    <w:qFormat/>
    <w:uiPriority w:val="0"/>
    <w:rPr>
      <w:rFonts w:ascii="Arial" w:hAnsi="Arial"/>
      <w:sz w:val="36"/>
      <w:lang w:val="en-GB"/>
    </w:rPr>
  </w:style>
  <w:style w:type="paragraph" w:customStyle="1" w:styleId="164">
    <w:name w:val="3GPP H3"/>
    <w:basedOn w:val="4"/>
    <w:next w:val="159"/>
    <w:link w:val="166"/>
    <w:qFormat/>
    <w:uiPriority w:val="0"/>
  </w:style>
  <w:style w:type="character" w:customStyle="1" w:styleId="165">
    <w:name w:val="3GPP H2 Char"/>
    <w:link w:val="162"/>
    <w:qFormat/>
    <w:uiPriority w:val="0"/>
    <w:rPr>
      <w:rFonts w:ascii="Arial" w:hAnsi="Arial"/>
      <w:sz w:val="32"/>
      <w:lang w:val="en-GB"/>
    </w:rPr>
  </w:style>
  <w:style w:type="character" w:customStyle="1" w:styleId="166">
    <w:name w:val="3GPP H3 Char"/>
    <w:link w:val="164"/>
    <w:qFormat/>
    <w:uiPriority w:val="0"/>
    <w:rPr>
      <w:rFonts w:ascii="Arial" w:hAnsi="Arial"/>
      <w:sz w:val="28"/>
      <w:lang w:val="en-GB"/>
    </w:rPr>
  </w:style>
  <w:style w:type="character" w:customStyle="1" w:styleId="167">
    <w:name w:val="3GPP Agreements Char"/>
    <w:link w:val="21"/>
    <w:qFormat/>
    <w:uiPriority w:val="0"/>
    <w:rPr>
      <w:rFonts w:ascii="Times New Roman" w:hAnsi="Times New Roman"/>
      <w:sz w:val="22"/>
      <w:lang w:eastAsia="zh-CN"/>
    </w:rPr>
  </w:style>
  <w:style w:type="character" w:customStyle="1" w:styleId="168">
    <w:name w:val="TOC 2 字符"/>
    <w:link w:val="20"/>
    <w:semiHidden/>
    <w:qFormat/>
    <w:uiPriority w:val="0"/>
    <w:rPr>
      <w:rFonts w:ascii="Times New Roman" w:hAnsi="Times New Roman"/>
      <w:lang w:eastAsia="zh-CN"/>
    </w:rPr>
  </w:style>
  <w:style w:type="paragraph" w:customStyle="1" w:styleId="169">
    <w:name w:val="References"/>
    <w:basedOn w:val="1"/>
    <w:qFormat/>
    <w:uiPriority w:val="0"/>
    <w:pPr>
      <w:numPr>
        <w:ilvl w:val="2"/>
        <w:numId w:val="7"/>
      </w:numPr>
      <w:overflowPunct/>
      <w:autoSpaceDE/>
      <w:autoSpaceDN/>
      <w:adjustRightInd/>
      <w:spacing w:after="0"/>
      <w:textAlignment w:val="auto"/>
    </w:pPr>
    <w:rPr>
      <w:rFonts w:eastAsia="Times New Roman"/>
      <w:szCs w:val="24"/>
      <w:lang w:val="en-US"/>
    </w:rPr>
  </w:style>
  <w:style w:type="paragraph" w:customStyle="1" w:styleId="170">
    <w:name w:val="正文1"/>
    <w:qFormat/>
    <w:uiPriority w:val="0"/>
    <w:pPr>
      <w:widowControl w:val="0"/>
      <w:spacing w:before="100" w:beforeAutospacing="1" w:after="160" w:line="256" w:lineRule="auto"/>
      <w:jc w:val="both"/>
    </w:pPr>
    <w:rPr>
      <w:rFonts w:ascii="Times New Roman" w:hAnsi="Times New Roman" w:cs="Times New Roman" w:eastAsiaTheme="minorEastAsia"/>
      <w:kern w:val="2"/>
      <w:sz w:val="21"/>
      <w:szCs w:val="21"/>
      <w:lang w:val="en-US" w:eastAsia="zh-CN" w:bidi="ar-SA"/>
    </w:rPr>
  </w:style>
  <w:style w:type="character" w:customStyle="1" w:styleId="171">
    <w:name w:val="fontstyle11"/>
    <w:basedOn w:val="63"/>
    <w:qFormat/>
    <w:uiPriority w:val="0"/>
    <w:rPr>
      <w:rFonts w:hint="default" w:ascii="SymbolMT" w:hAnsi="SymbolMT"/>
      <w:color w:val="000000"/>
      <w:sz w:val="56"/>
      <w:szCs w:val="56"/>
    </w:rPr>
  </w:style>
  <w:style w:type="character" w:customStyle="1" w:styleId="172">
    <w:name w:val="B1 (文字)"/>
    <w:qFormat/>
    <w:uiPriority w:val="0"/>
    <w:rPr>
      <w:rFonts w:eastAsia="MS Mincho"/>
      <w:lang w:val="en-GB" w:eastAsia="en-US" w:bidi="ar-SA"/>
    </w:rPr>
  </w:style>
  <w:style w:type="character" w:customStyle="1" w:styleId="173">
    <w:name w:val="B2 Char"/>
    <w:link w:val="98"/>
    <w:qFormat/>
    <w:uiPriority w:val="0"/>
    <w:rPr>
      <w:rFonts w:ascii="Times New Roman" w:hAnsi="Times New Roman"/>
      <w:lang w:val="en-GB"/>
    </w:rPr>
  </w:style>
  <w:style w:type="character" w:customStyle="1" w:styleId="174">
    <w:name w:val="Heading 3 Char1"/>
    <w:qFormat/>
    <w:uiPriority w:val="0"/>
    <w:rPr>
      <w:rFonts w:ascii="Arial" w:hAnsi="Arial"/>
      <w:b/>
      <w:szCs w:val="26"/>
      <w:lang w:val="en-GB" w:eastAsia="zh-CN"/>
    </w:rPr>
  </w:style>
  <w:style w:type="character" w:customStyle="1" w:styleId="175">
    <w:name w:val="B1 Zchn"/>
    <w:qFormat/>
    <w:uiPriority w:val="0"/>
    <w:rPr>
      <w:lang w:eastAsia="en-US"/>
    </w:rPr>
  </w:style>
  <w:style w:type="paragraph" w:customStyle="1" w:styleId="176">
    <w:name w:val="enumlev2"/>
    <w:basedOn w:val="1"/>
    <w:qFormat/>
    <w:uiPriority w:val="0"/>
    <w:pPr>
      <w:numPr>
        <w:ilvl w:val="0"/>
        <w:numId w:val="8"/>
      </w:numPr>
      <w:tabs>
        <w:tab w:val="left" w:pos="794"/>
        <w:tab w:val="left" w:pos="1191"/>
        <w:tab w:val="left" w:pos="1588"/>
        <w:tab w:val="left" w:pos="1985"/>
      </w:tabs>
      <w:spacing w:before="86" w:after="180"/>
      <w:ind w:left="1588" w:hanging="397"/>
      <w:jc w:val="both"/>
    </w:pPr>
    <w:rPr>
      <w:lang w:val="en-US" w:eastAsia="en-GB"/>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78">
    <w:name w:val="批注主题 字符"/>
    <w:link w:val="59"/>
    <w:qFormat/>
    <w:uiPriority w:val="99"/>
    <w:rPr>
      <w:rFonts w:ascii="Times New Roman" w:hAnsi="Times New Roman"/>
      <w:b/>
      <w:bCs/>
      <w:lang w:val="en-GB"/>
    </w:rPr>
  </w:style>
  <w:style w:type="character" w:customStyle="1" w:styleId="179">
    <w:name w:val="B1 Char1"/>
    <w:qFormat/>
    <w:locked/>
    <w:uiPriority w:val="0"/>
  </w:style>
  <w:style w:type="character" w:customStyle="1" w:styleId="180">
    <w:name w:val="列表段落 字符1"/>
    <w:qFormat/>
    <w:locked/>
    <w:uiPriority w:val="34"/>
    <w:rPr>
      <w:rFonts w:eastAsia="宋体"/>
      <w:lang w:eastAsia="ja-JP"/>
    </w:rPr>
  </w:style>
  <w:style w:type="paragraph" w:customStyle="1" w:styleId="181">
    <w:name w:val="Style Heading 1NMP Heading 1H1h11h12h13h14h15h16app headin..."/>
    <w:basedOn w:val="2"/>
    <w:qFormat/>
    <w:uiPriority w:val="0"/>
    <w:pPr>
      <w:keepLines w:val="0"/>
      <w:numPr>
        <w:numId w:val="9"/>
      </w:numPr>
      <w:pBdr>
        <w:top w:val="none" w:color="auto" w:sz="0" w:space="0"/>
      </w:pBdr>
      <w:overflowPunct/>
      <w:autoSpaceDE/>
      <w:autoSpaceDN/>
      <w:adjustRightInd/>
      <w:spacing w:after="60" w:line="259" w:lineRule="auto"/>
      <w:jc w:val="both"/>
      <w:textAlignment w:val="auto"/>
    </w:pPr>
    <w:rPr>
      <w:rFonts w:eastAsia="Batang" w:cs="Arial"/>
      <w:b/>
      <w:bCs/>
      <w:kern w:val="32"/>
      <w:sz w:val="28"/>
      <w:szCs w:val="32"/>
    </w:rPr>
  </w:style>
  <w:style w:type="paragraph" w:customStyle="1" w:styleId="182">
    <w:name w:val="Observation"/>
    <w:basedOn w:val="1"/>
    <w:qFormat/>
    <w:uiPriority w:val="0"/>
    <w:pPr>
      <w:numPr>
        <w:ilvl w:val="0"/>
        <w:numId w:val="10"/>
      </w:numPr>
      <w:tabs>
        <w:tab w:val="left" w:pos="1701"/>
      </w:tabs>
      <w:spacing w:line="259" w:lineRule="auto"/>
      <w:ind w:left="1701" w:hanging="1701"/>
      <w:jc w:val="both"/>
    </w:pPr>
    <w:rPr>
      <w:rFonts w:ascii="Arial" w:hAnsi="Arial" w:eastAsia="Times New Roman"/>
      <w:b/>
      <w:bCs/>
      <w:lang w:eastAsia="zh-CN"/>
    </w:rPr>
  </w:style>
  <w:style w:type="paragraph" w:customStyle="1" w:styleId="183">
    <w:name w:val="EmailDiscussion"/>
    <w:basedOn w:val="1"/>
    <w:next w:val="1"/>
    <w:qFormat/>
    <w:uiPriority w:val="0"/>
    <w:pPr>
      <w:numPr>
        <w:ilvl w:val="0"/>
        <w:numId w:val="11"/>
      </w:numPr>
      <w:overflowPunct/>
      <w:autoSpaceDE/>
      <w:autoSpaceDN/>
      <w:adjustRightInd/>
      <w:spacing w:before="40" w:after="0" w:line="259" w:lineRule="auto"/>
      <w:jc w:val="both"/>
      <w:textAlignment w:val="auto"/>
    </w:pPr>
    <w:rPr>
      <w:rFonts w:ascii="Arial" w:hAnsi="Arial" w:eastAsia="MS Mincho"/>
      <w:b/>
      <w:szCs w:val="24"/>
      <w:lang w:eastAsia="en-GB"/>
    </w:rPr>
  </w:style>
  <w:style w:type="character" w:customStyle="1" w:styleId="184">
    <w:name w:val="纯文本 字符"/>
    <w:basedOn w:val="63"/>
    <w:link w:val="37"/>
    <w:qFormat/>
    <w:uiPriority w:val="99"/>
    <w:rPr>
      <w:rFonts w:ascii="Arial" w:hAnsi="Arial" w:eastAsia="MS Gothic"/>
      <w:color w:val="000000"/>
      <w:lang w:val="zh-CN"/>
    </w:rPr>
  </w:style>
  <w:style w:type="paragraph" w:customStyle="1" w:styleId="185">
    <w:name w:val="Tdoc_Header_2"/>
    <w:basedOn w:val="1"/>
    <w:qFormat/>
    <w:uiPriority w:val="0"/>
    <w:pPr>
      <w:widowControl w:val="0"/>
      <w:tabs>
        <w:tab w:val="left" w:pos="1701"/>
        <w:tab w:val="right" w:pos="9072"/>
        <w:tab w:val="right" w:pos="10206"/>
      </w:tabs>
      <w:overflowPunct/>
      <w:autoSpaceDE/>
      <w:autoSpaceDN/>
      <w:adjustRightInd/>
      <w:spacing w:after="0"/>
      <w:jc w:val="both"/>
      <w:textAlignment w:val="auto"/>
    </w:pPr>
    <w:rPr>
      <w:rFonts w:ascii="Arial" w:hAnsi="Arial" w:eastAsia="Batang"/>
      <w:b/>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8185E9-5184-4D57-B6D0-DBC51042AA74}">
  <ds:schemaRefs/>
</ds:datastoreItem>
</file>

<file path=customXml/itemProps3.xml><?xml version="1.0" encoding="utf-8"?>
<ds:datastoreItem xmlns:ds="http://schemas.openxmlformats.org/officeDocument/2006/customXml" ds:itemID="{79EE4082-88A4-4384-9400-9A941F0194E0}">
  <ds:schemaRefs/>
</ds:datastoreItem>
</file>

<file path=customXml/itemProps4.xml><?xml version="1.0" encoding="utf-8"?>
<ds:datastoreItem xmlns:ds="http://schemas.openxmlformats.org/officeDocument/2006/customXml" ds:itemID="{18C5E427-C5E4-4738-AD51-E24C4FACE6F5}">
  <ds:schemaRefs/>
</ds:datastoreItem>
</file>

<file path=customXml/itemProps5.xml><?xml version="1.0" encoding="utf-8"?>
<ds:datastoreItem xmlns:ds="http://schemas.openxmlformats.org/officeDocument/2006/customXml" ds:itemID="{A6267960-209D-4380-8DA5-87A4777CB827}">
  <ds:schemaRefs/>
</ds:datastoreItem>
</file>

<file path=customXml/itemProps6.xml><?xml version="1.0" encoding="utf-8"?>
<ds:datastoreItem xmlns:ds="http://schemas.openxmlformats.org/officeDocument/2006/customXml" ds:itemID="{7344010B-5567-4111-9599-719A25610557}">
  <ds:schemaRefs/>
</ds:datastoreItem>
</file>

<file path=customXml/itemProps7.xml><?xml version="1.0" encoding="utf-8"?>
<ds:datastoreItem xmlns:ds="http://schemas.openxmlformats.org/officeDocument/2006/customXml" ds:itemID="{EC633E15-6AEB-4B17-BED1-CB36D11F782E}">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6</Pages>
  <Words>2285</Words>
  <Characters>13028</Characters>
  <Lines>108</Lines>
  <Paragraphs>30</Paragraphs>
  <TotalTime>5</TotalTime>
  <ScaleCrop>false</ScaleCrop>
  <LinksUpToDate>false</LinksUpToDate>
  <CharactersWithSpaces>15283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2021-09-29T09:42:00Z</dcterms:created>
  <dc:creator>CMCC</dc:creator>
  <cp:keywords>CTPClassification=:VisualMarkings=, CTPClassification=CTP_PUBLIC:VisualMarkings=, CTPClassification=CTP_NT</cp:keywords>
  <cp:lastModifiedBy>QW</cp:lastModifiedBy>
  <cp:lastPrinted>2016-05-08T07:33:00Z</cp:lastPrinted>
  <dcterms:modified xsi:type="dcterms:W3CDTF">2021-09-30T06:05:38Z</dcterms:modified>
  <dc:title>3GPP TSG-RAN WG1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2052-11.8.2.10229</vt:lpwstr>
  </property>
</Properties>
</file>