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237BC3BB"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C20964">
        <w:rPr>
          <w:rFonts w:eastAsia="SimSun"/>
          <w:sz w:val="22"/>
          <w:lang w:eastAsia="zh-CN"/>
        </w:rPr>
        <w:t>6</w:t>
      </w:r>
      <w:r w:rsidR="00E03326">
        <w:rPr>
          <w:rFonts w:eastAsia="SimSun" w:hint="eastAsia"/>
          <w:sz w:val="22"/>
          <w:lang w:eastAsia="zh-CN"/>
        </w:rPr>
        <w:t>bis</w:t>
      </w:r>
      <w:r w:rsidR="00B369F1">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E03326">
        <w:rPr>
          <w:rFonts w:eastAsia="SimSun" w:hint="eastAsia"/>
          <w:sz w:val="22"/>
          <w:lang w:eastAsia="zh-CN"/>
        </w:rPr>
        <w:t>2</w:t>
      </w:r>
      <w:r w:rsidR="00E03326">
        <w:rPr>
          <w:rFonts w:eastAsia="SimSun"/>
          <w:sz w:val="22"/>
          <w:lang w:eastAsia="zh-CN"/>
        </w:rPr>
        <w:t>10</w:t>
      </w:r>
      <w:r w:rsidR="003B1856">
        <w:rPr>
          <w:rFonts w:eastAsia="SimSun"/>
          <w:sz w:val="22"/>
          <w:lang w:eastAsia="zh-CN"/>
        </w:rPr>
        <w:t>9038</w:t>
      </w:r>
    </w:p>
    <w:p w14:paraId="5274BA97" w14:textId="77286FDC"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E03326">
        <w:rPr>
          <w:rFonts w:eastAsia="SimSun"/>
          <w:sz w:val="22"/>
          <w:lang w:eastAsia="zh-CN"/>
        </w:rPr>
        <w:t>October 11</w:t>
      </w:r>
      <w:r w:rsidR="00E03326" w:rsidRPr="0048279C">
        <w:rPr>
          <w:rFonts w:eastAsia="SimSun"/>
          <w:sz w:val="22"/>
          <w:vertAlign w:val="superscript"/>
          <w:lang w:eastAsia="zh-CN"/>
        </w:rPr>
        <w:t>th</w:t>
      </w:r>
      <w:r w:rsidR="00E03326">
        <w:rPr>
          <w:rFonts w:eastAsia="SimSun"/>
          <w:sz w:val="22"/>
          <w:lang w:eastAsia="zh-CN"/>
        </w:rPr>
        <w:t xml:space="preserve"> </w:t>
      </w:r>
      <w:r w:rsidR="002328B0" w:rsidRPr="00240590">
        <w:rPr>
          <w:rFonts w:eastAsia="SimSun"/>
          <w:sz w:val="22"/>
          <w:lang w:eastAsia="zh-CN"/>
        </w:rPr>
        <w:t xml:space="preserve">– </w:t>
      </w:r>
      <w:r w:rsidR="00E03326">
        <w:rPr>
          <w:rFonts w:eastAsia="SimSun"/>
          <w:sz w:val="22"/>
          <w:lang w:eastAsia="zh-CN"/>
        </w:rPr>
        <w:t>19</w:t>
      </w:r>
      <w:r w:rsidR="00E03326"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018E5C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C8505E">
        <w:rPr>
          <w:rFonts w:eastAsia="SimSun"/>
          <w:sz w:val="22"/>
          <w:lang w:eastAsia="zh-CN"/>
        </w:rPr>
        <w:t>Enhancements on</w:t>
      </w:r>
      <w:r w:rsidR="000F5BBA">
        <w:rPr>
          <w:rFonts w:eastAsia="SimSun"/>
          <w:sz w:val="22"/>
          <w:lang w:eastAsia="zh-CN"/>
        </w:rPr>
        <w:t xml:space="preserve"> Multi-Beam Operation</w:t>
      </w:r>
    </w:p>
    <w:p w14:paraId="4D626EB5" w14:textId="6C8F9E3B"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0F5BBA">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DD5AC5A" w:rsidR="003A33FE" w:rsidRDefault="003A33FE" w:rsidP="00497AFF">
      <w:pPr>
        <w:pStyle w:val="00Text"/>
      </w:pPr>
      <w:r>
        <w:t xml:space="preserve">NR system specify multi-beam operation since 3GPP release 15 mainly to support FR2 systems. New WID for further enhancing NR MIMO [1] includes the objectives </w:t>
      </w:r>
      <w:r w:rsidR="000146F7">
        <w:t xml:space="preserve">of enhancement on </w:t>
      </w:r>
      <w:r>
        <w:t>multi-beam operations</w:t>
      </w:r>
      <w:r w:rsidR="000146F7">
        <w:t>.</w:t>
      </w:r>
      <w:r w:rsidR="00FE750A">
        <w:t xml:space="preserve"> </w:t>
      </w:r>
      <w:r w:rsidR="002328B0" w:rsidRPr="00497AFF">
        <w:t xml:space="preserve">In this contribution, we present our views on various </w:t>
      </w:r>
      <w:r>
        <w:t xml:space="preserve">aspects on NR multi-beam operation enhancement. In particular, we will present our views on </w:t>
      </w:r>
      <w:r w:rsidR="006F6D28">
        <w:t xml:space="preserve">unified TCI state and </w:t>
      </w:r>
      <w:r>
        <w:t xml:space="preserve">common beam operation, </w:t>
      </w:r>
      <w:r w:rsidR="00833D9E">
        <w:t xml:space="preserve">inter-cell mobility, </w:t>
      </w:r>
      <w:r>
        <w:t>UL beam selection and MPE issues.</w:t>
      </w:r>
    </w:p>
    <w:p w14:paraId="1646829D" w14:textId="363216E7" w:rsidR="002C4DCC" w:rsidRDefault="00EE55B6" w:rsidP="002C4DCC">
      <w:pPr>
        <w:pStyle w:val="01"/>
        <w:numPr>
          <w:ilvl w:val="0"/>
          <w:numId w:val="1"/>
        </w:numPr>
        <w:ind w:left="562" w:hanging="562"/>
      </w:pPr>
      <w:r>
        <w:t xml:space="preserve">Unified TCI </w:t>
      </w:r>
      <w:r w:rsidR="00E11CEE">
        <w:t>Framework</w:t>
      </w:r>
    </w:p>
    <w:p w14:paraId="1598792A" w14:textId="292AA53A" w:rsidR="000B6612" w:rsidRDefault="00D5241E">
      <w:pPr>
        <w:pStyle w:val="00Text"/>
      </w:pPr>
      <w:r>
        <w:t>R</w:t>
      </w:r>
      <w:r w:rsidR="000B6612">
        <w:t>egarding the definition of beam misalignment for path loss RS, we reach the following agreement:</w:t>
      </w:r>
    </w:p>
    <w:tbl>
      <w:tblPr>
        <w:tblStyle w:val="TableGrid"/>
        <w:tblW w:w="0" w:type="auto"/>
        <w:tblLook w:val="04A0" w:firstRow="1" w:lastRow="0" w:firstColumn="1" w:lastColumn="0" w:noHBand="0" w:noVBand="1"/>
      </w:tblPr>
      <w:tblGrid>
        <w:gridCol w:w="9062"/>
      </w:tblGrid>
      <w:tr w:rsidR="000B6612" w14:paraId="5C31F84C" w14:textId="77777777" w:rsidTr="000B6612">
        <w:tc>
          <w:tcPr>
            <w:tcW w:w="9062" w:type="dxa"/>
          </w:tcPr>
          <w:p w14:paraId="0F9A547F" w14:textId="77777777" w:rsidR="000B6612" w:rsidRPr="005B792D" w:rsidRDefault="000B6612" w:rsidP="000B6612">
            <w:pPr>
              <w:pStyle w:val="xxxmsonormal"/>
              <w:jc w:val="both"/>
              <w:rPr>
                <w:rFonts w:ascii="Times" w:hAnsi="Times" w:cs="Times"/>
                <w:sz w:val="20"/>
                <w:szCs w:val="20"/>
              </w:rPr>
            </w:pPr>
            <w:r w:rsidRPr="005B792D">
              <w:rPr>
                <w:rFonts w:ascii="Times" w:hAnsi="Times" w:cs="Times"/>
                <w:b/>
                <w:bCs/>
                <w:color w:val="000000"/>
                <w:sz w:val="20"/>
                <w:szCs w:val="20"/>
                <w:highlight w:val="green"/>
              </w:rPr>
              <w:t>Agreement</w:t>
            </w:r>
          </w:p>
          <w:p w14:paraId="2EA83CD7" w14:textId="77777777" w:rsidR="000B6612" w:rsidRPr="005B792D" w:rsidRDefault="000B6612" w:rsidP="000B6612">
            <w:pPr>
              <w:pStyle w:val="xxxmsonormal"/>
              <w:snapToGrid w:val="0"/>
              <w:jc w:val="both"/>
              <w:rPr>
                <w:rFonts w:ascii="Times" w:hAnsi="Times" w:cs="Times"/>
                <w:sz w:val="20"/>
                <w:szCs w:val="20"/>
              </w:rPr>
            </w:pPr>
            <w:r w:rsidRPr="005B792D">
              <w:rPr>
                <w:rFonts w:ascii="Times" w:hAnsi="Times" w:cs="Times"/>
                <w:sz w:val="20"/>
                <w:szCs w:val="20"/>
              </w:rPr>
              <w:t xml:space="preserve">On path-loss measurement for Rel.17 unified TCI framework, </w:t>
            </w:r>
            <w:r w:rsidRPr="005B792D">
              <w:rPr>
                <w:rFonts w:ascii="Times" w:hAnsi="Times" w:cs="Times"/>
                <w:sz w:val="20"/>
                <w:szCs w:val="20"/>
                <w:lang w:val="en-GB"/>
              </w:rPr>
              <w:t>a</w:t>
            </w:r>
            <w:r w:rsidRPr="005B792D">
              <w:rPr>
                <w:rFonts w:ascii="Times" w:hAnsi="Times" w:cs="Times"/>
                <w:sz w:val="20"/>
                <w:szCs w:val="20"/>
              </w:rPr>
              <w:t>t least for discussion purposes:</w:t>
            </w:r>
          </w:p>
          <w:p w14:paraId="0732E07F" w14:textId="77777777" w:rsidR="000B6612" w:rsidRPr="005B792D" w:rsidRDefault="000B6612" w:rsidP="000B6612">
            <w:pPr>
              <w:numPr>
                <w:ilvl w:val="0"/>
                <w:numId w:val="46"/>
              </w:numPr>
              <w:snapToGrid w:val="0"/>
              <w:jc w:val="both"/>
              <w:rPr>
                <w:rFonts w:cs="Times"/>
                <w:szCs w:val="20"/>
              </w:rPr>
            </w:pPr>
            <w:r w:rsidRPr="005B792D">
              <w:rPr>
                <w:rFonts w:cs="Times"/>
                <w:szCs w:val="20"/>
              </w:rPr>
              <w:t>“Beam alignment” is defined as follows:</w:t>
            </w:r>
            <w:r w:rsidRPr="005B792D">
              <w:rPr>
                <w:rFonts w:eastAsia="DengXian" w:cs="Times"/>
                <w:szCs w:val="20"/>
              </w:rPr>
              <w:t xml:space="preserve"> </w:t>
            </w:r>
          </w:p>
          <w:p w14:paraId="45DB1A30" w14:textId="77777777" w:rsidR="000B6612" w:rsidRPr="005B792D" w:rsidRDefault="000B6612" w:rsidP="000B6612">
            <w:pPr>
              <w:numPr>
                <w:ilvl w:val="1"/>
                <w:numId w:val="47"/>
              </w:numPr>
              <w:snapToGrid w:val="0"/>
              <w:jc w:val="both"/>
              <w:rPr>
                <w:rFonts w:cs="Times"/>
                <w:szCs w:val="20"/>
              </w:rPr>
            </w:pPr>
            <w:r w:rsidRPr="005B792D">
              <w:rPr>
                <w:rFonts w:cs="Times"/>
                <w:szCs w:val="20"/>
              </w:rPr>
              <w:t xml:space="preserve">The event that the PL-RS is identical to the spatial relation RS in the UL or (if applicable) joint TCI state. </w:t>
            </w:r>
          </w:p>
          <w:p w14:paraId="01888A2B" w14:textId="77777777" w:rsidR="000B6612" w:rsidRPr="005B792D" w:rsidRDefault="000B6612" w:rsidP="000B6612">
            <w:pPr>
              <w:numPr>
                <w:ilvl w:val="1"/>
                <w:numId w:val="47"/>
              </w:numPr>
              <w:snapToGrid w:val="0"/>
              <w:jc w:val="both"/>
              <w:rPr>
                <w:rFonts w:cs="Times"/>
                <w:szCs w:val="20"/>
              </w:rPr>
            </w:pPr>
            <w:r w:rsidRPr="005B792D">
              <w:rPr>
                <w:rFonts w:cs="Times"/>
                <w:szCs w:val="20"/>
              </w:rPr>
              <w:t>FFS: how to define “beam alignment” if the PL-RS and the spatial relation RS in the UL or (if applicable) joint TCI state are not identical</w:t>
            </w:r>
          </w:p>
          <w:p w14:paraId="22C43500" w14:textId="35586616" w:rsidR="000B6612" w:rsidRDefault="000B6612" w:rsidP="00001BCA">
            <w:pPr>
              <w:numPr>
                <w:ilvl w:val="0"/>
                <w:numId w:val="48"/>
              </w:numPr>
              <w:snapToGrid w:val="0"/>
              <w:jc w:val="both"/>
            </w:pPr>
            <w:r w:rsidRPr="005B792D">
              <w:rPr>
                <w:rFonts w:cs="Times"/>
                <w:szCs w:val="20"/>
              </w:rPr>
              <w:t>Any other case, it is defined as beam misalignment</w:t>
            </w:r>
          </w:p>
        </w:tc>
      </w:tr>
    </w:tbl>
    <w:p w14:paraId="07666830" w14:textId="08604B53" w:rsidR="000B6612" w:rsidRDefault="00AA3B73">
      <w:pPr>
        <w:pStyle w:val="00Text"/>
      </w:pPr>
      <w:r>
        <w:t>One FFS point is how to define the beam alignment when PL-RS and the spatial relation RS are not same.  In our view, beam alignment is defined when the Rx beam applied on receiving PL-RS and Tx beam according to spatial relation RS are same:</w:t>
      </w:r>
    </w:p>
    <w:p w14:paraId="713672F6" w14:textId="26628BF4" w:rsidR="00AA3B73" w:rsidRDefault="00AA3B73" w:rsidP="00805710">
      <w:pPr>
        <w:pStyle w:val="00Text"/>
        <w:numPr>
          <w:ilvl w:val="0"/>
          <w:numId w:val="36"/>
        </w:numPr>
      </w:pPr>
      <w:r>
        <w:t>The Rx beam for receiving PL-RS is determined by the QCL-TypeD configured to that PL-RS.</w:t>
      </w:r>
    </w:p>
    <w:p w14:paraId="2D9FD1BB" w14:textId="6C61BA43" w:rsidR="00AA3B73" w:rsidRDefault="00AA3B73" w:rsidP="00001BCA">
      <w:pPr>
        <w:pStyle w:val="00Text"/>
        <w:numPr>
          <w:ilvl w:val="0"/>
          <w:numId w:val="36"/>
        </w:numPr>
      </w:pPr>
      <w:r>
        <w:t xml:space="preserve">The Tx beam corresponding to the spatial relation RS is determined by Rx beam determined for the reception of the CSI-RS or SSB configured as the spatial relation RS. Thus, the Tx beam corresponding to the CSI-RS or SSB </w:t>
      </w:r>
      <w:r w:rsidR="00805710">
        <w:t>configured as spatial relation RS is also determined by the QCL-TypeD.</w:t>
      </w:r>
      <w:r>
        <w:t xml:space="preserve"> </w:t>
      </w:r>
    </w:p>
    <w:p w14:paraId="0EEC2F30" w14:textId="4993C9B7" w:rsidR="000B6612" w:rsidRDefault="00805710">
      <w:pPr>
        <w:pStyle w:val="00Text"/>
      </w:pPr>
      <w:r>
        <w:t>Therefore, if the PL-RS and spatial relation RS are QCLed with respect to QCL-TypeD, we can determine that the Rx beam applied on receiving the PL-RS and Tx beam corresponding to the spatial relation RS are same and thus we can define beam alignment.</w:t>
      </w:r>
    </w:p>
    <w:p w14:paraId="49EFDC7C" w14:textId="77777777" w:rsidR="00127EF8" w:rsidRDefault="00C81DC7">
      <w:pPr>
        <w:pStyle w:val="00Text"/>
      </w:pPr>
      <w:r>
        <w:t xml:space="preserve">As agreed, </w:t>
      </w:r>
      <w:r w:rsidR="007211E0">
        <w:t>one joint TCI state or UL TCI state can be configured or associated with a PL-RS that is assumed to be periodic. If a joint TCI state or UL TCI state is not configured or associated with a PL-RS, the UE shall be requested to use the RS for UL Tx spatial filter to measure PL. In this case, the RS for UL Tx spatial filter shall be a DL periodic RS.</w:t>
      </w:r>
    </w:p>
    <w:p w14:paraId="696248F8" w14:textId="7421DFD3" w:rsidR="00127EF8" w:rsidRDefault="00127EF8" w:rsidP="00001BCA">
      <w:pPr>
        <w:pStyle w:val="000proposal"/>
      </w:pPr>
      <w:r w:rsidRPr="001D1CF8">
        <w:t xml:space="preserve">Proposal </w:t>
      </w:r>
      <w:r w:rsidR="00D5241E">
        <w:t>1</w:t>
      </w:r>
      <w:r w:rsidRPr="001D1CF8">
        <w:t xml:space="preserve">: </w:t>
      </w:r>
      <w:r w:rsidR="00805710">
        <w:t>If PL-RS and spatial relation RS are not identical, t</w:t>
      </w:r>
      <w:r>
        <w:t xml:space="preserve">he “beam alignment” is defined </w:t>
      </w:r>
      <w:r w:rsidR="00805710">
        <w:t xml:space="preserve">when </w:t>
      </w:r>
      <w:r>
        <w:t xml:space="preserve">the PL-RS and the </w:t>
      </w:r>
      <w:r w:rsidR="00805710">
        <w:t>spatial relation RS</w:t>
      </w:r>
      <w:r>
        <w:t xml:space="preserve"> are QCLed </w:t>
      </w:r>
      <w:r w:rsidR="00805710">
        <w:t>with respect to QCL-TypeD</w:t>
      </w:r>
      <w:r>
        <w:t>.</w:t>
      </w:r>
    </w:p>
    <w:p w14:paraId="24CCC386" w14:textId="283AE11A" w:rsidR="00127EF8" w:rsidRDefault="00805710" w:rsidP="00001BCA">
      <w:pPr>
        <w:pStyle w:val="000proposal"/>
      </w:pPr>
      <w:r>
        <w:t xml:space="preserve">Proposal </w:t>
      </w:r>
      <w:r w:rsidR="008C3C7D">
        <w:t>2</w:t>
      </w:r>
      <w:r>
        <w:t xml:space="preserve">: </w:t>
      </w:r>
      <w:r w:rsidR="00127EF8">
        <w:t xml:space="preserve">The UE shall expect that the PL-RS and RS for UL Tx spatial filter </w:t>
      </w:r>
      <w:r w:rsidR="00493CDA">
        <w:t>have “beam alignment”, which shall be achieved by gNB implementation.</w:t>
      </w:r>
    </w:p>
    <w:p w14:paraId="2CE3B238" w14:textId="15E11008" w:rsidR="00493CDA" w:rsidRPr="001D1CF8" w:rsidRDefault="00805710" w:rsidP="00001BCA">
      <w:pPr>
        <w:pStyle w:val="000proposal"/>
      </w:pPr>
      <w:r>
        <w:lastRenderedPageBreak/>
        <w:t xml:space="preserve">Proposal </w:t>
      </w:r>
      <w:r w:rsidR="008C3C7D">
        <w:t>3</w:t>
      </w:r>
      <w:r>
        <w:t xml:space="preserve">: </w:t>
      </w:r>
      <w:r w:rsidR="00493CDA">
        <w:t>If a joint TCI state or UL TCI state is not associated with PL-RS, the UE shall use the RS for UL Tx spatial filter to measure PL and that RS shall be a DL periodic RS.</w:t>
      </w:r>
    </w:p>
    <w:p w14:paraId="2C5C4E1C" w14:textId="6CC87A22" w:rsidR="00EF63D5" w:rsidRDefault="00282AE3" w:rsidP="00EF63D5">
      <w:pPr>
        <w:pStyle w:val="00Text"/>
      </w:pPr>
      <w:r>
        <w:t>It was agreed that the indicated Rel-17 TCI state can be applied in AP CSI-RS for CSI and AP CSI-RS for BM</w:t>
      </w:r>
      <w:r w:rsidR="009132E1">
        <w:t>:</w:t>
      </w:r>
    </w:p>
    <w:tbl>
      <w:tblPr>
        <w:tblStyle w:val="TableGrid"/>
        <w:tblW w:w="0" w:type="auto"/>
        <w:tblLook w:val="04A0" w:firstRow="1" w:lastRow="0" w:firstColumn="1" w:lastColumn="0" w:noHBand="0" w:noVBand="1"/>
      </w:tblPr>
      <w:tblGrid>
        <w:gridCol w:w="9062"/>
      </w:tblGrid>
      <w:tr w:rsidR="00EF63D5" w14:paraId="28C2312B" w14:textId="77777777" w:rsidTr="001D1CF8">
        <w:tc>
          <w:tcPr>
            <w:tcW w:w="9062" w:type="dxa"/>
          </w:tcPr>
          <w:p w14:paraId="0303DE82" w14:textId="77777777" w:rsidR="003F3AD7" w:rsidRPr="003F3AD7" w:rsidRDefault="003F3AD7" w:rsidP="003F3AD7">
            <w:pPr>
              <w:jc w:val="both"/>
              <w:rPr>
                <w:rFonts w:ascii="Times" w:eastAsia="Malgun Gothic" w:hAnsi="Times" w:cs="Times"/>
                <w:szCs w:val="20"/>
                <w:lang w:eastAsia="ko-KR"/>
              </w:rPr>
            </w:pPr>
            <w:r w:rsidRPr="003F3AD7">
              <w:rPr>
                <w:rFonts w:ascii="Times" w:eastAsia="Malgun Gothic" w:hAnsi="Times" w:cs="Times"/>
                <w:b/>
                <w:bCs/>
                <w:color w:val="000000"/>
                <w:szCs w:val="20"/>
                <w:highlight w:val="green"/>
                <w:lang w:eastAsia="ko-KR"/>
              </w:rPr>
              <w:t>Agreement</w:t>
            </w:r>
          </w:p>
          <w:p w14:paraId="467BCBB6" w14:textId="77777777" w:rsidR="003F3AD7" w:rsidRPr="003F3AD7" w:rsidRDefault="003F3AD7" w:rsidP="003F3AD7">
            <w:pPr>
              <w:jc w:val="both"/>
              <w:rPr>
                <w:rFonts w:ascii="Times" w:eastAsia="Malgun Gothic" w:hAnsi="Times" w:cs="Times"/>
                <w:szCs w:val="20"/>
                <w:lang w:eastAsia="ko-KR"/>
              </w:rPr>
            </w:pPr>
            <w:r w:rsidRPr="003F3AD7">
              <w:rPr>
                <w:rFonts w:ascii="Times" w:eastAsia="Malgun Gothic" w:hAnsi="Times" w:cs="Times"/>
                <w:szCs w:val="20"/>
                <w:lang w:val="en-GB" w:eastAsia="ko-KR"/>
              </w:rPr>
              <w:t>On Rel.17 unified TCI framework,</w:t>
            </w:r>
            <w:r w:rsidRPr="003F3AD7">
              <w:rPr>
                <w:rFonts w:ascii="Times" w:eastAsia="Malgun Gothic" w:hAnsi="Times" w:cs="Times"/>
                <w:szCs w:val="20"/>
                <w:lang w:eastAsia="ko-KR"/>
              </w:rPr>
              <w:t> the following DL RSs can share the same indicated Rel-17 TCI state as </w:t>
            </w:r>
            <w:r w:rsidRPr="003F3AD7">
              <w:rPr>
                <w:rFonts w:ascii="Times" w:eastAsia="Malgun Gothic" w:hAnsi="Times" w:cs="Times"/>
                <w:szCs w:val="20"/>
                <w:lang w:val="en-GB" w:eastAsia="ko-KR"/>
              </w:rPr>
              <w:t>UE-dedicated reception on PDSCH and for UE-dedicated reception on all or subset of CORESETs in a CC</w:t>
            </w:r>
          </w:p>
          <w:p w14:paraId="1642DE96" w14:textId="77777777" w:rsidR="003F3AD7" w:rsidRPr="003F3AD7" w:rsidRDefault="003F3AD7" w:rsidP="003F3AD7">
            <w:pPr>
              <w:numPr>
                <w:ilvl w:val="0"/>
                <w:numId w:val="43"/>
              </w:numPr>
              <w:snapToGrid w:val="0"/>
              <w:jc w:val="both"/>
              <w:rPr>
                <w:rFonts w:ascii="Times" w:eastAsia="Batang" w:hAnsi="Times"/>
                <w:szCs w:val="20"/>
                <w:lang w:val="en-GB" w:eastAsia="x-none"/>
              </w:rPr>
            </w:pPr>
            <w:r w:rsidRPr="003F3AD7">
              <w:rPr>
                <w:rFonts w:ascii="Times" w:eastAsia="Batang" w:hAnsi="Times"/>
                <w:szCs w:val="20"/>
                <w:lang w:val="en-GB" w:eastAsia="x-none"/>
              </w:rPr>
              <w:t>Aperiodic CSI-RS resources for CSI</w:t>
            </w:r>
          </w:p>
          <w:p w14:paraId="1E61E654" w14:textId="77777777" w:rsidR="003F3AD7" w:rsidRPr="003F3AD7" w:rsidRDefault="003F3AD7" w:rsidP="003F3AD7">
            <w:pPr>
              <w:numPr>
                <w:ilvl w:val="1"/>
                <w:numId w:val="43"/>
              </w:numPr>
              <w:snapToGrid w:val="0"/>
              <w:jc w:val="both"/>
              <w:rPr>
                <w:rFonts w:ascii="Times" w:eastAsia="Batang" w:hAnsi="Times"/>
                <w:szCs w:val="20"/>
                <w:lang w:val="en-GB" w:eastAsia="x-none"/>
              </w:rPr>
            </w:pPr>
            <w:r w:rsidRPr="003F3AD7">
              <w:rPr>
                <w:rFonts w:ascii="Times" w:eastAsia="Batang" w:hAnsi="Times"/>
                <w:szCs w:val="20"/>
                <w:lang w:val="en-GB" w:eastAsia="x-none"/>
              </w:rPr>
              <w:t>FFS: Discuss if further restriction or further case is necessary</w:t>
            </w:r>
          </w:p>
          <w:p w14:paraId="2CCDE315" w14:textId="77777777" w:rsidR="003F3AD7" w:rsidRPr="003F3AD7" w:rsidRDefault="003F3AD7" w:rsidP="003F3AD7">
            <w:pPr>
              <w:numPr>
                <w:ilvl w:val="0"/>
                <w:numId w:val="43"/>
              </w:numPr>
              <w:snapToGrid w:val="0"/>
              <w:jc w:val="both"/>
              <w:rPr>
                <w:rFonts w:ascii="Times" w:eastAsia="Batang" w:hAnsi="Times"/>
                <w:szCs w:val="20"/>
                <w:lang w:val="en-GB" w:eastAsia="x-none"/>
              </w:rPr>
            </w:pPr>
            <w:r w:rsidRPr="003F3AD7">
              <w:rPr>
                <w:rFonts w:ascii="Times" w:eastAsia="Batang" w:hAnsi="Times"/>
                <w:szCs w:val="20"/>
                <w:lang w:val="en-GB" w:eastAsia="x-none"/>
              </w:rPr>
              <w:t xml:space="preserve">Aperiodic CSI-RS resources for BM </w:t>
            </w:r>
          </w:p>
          <w:p w14:paraId="718D69CD" w14:textId="77777777" w:rsidR="003F3AD7" w:rsidRPr="003F3AD7" w:rsidRDefault="003F3AD7" w:rsidP="003F3AD7">
            <w:pPr>
              <w:numPr>
                <w:ilvl w:val="1"/>
                <w:numId w:val="43"/>
              </w:numPr>
              <w:snapToGrid w:val="0"/>
              <w:jc w:val="both"/>
              <w:rPr>
                <w:rFonts w:ascii="Times" w:eastAsia="Batang" w:hAnsi="Times"/>
                <w:szCs w:val="20"/>
                <w:lang w:val="en-GB" w:eastAsia="x-none"/>
              </w:rPr>
            </w:pPr>
            <w:r w:rsidRPr="003F3AD7">
              <w:rPr>
                <w:rFonts w:ascii="Times" w:eastAsia="Batang" w:hAnsi="Times"/>
                <w:szCs w:val="20"/>
                <w:lang w:val="en-GB" w:eastAsia="x-none"/>
              </w:rPr>
              <w:t>FFS: Discuss if further restriction or further case is necessary</w:t>
            </w:r>
          </w:p>
          <w:p w14:paraId="5920E11F" w14:textId="77777777" w:rsidR="003F3AD7" w:rsidRPr="003F3AD7" w:rsidRDefault="003F3AD7" w:rsidP="003F3AD7">
            <w:pPr>
              <w:numPr>
                <w:ilvl w:val="0"/>
                <w:numId w:val="43"/>
              </w:numPr>
              <w:snapToGrid w:val="0"/>
              <w:jc w:val="both"/>
              <w:rPr>
                <w:rFonts w:ascii="Times" w:eastAsia="Batang" w:hAnsi="Times"/>
                <w:szCs w:val="20"/>
                <w:lang w:val="en-GB" w:eastAsia="x-none"/>
              </w:rPr>
            </w:pPr>
            <w:r w:rsidRPr="003F3AD7">
              <w:rPr>
                <w:rFonts w:ascii="Times" w:eastAsia="Batang" w:hAnsi="Times"/>
                <w:szCs w:val="20"/>
                <w:lang w:val="en-GB" w:eastAsia="x-none"/>
              </w:rPr>
              <w:t>FFS: Other CSI-RS time-domain behaviors and/or restriction(s)</w:t>
            </w:r>
          </w:p>
          <w:p w14:paraId="35F590D6" w14:textId="06CD74A6" w:rsidR="00EF63D5" w:rsidRDefault="00EF63D5" w:rsidP="009040F1">
            <w:pPr>
              <w:pStyle w:val="ListParagraph"/>
              <w:autoSpaceDN w:val="0"/>
              <w:snapToGrid w:val="0"/>
              <w:ind w:leftChars="0" w:left="1440"/>
              <w:jc w:val="both"/>
            </w:pPr>
          </w:p>
        </w:tc>
      </w:tr>
    </w:tbl>
    <w:p w14:paraId="6FB3FA7A" w14:textId="78B0DF0F" w:rsidR="00282AE3" w:rsidRDefault="00282AE3" w:rsidP="00EF63D5">
      <w:pPr>
        <w:pStyle w:val="00Text"/>
      </w:pPr>
      <w:r>
        <w:t xml:space="preserve">The CSI-RS resource for CSI is used to measure the CSI for transmission of UE-dedicated PDCCH and PDSCH. Thus, only the TCI state applied on the CSI-RS resource for CSI shall be same to that applied to the UE-dedicated PDCCH and PDSCH. Otherwise, the CSI measurement might not be </w:t>
      </w:r>
      <w:r w:rsidR="000F0690">
        <w:rPr>
          <w:rFonts w:hint="eastAsia"/>
        </w:rPr>
        <w:t>useful</w:t>
      </w:r>
      <w:r w:rsidR="000F0690">
        <w:t xml:space="preserve"> to the gNB.   Therefore, the indicated Rel-17 TCI state shall be applied to all the CSI-RS resources for CSI configured in CSI reporting, no matter what the time-domain behavior is.</w:t>
      </w:r>
    </w:p>
    <w:p w14:paraId="346A4679" w14:textId="23CF3B24" w:rsidR="000F0690" w:rsidRDefault="000F0690" w:rsidP="00001BCA">
      <w:pPr>
        <w:pStyle w:val="000proposal"/>
      </w:pPr>
      <w:r>
        <w:t>Proposal</w:t>
      </w:r>
      <w:r w:rsidR="00D5241E">
        <w:t xml:space="preserve"> </w:t>
      </w:r>
      <w:r w:rsidR="008C3C7D">
        <w:t>4</w:t>
      </w:r>
      <w:r>
        <w:t>: The indicated Rel-17 TCI state is applied to all the aperiodic/periodic/semi-persistent CSI-RS resources for CSI.</w:t>
      </w:r>
    </w:p>
    <w:p w14:paraId="3941D710" w14:textId="2F3C8966" w:rsidR="00EF63D5" w:rsidRDefault="000F0690">
      <w:pPr>
        <w:pStyle w:val="00Text"/>
      </w:pPr>
      <w:r>
        <w:t>Regarding the CSI-RS resources for BM</w:t>
      </w:r>
      <w:r>
        <w:rPr>
          <w:rFonts w:hint="eastAsia"/>
        </w:rPr>
        <w:t>,</w:t>
      </w:r>
      <w:r>
        <w:t xml:space="preserve"> in our view, we do not need to apply that indicated TCI state on all the aperiodic CSI-RS resources for BM. Instead, the gNB can explicitly indicate which CSI-RS resource set for BM shall share that indicated TCI state and such a CSI-RS resource set shall be with repetition = ‘On’</w:t>
      </w:r>
      <w:r w:rsidR="00EF63D5">
        <w:t xml:space="preserve"> so that the UE can always refine Rx beams with respect the ‘current’ Tx beam applied to the system.</w:t>
      </w:r>
    </w:p>
    <w:p w14:paraId="41AE35F3" w14:textId="31D4563E" w:rsidR="00EF63D5" w:rsidRPr="00795ADD" w:rsidRDefault="00EF63D5" w:rsidP="00001BCA">
      <w:pPr>
        <w:pStyle w:val="000proposals"/>
        <w:rPr>
          <w:i/>
          <w:iCs w:val="0"/>
        </w:rPr>
      </w:pPr>
      <w:r w:rsidRPr="00795ADD">
        <w:rPr>
          <w:i/>
          <w:iCs w:val="0"/>
        </w:rPr>
        <w:t xml:space="preserve">Proposal </w:t>
      </w:r>
      <w:r w:rsidR="008C3C7D">
        <w:rPr>
          <w:i/>
          <w:iCs w:val="0"/>
        </w:rPr>
        <w:t>5</w:t>
      </w:r>
      <w:r w:rsidRPr="00795ADD">
        <w:rPr>
          <w:i/>
          <w:iCs w:val="0"/>
        </w:rPr>
        <w:t xml:space="preserve">: </w:t>
      </w:r>
      <w:r w:rsidR="000F0690">
        <w:rPr>
          <w:i/>
          <w:iCs w:val="0"/>
        </w:rPr>
        <w:t xml:space="preserve">The gNB can explicitly indicate that one aperiodic CSI-RS resource set with </w:t>
      </w:r>
      <w:r w:rsidRPr="00795ADD">
        <w:rPr>
          <w:i/>
          <w:iCs w:val="0"/>
        </w:rPr>
        <w:t>repetition = ‘O</w:t>
      </w:r>
      <w:r>
        <w:rPr>
          <w:i/>
          <w:iCs w:val="0"/>
        </w:rPr>
        <w:t>N</w:t>
      </w:r>
      <w:r w:rsidRPr="00795ADD">
        <w:rPr>
          <w:i/>
          <w:iCs w:val="0"/>
        </w:rPr>
        <w:t>’</w:t>
      </w:r>
      <w:r w:rsidR="000F0690">
        <w:rPr>
          <w:i/>
          <w:iCs w:val="0"/>
        </w:rPr>
        <w:t xml:space="preserve"> shall share the indicated </w:t>
      </w:r>
      <w:r w:rsidR="000F0690">
        <w:rPr>
          <w:rFonts w:hint="eastAsia"/>
          <w:i/>
          <w:iCs w:val="0"/>
          <w:lang w:eastAsia="zh-CN"/>
        </w:rPr>
        <w:t>R</w:t>
      </w:r>
      <w:r w:rsidR="000F0690">
        <w:rPr>
          <w:i/>
          <w:iCs w:val="0"/>
        </w:rPr>
        <w:t>el-17 TCI state.</w:t>
      </w:r>
    </w:p>
    <w:p w14:paraId="1A3827AE" w14:textId="772A6B3E" w:rsidR="001F64D3" w:rsidRDefault="00EF63D5" w:rsidP="00EF63D5">
      <w:pPr>
        <w:pStyle w:val="00Text"/>
      </w:pPr>
      <w:r w:rsidRPr="00BC61B5">
        <w:t xml:space="preserve">Similarly, </w:t>
      </w:r>
      <w:r w:rsidR="001F64D3">
        <w:t>it was agreed that the indicated Rel-17 TCI state can be applied to some SRS resource for BM:</w:t>
      </w:r>
    </w:p>
    <w:tbl>
      <w:tblPr>
        <w:tblStyle w:val="TableGrid"/>
        <w:tblW w:w="0" w:type="auto"/>
        <w:tblLook w:val="04A0" w:firstRow="1" w:lastRow="0" w:firstColumn="1" w:lastColumn="0" w:noHBand="0" w:noVBand="1"/>
      </w:tblPr>
      <w:tblGrid>
        <w:gridCol w:w="9062"/>
      </w:tblGrid>
      <w:tr w:rsidR="001F64D3" w14:paraId="0CF7FF85" w14:textId="77777777" w:rsidTr="001F64D3">
        <w:tc>
          <w:tcPr>
            <w:tcW w:w="9062" w:type="dxa"/>
          </w:tcPr>
          <w:p w14:paraId="21125953" w14:textId="77777777" w:rsidR="001F64D3" w:rsidRPr="005B792D" w:rsidRDefault="001F64D3" w:rsidP="001F64D3">
            <w:pPr>
              <w:pStyle w:val="xxxmsonormal"/>
              <w:jc w:val="both"/>
              <w:rPr>
                <w:rFonts w:ascii="Times" w:hAnsi="Times" w:cs="Times"/>
                <w:sz w:val="20"/>
                <w:szCs w:val="20"/>
              </w:rPr>
            </w:pPr>
            <w:r w:rsidRPr="005B792D">
              <w:rPr>
                <w:rFonts w:ascii="Times" w:hAnsi="Times" w:cs="Times"/>
                <w:b/>
                <w:bCs/>
                <w:color w:val="000000"/>
                <w:sz w:val="20"/>
                <w:szCs w:val="20"/>
                <w:highlight w:val="green"/>
              </w:rPr>
              <w:t>Agreement</w:t>
            </w:r>
          </w:p>
          <w:p w14:paraId="57F98DFB" w14:textId="77777777" w:rsidR="001F64D3" w:rsidRPr="005B792D" w:rsidRDefault="001F64D3" w:rsidP="001F64D3">
            <w:pPr>
              <w:pStyle w:val="xxxmsonormal"/>
              <w:snapToGrid w:val="0"/>
              <w:jc w:val="both"/>
              <w:rPr>
                <w:rFonts w:ascii="Times" w:hAnsi="Times" w:cs="Times"/>
                <w:sz w:val="20"/>
                <w:szCs w:val="20"/>
              </w:rPr>
            </w:pPr>
            <w:r w:rsidRPr="005B792D">
              <w:rPr>
                <w:rFonts w:ascii="Times" w:hAnsi="Times" w:cs="Times"/>
                <w:sz w:val="20"/>
                <w:szCs w:val="20"/>
                <w:lang w:val="en-GB"/>
              </w:rPr>
              <w:t>On Rel.17 unified TCI framework:</w:t>
            </w:r>
          </w:p>
          <w:p w14:paraId="1BC8C54E" w14:textId="77777777" w:rsidR="001F64D3" w:rsidRPr="005B792D" w:rsidRDefault="001F64D3" w:rsidP="001F64D3">
            <w:pPr>
              <w:numPr>
                <w:ilvl w:val="0"/>
                <w:numId w:val="44"/>
              </w:numPr>
              <w:snapToGrid w:val="0"/>
              <w:jc w:val="both"/>
              <w:rPr>
                <w:rFonts w:cs="Times"/>
                <w:szCs w:val="20"/>
              </w:rPr>
            </w:pPr>
            <w:r w:rsidRPr="005B792D">
              <w:rPr>
                <w:rFonts w:cs="Times"/>
                <w:szCs w:val="20"/>
              </w:rPr>
              <w:t>Aperiodic SRS resources or resource sets for BM can share the same indicated Rel-17 TCI state as dynamic-grant/configured-grant based PUSCH, all or subset of dedicated PUCCH resources in a CC</w:t>
            </w:r>
            <w:r w:rsidRPr="005B792D">
              <w:rPr>
                <w:rFonts w:eastAsia="DengXian" w:cs="Times"/>
                <w:szCs w:val="20"/>
              </w:rPr>
              <w:t xml:space="preserve"> </w:t>
            </w:r>
          </w:p>
          <w:p w14:paraId="00460321" w14:textId="77777777" w:rsidR="001F64D3" w:rsidRPr="005B792D" w:rsidRDefault="001F64D3" w:rsidP="001F64D3">
            <w:pPr>
              <w:numPr>
                <w:ilvl w:val="1"/>
                <w:numId w:val="45"/>
              </w:numPr>
              <w:snapToGrid w:val="0"/>
              <w:jc w:val="both"/>
              <w:rPr>
                <w:rFonts w:cs="Times"/>
                <w:szCs w:val="20"/>
              </w:rPr>
            </w:pPr>
            <w:r w:rsidRPr="005B792D">
              <w:rPr>
                <w:rFonts w:cs="Times"/>
                <w:szCs w:val="20"/>
              </w:rPr>
              <w:t>FFS: Discuss if/which restriction is necessary, e.g. only for aperiodic, apply to all resources in a set</w:t>
            </w:r>
          </w:p>
          <w:p w14:paraId="18F2A889" w14:textId="77777777" w:rsidR="001F64D3" w:rsidRPr="005B792D" w:rsidRDefault="001F64D3" w:rsidP="001F64D3">
            <w:pPr>
              <w:numPr>
                <w:ilvl w:val="1"/>
                <w:numId w:val="45"/>
              </w:numPr>
              <w:snapToGrid w:val="0"/>
              <w:jc w:val="both"/>
              <w:rPr>
                <w:rFonts w:cs="Times"/>
                <w:szCs w:val="20"/>
              </w:rPr>
            </w:pPr>
            <w:r w:rsidRPr="005B792D">
              <w:rPr>
                <w:rFonts w:cs="Times"/>
                <w:szCs w:val="20"/>
              </w:rPr>
              <w:t>Note: This doesn’t imply that all time-domain behaviors are automatically supported</w:t>
            </w:r>
          </w:p>
          <w:p w14:paraId="555DDD1A" w14:textId="77777777" w:rsidR="001F64D3" w:rsidRDefault="001F64D3" w:rsidP="00EF63D5">
            <w:pPr>
              <w:pStyle w:val="00Text"/>
            </w:pPr>
          </w:p>
        </w:tc>
      </w:tr>
    </w:tbl>
    <w:p w14:paraId="70DF8C8B" w14:textId="66518D74" w:rsidR="001F64D3" w:rsidRDefault="001F64D3" w:rsidP="00EF63D5">
      <w:pPr>
        <w:pStyle w:val="00Text"/>
      </w:pPr>
      <w:r>
        <w:t xml:space="preserve">In our view, it is not necessary or feasible to apply the indicated rel-17 TCI state on all the SRS resource for BM since the use case for this feature is to support gNB Rx beam refinement with respect to the </w:t>
      </w:r>
      <w:r w:rsidR="001E349D">
        <w:t>‘current’ UL Tx beam. Therefore, the gNB can explicitly indicate which SRS resource set for BM shall apply the indicated Rel-17 TCI state and the UE would apply the indicated Rel-17 joint TCI state or UL TCI state on all the SRS resources in that set.</w:t>
      </w:r>
      <w:r>
        <w:t xml:space="preserve"> </w:t>
      </w:r>
    </w:p>
    <w:p w14:paraId="083F2752" w14:textId="18945436" w:rsidR="00EF63D5" w:rsidRPr="00795ADD" w:rsidRDefault="00EF63D5" w:rsidP="00EF63D5">
      <w:pPr>
        <w:pStyle w:val="000proposals"/>
        <w:rPr>
          <w:i/>
          <w:iCs w:val="0"/>
        </w:rPr>
      </w:pPr>
      <w:r w:rsidRPr="00795ADD">
        <w:rPr>
          <w:i/>
          <w:iCs w:val="0"/>
        </w:rPr>
        <w:t xml:space="preserve">Proposal </w:t>
      </w:r>
      <w:r w:rsidR="008C3C7D">
        <w:rPr>
          <w:i/>
          <w:iCs w:val="0"/>
        </w:rPr>
        <w:t>6</w:t>
      </w:r>
      <w:r w:rsidRPr="00795ADD">
        <w:rPr>
          <w:i/>
          <w:iCs w:val="0"/>
        </w:rPr>
        <w:t xml:space="preserve">: </w:t>
      </w:r>
      <w:r w:rsidR="001E349D">
        <w:rPr>
          <w:i/>
          <w:iCs w:val="0"/>
        </w:rPr>
        <w:t>The gNB indicates that one SRS resource set for BM shall share the indicated Rel-17 TCI state and the UE apply the indicated Rel-17 TCI state on all the SRS resources in that set</w:t>
      </w:r>
      <w:r w:rsidRPr="00795ADD">
        <w:rPr>
          <w:i/>
          <w:iCs w:val="0"/>
        </w:rPr>
        <w:t>.</w:t>
      </w:r>
    </w:p>
    <w:p w14:paraId="7C0BCC53" w14:textId="350537FB" w:rsidR="00F61F07" w:rsidRDefault="004724EA" w:rsidP="00901383">
      <w:pPr>
        <w:pStyle w:val="00Text"/>
      </w:pPr>
      <w:r>
        <w:t xml:space="preserve">For unified TCI framework in CA case, </w:t>
      </w:r>
      <w:r w:rsidR="00BF7E43">
        <w:rPr>
          <w:rFonts w:hint="eastAsia"/>
        </w:rPr>
        <w:t>t</w:t>
      </w:r>
      <w:r w:rsidR="00BF7E43">
        <w:t xml:space="preserve">he following </w:t>
      </w:r>
      <w:r w:rsidR="00E13624">
        <w:t xml:space="preserve">agreement </w:t>
      </w:r>
      <w:r>
        <w:t>was made.</w:t>
      </w:r>
    </w:p>
    <w:tbl>
      <w:tblPr>
        <w:tblStyle w:val="TableGrid"/>
        <w:tblW w:w="0" w:type="auto"/>
        <w:tblLook w:val="04A0" w:firstRow="1" w:lastRow="0" w:firstColumn="1" w:lastColumn="0" w:noHBand="0" w:noVBand="1"/>
      </w:tblPr>
      <w:tblGrid>
        <w:gridCol w:w="9062"/>
      </w:tblGrid>
      <w:tr w:rsidR="00F61F07" w14:paraId="18724392" w14:textId="77777777" w:rsidTr="00F61F07">
        <w:tc>
          <w:tcPr>
            <w:tcW w:w="9062" w:type="dxa"/>
          </w:tcPr>
          <w:p w14:paraId="7308819C" w14:textId="77777777" w:rsidR="00E13624" w:rsidRPr="00E13624" w:rsidRDefault="00E13624" w:rsidP="00E13624">
            <w:pPr>
              <w:snapToGrid w:val="0"/>
              <w:jc w:val="both"/>
              <w:rPr>
                <w:rFonts w:ascii="Times" w:hAnsi="Times"/>
                <w:szCs w:val="20"/>
                <w:lang w:val="en-GB"/>
              </w:rPr>
            </w:pPr>
            <w:r w:rsidRPr="00E13624">
              <w:rPr>
                <w:rFonts w:ascii="Times" w:hAnsi="Times"/>
                <w:szCs w:val="20"/>
                <w:lang w:val="en-GB"/>
              </w:rPr>
              <w:t>On Rel.17 unified TCI framework,</w:t>
            </w:r>
            <w:r w:rsidRPr="00E13624">
              <w:rPr>
                <w:rFonts w:ascii="Times" w:eastAsia="Batang" w:hAnsi="Times"/>
                <w:szCs w:val="20"/>
                <w:lang w:val="en-GB" w:eastAsia="ja-JP"/>
              </w:rPr>
              <w:t xml:space="preserve"> confirm the following working assumption as an agreement with a minor refinement highlighted in </w:t>
            </w:r>
            <w:r w:rsidRPr="00E13624">
              <w:rPr>
                <w:rFonts w:ascii="Times" w:eastAsia="Batang" w:hAnsi="Times"/>
                <w:color w:val="FF0000"/>
                <w:szCs w:val="20"/>
                <w:lang w:val="en-GB" w:eastAsia="ja-JP"/>
              </w:rPr>
              <w:t>red</w:t>
            </w:r>
            <w:r w:rsidRPr="00E13624">
              <w:rPr>
                <w:rFonts w:ascii="Times" w:eastAsia="Batang" w:hAnsi="Times"/>
                <w:szCs w:val="20"/>
                <w:lang w:val="en-GB" w:eastAsia="ja-JP"/>
              </w:rPr>
              <w:t xml:space="preserve"> </w:t>
            </w:r>
          </w:p>
          <w:p w14:paraId="28612620" w14:textId="77777777" w:rsidR="00E13624" w:rsidRPr="00E13624" w:rsidRDefault="00E13624" w:rsidP="00E13624">
            <w:pPr>
              <w:snapToGrid w:val="0"/>
              <w:rPr>
                <w:rFonts w:ascii="Times" w:eastAsia="Batang" w:hAnsi="Times"/>
                <w:szCs w:val="20"/>
                <w:lang w:val="en-GB" w:eastAsia="ja-JP"/>
              </w:rPr>
            </w:pPr>
            <w:r w:rsidRPr="00E13624">
              <w:rPr>
                <w:rFonts w:ascii="Times" w:eastAsia="Malgun Gothic" w:hAnsi="Times"/>
                <w:lang w:val="en-GB"/>
              </w:rPr>
              <w:lastRenderedPageBreak/>
              <w:t xml:space="preserve">For common TCI state ID update and activation to provide common QCL information </w:t>
            </w:r>
            <w:r w:rsidRPr="00E13624">
              <w:rPr>
                <w:rFonts w:ascii="Times" w:eastAsia="Malgun Gothic" w:hAnsi="Times"/>
                <w:lang w:val="en-GB" w:eastAsia="ja-JP"/>
              </w:rPr>
              <w:t xml:space="preserve">at least for UE-dedicated PDCCH/PDSCH </w:t>
            </w:r>
            <w:r w:rsidRPr="00E13624">
              <w:rPr>
                <w:rFonts w:ascii="Times" w:eastAsia="Malgun Gothic" w:hAnsi="Times"/>
                <w:lang w:val="en-GB"/>
              </w:rPr>
              <w:t xml:space="preserve">and/or common UL TX spatial filter(s) </w:t>
            </w:r>
            <w:r w:rsidRPr="00E13624">
              <w:rPr>
                <w:rFonts w:ascii="Times" w:eastAsia="Malgun Gothic" w:hAnsi="Times"/>
                <w:lang w:val="en-GB" w:eastAsia="ja-JP"/>
              </w:rPr>
              <w:t xml:space="preserve">at least for UE-dedicated PUSCH/PUCCH </w:t>
            </w:r>
            <w:r w:rsidRPr="00E13624">
              <w:rPr>
                <w:rFonts w:ascii="Times" w:eastAsia="Malgun Gothic" w:hAnsi="Times"/>
                <w:lang w:val="en-GB"/>
              </w:rPr>
              <w:t xml:space="preserve">across a set of [configured] CCs/BWPs: </w:t>
            </w:r>
          </w:p>
          <w:p w14:paraId="32005532" w14:textId="77777777" w:rsidR="00E13624" w:rsidRPr="00E13624" w:rsidRDefault="00E13624" w:rsidP="00E13624">
            <w:pPr>
              <w:numPr>
                <w:ilvl w:val="0"/>
                <w:numId w:val="49"/>
              </w:numPr>
              <w:snapToGrid w:val="0"/>
              <w:jc w:val="both"/>
              <w:rPr>
                <w:rFonts w:ascii="Times" w:eastAsia="Malgun Gothic" w:hAnsi="Times"/>
                <w:lang w:val="en-GB"/>
              </w:rPr>
            </w:pPr>
            <w:r w:rsidRPr="00E13624">
              <w:rPr>
                <w:rFonts w:ascii="Times" w:eastAsia="Malgun Gothic" w:hAnsi="Times"/>
                <w:lang w:val="en-GB"/>
              </w:rPr>
              <w:t>RRC-configured TCI state pool(s) can be configured in the PDSCH configuration (</w:t>
            </w:r>
            <w:r w:rsidRPr="00E13624">
              <w:rPr>
                <w:rFonts w:ascii="Times" w:eastAsia="Malgun Gothic" w:hAnsi="Times"/>
                <w:i/>
                <w:iCs/>
                <w:lang w:val="en-GB"/>
              </w:rPr>
              <w:t>PDSCH-Config</w:t>
            </w:r>
            <w:r w:rsidRPr="00E13624">
              <w:rPr>
                <w:rFonts w:ascii="Times" w:eastAsia="Malgun Gothic" w:hAnsi="Times"/>
                <w:lang w:val="en-GB"/>
              </w:rPr>
              <w:t>) for each BWP/CC as in Rel-15/16</w:t>
            </w:r>
          </w:p>
          <w:p w14:paraId="51D12226" w14:textId="77777777" w:rsidR="00E13624" w:rsidRPr="00E13624" w:rsidRDefault="00E13624" w:rsidP="00E13624">
            <w:pPr>
              <w:numPr>
                <w:ilvl w:val="1"/>
                <w:numId w:val="50"/>
              </w:numPr>
              <w:snapToGrid w:val="0"/>
              <w:jc w:val="both"/>
              <w:rPr>
                <w:rFonts w:ascii="Times" w:eastAsia="Malgun Gothic" w:hAnsi="Times"/>
                <w:lang w:val="en-GB"/>
              </w:rPr>
            </w:pPr>
            <w:r w:rsidRPr="00E13624">
              <w:rPr>
                <w:rFonts w:ascii="Times" w:eastAsia="Batang" w:hAnsi="Times"/>
                <w:lang w:val="en-GB" w:eastAsia="zh-CN"/>
              </w:rPr>
              <w:t xml:space="preserve">Note: Such </w:t>
            </w:r>
            <w:r w:rsidRPr="00E13624">
              <w:rPr>
                <w:rFonts w:ascii="Times" w:eastAsia="Malgun Gothic" w:hAnsi="Times"/>
                <w:lang w:val="en-GB"/>
              </w:rPr>
              <w:t>RRC-configured</w:t>
            </w:r>
            <w:r w:rsidRPr="00E13624">
              <w:rPr>
                <w:rFonts w:ascii="Times" w:eastAsia="Batang" w:hAnsi="Times"/>
                <w:lang w:val="en-GB" w:eastAsia="zh-CN"/>
              </w:rPr>
              <w:t xml:space="preserve"> TCI state pool(s) configuration doesn’t imply that separate DL/UL TCI state pool is excluded or supported</w:t>
            </w:r>
          </w:p>
          <w:p w14:paraId="5F17F47A" w14:textId="77777777" w:rsidR="00E13624" w:rsidRPr="00E13624" w:rsidRDefault="00E13624" w:rsidP="00E13624">
            <w:pPr>
              <w:numPr>
                <w:ilvl w:val="0"/>
                <w:numId w:val="49"/>
              </w:numPr>
              <w:snapToGrid w:val="0"/>
              <w:jc w:val="both"/>
              <w:rPr>
                <w:rFonts w:ascii="Times" w:eastAsia="Malgun Gothic" w:hAnsi="Times"/>
                <w:lang w:val="en-GB"/>
              </w:rPr>
            </w:pPr>
            <w:r w:rsidRPr="00E13624">
              <w:rPr>
                <w:rFonts w:ascii="Times" w:eastAsia="Malgun Gothic" w:hAnsi="Times"/>
                <w:lang w:val="en-GB"/>
              </w:rPr>
              <w:t>RRC-configured TCI state pool(s) can be absent in the PDSCH configuration (</w:t>
            </w:r>
            <w:r w:rsidRPr="00E13624">
              <w:rPr>
                <w:rFonts w:ascii="Times" w:eastAsia="Malgun Gothic" w:hAnsi="Times"/>
                <w:i/>
                <w:iCs/>
                <w:lang w:val="en-GB"/>
              </w:rPr>
              <w:t>PDSCH-Config</w:t>
            </w:r>
            <w:r w:rsidRPr="00E13624">
              <w:rPr>
                <w:rFonts w:ascii="Times" w:eastAsia="Malgun Gothic" w:hAnsi="Times"/>
                <w:lang w:val="en-GB"/>
              </w:rPr>
              <w:t>) for each BWP/CC, and replaced with a reference to RRC-configured TCI state pool(s) in a reference BWP/CC</w:t>
            </w:r>
          </w:p>
          <w:p w14:paraId="350AE302" w14:textId="77777777" w:rsidR="00E13624" w:rsidRPr="00E13624" w:rsidRDefault="00E13624" w:rsidP="00E13624">
            <w:pPr>
              <w:numPr>
                <w:ilvl w:val="1"/>
                <w:numId w:val="50"/>
              </w:numPr>
              <w:snapToGrid w:val="0"/>
              <w:jc w:val="both"/>
              <w:rPr>
                <w:rFonts w:ascii="Times" w:eastAsia="Malgun Gothic" w:hAnsi="Times"/>
                <w:lang w:val="en-GB"/>
              </w:rPr>
            </w:pPr>
            <w:r w:rsidRPr="00E13624">
              <w:rPr>
                <w:rFonts w:ascii="Times" w:eastAsia="Malgun Gothic" w:hAnsi="Times"/>
                <w:lang w:val="en-GB"/>
              </w:rPr>
              <w:t>In the PDSCH configuration (</w:t>
            </w:r>
            <w:r w:rsidRPr="00E13624">
              <w:rPr>
                <w:rFonts w:ascii="Times" w:eastAsia="Malgun Gothic" w:hAnsi="Times"/>
                <w:i/>
                <w:iCs/>
                <w:lang w:val="en-GB"/>
              </w:rPr>
              <w:t>PDSCH-Config</w:t>
            </w:r>
            <w:r w:rsidRPr="00E13624">
              <w:rPr>
                <w:rFonts w:ascii="Times" w:eastAsia="Malgun Gothic" w:hAnsi="Times"/>
                <w:lang w:val="en-GB"/>
              </w:rPr>
              <w:t>) of the reference BWP/CC, RRC-configured TCI state pool(s) shall be configured</w:t>
            </w:r>
          </w:p>
          <w:p w14:paraId="7DB392C6" w14:textId="77777777" w:rsidR="00E13624" w:rsidRPr="00E13624" w:rsidRDefault="00E13624" w:rsidP="00E13624">
            <w:pPr>
              <w:numPr>
                <w:ilvl w:val="1"/>
                <w:numId w:val="50"/>
              </w:numPr>
              <w:snapToGrid w:val="0"/>
              <w:jc w:val="both"/>
              <w:rPr>
                <w:rFonts w:ascii="Times" w:eastAsia="Malgun Gothic" w:hAnsi="Times"/>
                <w:lang w:val="en-GB"/>
              </w:rPr>
            </w:pPr>
            <w:r w:rsidRPr="00E13624">
              <w:rPr>
                <w:rFonts w:ascii="Times" w:eastAsia="Malgun Gothic" w:hAnsi="Times"/>
                <w:lang w:val="en-GB"/>
              </w:rPr>
              <w:t>For a BWP/CC where the PDSCH configuration contains a reference to the RRC-configured TCI state pool(s) in a reference BWP/CC, the UE applies the RRC-configured TCI state pool(s) in the reference BWP/CC</w:t>
            </w:r>
          </w:p>
          <w:p w14:paraId="6D12A7F8" w14:textId="77777777" w:rsidR="00E13624" w:rsidRPr="00E13624" w:rsidRDefault="00E13624" w:rsidP="00E13624">
            <w:pPr>
              <w:numPr>
                <w:ilvl w:val="0"/>
                <w:numId w:val="49"/>
              </w:numPr>
              <w:snapToGrid w:val="0"/>
              <w:jc w:val="both"/>
              <w:rPr>
                <w:rFonts w:ascii="Times" w:eastAsia="Malgun Gothic" w:hAnsi="Times"/>
                <w:lang w:val="en-GB"/>
              </w:rPr>
            </w:pPr>
            <w:r w:rsidRPr="00E13624">
              <w:rPr>
                <w:rFonts w:ascii="Times" w:eastAsia="Batang" w:hAnsi="Times"/>
                <w:lang w:val="en-GB"/>
              </w:rPr>
              <w:t>When the BWP/CC ID (</w:t>
            </w:r>
            <w:r w:rsidRPr="00E13624">
              <w:rPr>
                <w:rFonts w:ascii="Times" w:eastAsia="Batang" w:hAnsi="Times"/>
                <w:color w:val="FF0000"/>
                <w:lang w:val="en-GB"/>
              </w:rPr>
              <w:t xml:space="preserve">i.e. </w:t>
            </w:r>
            <w:r w:rsidRPr="00E13624">
              <w:rPr>
                <w:rFonts w:ascii="Times" w:eastAsia="Batang" w:hAnsi="Times"/>
                <w:i/>
                <w:color w:val="FF0000"/>
                <w:lang w:val="en-GB"/>
              </w:rPr>
              <w:t>bwp-Id</w:t>
            </w:r>
            <w:r w:rsidRPr="00E13624">
              <w:rPr>
                <w:rFonts w:ascii="Times" w:eastAsia="Batang" w:hAnsi="Times"/>
                <w:color w:val="FF0000"/>
                <w:lang w:val="en-GB"/>
              </w:rPr>
              <w:t xml:space="preserve"> or </w:t>
            </w:r>
            <w:r w:rsidRPr="00E13624">
              <w:rPr>
                <w:rFonts w:ascii="Times" w:eastAsia="Batang" w:hAnsi="Times"/>
                <w:i/>
                <w:iCs/>
                <w:lang w:val="en-GB"/>
              </w:rPr>
              <w:t>cell</w:t>
            </w:r>
            <w:r w:rsidRPr="00E13624">
              <w:rPr>
                <w:rFonts w:ascii="Times" w:eastAsia="Batang" w:hAnsi="Times"/>
                <w:lang w:val="en-GB"/>
              </w:rPr>
              <w:t>) for QCL-Type A/D source RS in a </w:t>
            </w:r>
            <w:r w:rsidRPr="00E13624">
              <w:rPr>
                <w:rFonts w:ascii="Times" w:eastAsia="Batang" w:hAnsi="Times"/>
                <w:i/>
                <w:iCs/>
                <w:lang w:val="en-GB"/>
              </w:rPr>
              <w:t>QCL-Info</w:t>
            </w:r>
            <w:r w:rsidRPr="00E13624">
              <w:rPr>
                <w:rFonts w:ascii="Times" w:eastAsia="Batang" w:hAnsi="Times"/>
                <w:lang w:val="en-GB"/>
              </w:rPr>
              <w:t> of the TCI state is absent, the UE assumes that QCL-Type A/D source RS is in the BWP/CC to which the TCI state applies</w:t>
            </w:r>
          </w:p>
          <w:p w14:paraId="7FC2C09D" w14:textId="77777777" w:rsidR="00E13624" w:rsidRPr="00E13624" w:rsidRDefault="00E13624" w:rsidP="00E13624">
            <w:pPr>
              <w:numPr>
                <w:ilvl w:val="0"/>
                <w:numId w:val="49"/>
              </w:numPr>
              <w:snapToGrid w:val="0"/>
              <w:jc w:val="both"/>
              <w:rPr>
                <w:rFonts w:ascii="Times" w:eastAsia="Malgun Gothic" w:hAnsi="Times"/>
                <w:lang w:val="en-GB"/>
              </w:rPr>
            </w:pPr>
            <w:r w:rsidRPr="00E13624">
              <w:rPr>
                <w:rFonts w:ascii="Times" w:eastAsia="Malgun Gothic" w:hAnsi="Times"/>
                <w:lang w:val="en-GB"/>
              </w:rPr>
              <w:t>Introduce a UE capability to report maximum number of TCI state pools it can support across BWPs and CCs in a band, and the candidate value at least includes 1</w:t>
            </w:r>
          </w:p>
          <w:p w14:paraId="6D643A0C" w14:textId="77777777" w:rsidR="00E13624" w:rsidRPr="00E13624" w:rsidRDefault="00E13624" w:rsidP="00E13624">
            <w:pPr>
              <w:numPr>
                <w:ilvl w:val="0"/>
                <w:numId w:val="49"/>
              </w:numPr>
              <w:snapToGrid w:val="0"/>
              <w:jc w:val="both"/>
              <w:rPr>
                <w:rFonts w:ascii="Times" w:eastAsia="Malgun Gothic" w:hAnsi="Times"/>
                <w:szCs w:val="20"/>
                <w:lang w:val="en-GB"/>
              </w:rPr>
            </w:pPr>
            <w:r w:rsidRPr="00E13624">
              <w:rPr>
                <w:rFonts w:ascii="Times" w:eastAsia="Malgun Gothic" w:hAnsi="Times"/>
                <w:lang w:val="en-GB"/>
              </w:rPr>
              <w:t xml:space="preserve">FFS: Introduce a UE capability to report maximum number of configured TCI states that it can support across BWPs </w:t>
            </w:r>
            <w:r w:rsidRPr="00E13624">
              <w:rPr>
                <w:rFonts w:ascii="Times" w:eastAsia="Malgun Gothic" w:hAnsi="Times"/>
                <w:szCs w:val="20"/>
                <w:lang w:val="en-GB"/>
              </w:rPr>
              <w:t>and CCs in a band</w:t>
            </w:r>
          </w:p>
          <w:p w14:paraId="3913D7AB" w14:textId="77777777" w:rsidR="00E13624" w:rsidRPr="00E13624" w:rsidRDefault="00E13624" w:rsidP="00E13624">
            <w:pPr>
              <w:numPr>
                <w:ilvl w:val="0"/>
                <w:numId w:val="49"/>
              </w:numPr>
              <w:snapToGrid w:val="0"/>
              <w:jc w:val="both"/>
              <w:rPr>
                <w:rFonts w:ascii="Times" w:eastAsia="Malgun Gothic" w:hAnsi="Times"/>
                <w:szCs w:val="20"/>
                <w:lang w:val="en-GB"/>
              </w:rPr>
            </w:pPr>
            <w:r w:rsidRPr="00E13624">
              <w:rPr>
                <w:rFonts w:ascii="Times" w:eastAsia="Malgun Gothic" w:hAnsi="Times"/>
                <w:szCs w:val="20"/>
                <w:lang w:val="en-GB"/>
              </w:rPr>
              <w:t>FFS: How to define reference BWP/CC</w:t>
            </w:r>
          </w:p>
          <w:p w14:paraId="728FF9E2" w14:textId="4A659249" w:rsidR="00F61F07" w:rsidRDefault="00F61F07" w:rsidP="009040F1">
            <w:pPr>
              <w:rPr>
                <w:lang w:eastAsia="zh-CN"/>
              </w:rPr>
            </w:pPr>
          </w:p>
        </w:tc>
      </w:tr>
    </w:tbl>
    <w:p w14:paraId="06FFE605" w14:textId="54920502" w:rsidR="00F61F07" w:rsidRDefault="00F61F07" w:rsidP="00F61F07">
      <w:pPr>
        <w:pStyle w:val="BodyText"/>
        <w:rPr>
          <w:lang w:eastAsia="zh-CN"/>
        </w:rPr>
      </w:pPr>
    </w:p>
    <w:p w14:paraId="5B0F0588" w14:textId="495D2E2D" w:rsidR="00BF7E43" w:rsidRDefault="00E13624" w:rsidP="00B24F68">
      <w:pPr>
        <w:pStyle w:val="00Text"/>
      </w:pPr>
      <w:r>
        <w:t xml:space="preserve">In the above agreement, the [] of [configured] shall be removed and the CCs involved in CA TCI state indication shall be explicitly configured. </w:t>
      </w:r>
      <w:r w:rsidR="00BF7E43">
        <w:t>One FFS point is how to determine the reference BWP/CC. For a set of configured CCs in the same band, the CC with lowest CC index can be used as the reference CC. Furthermore, a fixed BWP in that CC, for instance the BWP with lowest BWP ID can be used as the reference BWP.</w:t>
      </w:r>
    </w:p>
    <w:p w14:paraId="44F6EE48" w14:textId="47AD927D" w:rsidR="00E13624" w:rsidRDefault="00E13624" w:rsidP="00B24F68">
      <w:pPr>
        <w:pStyle w:val="00Text"/>
      </w:pPr>
      <w:r>
        <w:t xml:space="preserve">For determining the QCL source RS, the agreement only specify the case when the </w:t>
      </w:r>
      <w:r w:rsidR="00B24F68">
        <w:t>same TRS s configured as source for both Type A and Type D. Another case is a TRS is configured for QCL-TypeA and a CSI-RS for BM is configured for QCL-TypeD.  In this case, the UE shall determine the QCL source RSs for a BWP/CC without TCI state pool as follows:</w:t>
      </w:r>
    </w:p>
    <w:p w14:paraId="68D9A2D8" w14:textId="2B39303A" w:rsidR="00B24F68" w:rsidRDefault="00B24F68" w:rsidP="00B24F68">
      <w:pPr>
        <w:pStyle w:val="00Text"/>
        <w:numPr>
          <w:ilvl w:val="0"/>
          <w:numId w:val="51"/>
        </w:numPr>
      </w:pPr>
      <w:r>
        <w:t>For QCL-TypeA source RS: the UE assumes the RS is in the BWP/CC where the TCI state is applied.</w:t>
      </w:r>
    </w:p>
    <w:p w14:paraId="4BFBF7FD" w14:textId="2582F5BC" w:rsidR="00B24F68" w:rsidRDefault="00B24F68" w:rsidP="00001BCA">
      <w:pPr>
        <w:pStyle w:val="00Text"/>
        <w:numPr>
          <w:ilvl w:val="0"/>
          <w:numId w:val="51"/>
        </w:numPr>
      </w:pPr>
      <w:r>
        <w:t xml:space="preserve">For QCL-TypeD source RS: if the BWP/CC ID is absent </w:t>
      </w:r>
      <w:r>
        <w:rPr>
          <w:rFonts w:hint="eastAsia"/>
        </w:rPr>
        <w:t>in</w:t>
      </w:r>
      <w:r>
        <w:t xml:space="preserve"> TCI state configuration, the UE assumes the RS for QCL-TypeD is in the BWP/CC where the TCI state in configured.  If the BWP/CC ID is present in TCI state configuration, the UE assumes the RS for QCL-TypeD follows the provided BWP/CC ID. </w:t>
      </w:r>
    </w:p>
    <w:p w14:paraId="7BFE2D7D" w14:textId="25407E76" w:rsidR="00B24F68" w:rsidRPr="00001BCA" w:rsidRDefault="00B24F68" w:rsidP="00925672">
      <w:pPr>
        <w:pStyle w:val="00Text"/>
        <w:rPr>
          <w:b/>
          <w:bCs/>
          <w:i/>
          <w:iCs/>
        </w:rPr>
      </w:pPr>
      <w:bookmarkStart w:id="0" w:name="_Hlk83583216"/>
      <w:r w:rsidRPr="00001BCA">
        <w:rPr>
          <w:b/>
          <w:bCs/>
          <w:i/>
          <w:iCs/>
        </w:rPr>
        <w:t>Proposal</w:t>
      </w:r>
      <w:r w:rsidR="00D5241E">
        <w:rPr>
          <w:b/>
          <w:bCs/>
          <w:i/>
          <w:iCs/>
        </w:rPr>
        <w:t xml:space="preserve"> </w:t>
      </w:r>
      <w:r w:rsidR="008C3C7D">
        <w:rPr>
          <w:b/>
          <w:bCs/>
          <w:i/>
          <w:iCs/>
        </w:rPr>
        <w:t>7</w:t>
      </w:r>
      <w:r w:rsidRPr="00001BCA">
        <w:rPr>
          <w:b/>
          <w:bCs/>
          <w:i/>
          <w:iCs/>
        </w:rPr>
        <w:t>: To determine QCL source RS in BWP/CC where TCI state pool is not configured, when two different CSI-RS resources are configured for QCL-TypeA and QCL-TypeD in the TCI state:</w:t>
      </w:r>
    </w:p>
    <w:p w14:paraId="3551C621" w14:textId="56DA1566" w:rsidR="00B24F68" w:rsidRPr="00001BCA" w:rsidRDefault="00B24F68" w:rsidP="00001BCA">
      <w:pPr>
        <w:pStyle w:val="00Text"/>
        <w:numPr>
          <w:ilvl w:val="0"/>
          <w:numId w:val="52"/>
        </w:numPr>
        <w:rPr>
          <w:b/>
          <w:bCs/>
          <w:i/>
          <w:iCs/>
        </w:rPr>
      </w:pPr>
      <w:r w:rsidRPr="00001BCA">
        <w:rPr>
          <w:b/>
          <w:bCs/>
          <w:i/>
          <w:iCs/>
        </w:rPr>
        <w:t>The UE assumes the QCL-TypeA RS is in the BWP/CC where the TCI state is applied.</w:t>
      </w:r>
    </w:p>
    <w:p w14:paraId="0773D9B4" w14:textId="550A75CD" w:rsidR="00B24F68" w:rsidRPr="00001BCA" w:rsidRDefault="00B24F68" w:rsidP="00001BCA">
      <w:pPr>
        <w:pStyle w:val="00Text"/>
        <w:numPr>
          <w:ilvl w:val="0"/>
          <w:numId w:val="52"/>
        </w:numPr>
        <w:rPr>
          <w:b/>
          <w:bCs/>
          <w:i/>
          <w:iCs/>
        </w:rPr>
      </w:pPr>
      <w:r w:rsidRPr="00001BCA">
        <w:rPr>
          <w:b/>
          <w:bCs/>
          <w:i/>
          <w:iCs/>
        </w:rPr>
        <w:t>The UE assumes the QCL-TypeD RS is in the BWP/CC where the TCI state is configured if BWP/CC ID is not provided in TCI state configuration. Otherwise, the UE follows the provided BWP/CC ID.</w:t>
      </w:r>
    </w:p>
    <w:bookmarkEnd w:id="0"/>
    <w:p w14:paraId="369EE78A" w14:textId="77777777" w:rsidR="00414A27" w:rsidRDefault="00414A27" w:rsidP="00925672">
      <w:pPr>
        <w:pStyle w:val="00Text"/>
      </w:pPr>
    </w:p>
    <w:p w14:paraId="79B34EEA" w14:textId="132144FF" w:rsidR="00414A27" w:rsidRDefault="00414A27" w:rsidP="00925672">
      <w:pPr>
        <w:pStyle w:val="00Text"/>
      </w:pPr>
      <w:r>
        <w:t xml:space="preserve">Furthermore, the spatial relation RS is configured in joint TCI state or uplink TCI state. </w:t>
      </w:r>
      <w:r w:rsidR="00EB739A">
        <w:t xml:space="preserve">The PL-RS and PC parameters are associated with TCI states. For a BWP/CC not configured with TCI state pool, we shall also discuss and specify the method on how to determine those RSs and PC parameters. </w:t>
      </w:r>
    </w:p>
    <w:p w14:paraId="6B3DE21B" w14:textId="244D5C56" w:rsidR="002C4DCC" w:rsidRDefault="004F373D" w:rsidP="002C4DCC">
      <w:pPr>
        <w:pStyle w:val="01"/>
        <w:numPr>
          <w:ilvl w:val="0"/>
          <w:numId w:val="1"/>
        </w:numPr>
        <w:ind w:left="562" w:hanging="562"/>
      </w:pPr>
      <w:r>
        <w:lastRenderedPageBreak/>
        <w:t xml:space="preserve">Rel-17 </w:t>
      </w:r>
      <w:r w:rsidR="00CA1FB4">
        <w:t xml:space="preserve">TCI </w:t>
      </w:r>
      <w:r w:rsidR="00636CD2">
        <w:t>S</w:t>
      </w:r>
      <w:r w:rsidR="00CA1FB4">
        <w:t xml:space="preserve">tate </w:t>
      </w:r>
      <w:r w:rsidR="00354578">
        <w:t>Indication</w:t>
      </w:r>
      <w:r w:rsidR="00CA1FB4">
        <w:t xml:space="preserve"> </w:t>
      </w:r>
      <w:r>
        <w:t xml:space="preserve">Signaling </w:t>
      </w:r>
    </w:p>
    <w:p w14:paraId="44424694" w14:textId="73F4871F" w:rsidR="004F373D" w:rsidRDefault="007A7659" w:rsidP="00CA6C69">
      <w:pPr>
        <w:pStyle w:val="00Text"/>
      </w:pPr>
      <w:r>
        <w:t>We had the following discussion on how to determine the application time of DCI-indicated TCI state:</w:t>
      </w:r>
    </w:p>
    <w:tbl>
      <w:tblPr>
        <w:tblStyle w:val="TableGrid"/>
        <w:tblW w:w="0" w:type="auto"/>
        <w:tblLook w:val="04A0" w:firstRow="1" w:lastRow="0" w:firstColumn="1" w:lastColumn="0" w:noHBand="0" w:noVBand="1"/>
      </w:tblPr>
      <w:tblGrid>
        <w:gridCol w:w="9062"/>
      </w:tblGrid>
      <w:tr w:rsidR="004F373D" w14:paraId="43266758" w14:textId="77777777" w:rsidTr="004F373D">
        <w:tc>
          <w:tcPr>
            <w:tcW w:w="9062" w:type="dxa"/>
          </w:tcPr>
          <w:p w14:paraId="33578119" w14:textId="77777777" w:rsidR="004F373D" w:rsidRPr="00E73565" w:rsidRDefault="004F373D" w:rsidP="004F373D">
            <w:pPr>
              <w:rPr>
                <w:rFonts w:eastAsia="Gulim" w:cs="Times"/>
                <w:szCs w:val="22"/>
                <w:lang w:eastAsia="zh-CN"/>
              </w:rPr>
            </w:pPr>
            <w:r w:rsidRPr="00E73565">
              <w:rPr>
                <w:rFonts w:cs="Times"/>
                <w:b/>
                <w:bCs/>
                <w:szCs w:val="22"/>
                <w:highlight w:val="green"/>
                <w:lang w:eastAsia="zh-CN"/>
              </w:rPr>
              <w:t>Agreement</w:t>
            </w:r>
          </w:p>
          <w:p w14:paraId="3F0065A9" w14:textId="77777777" w:rsidR="004F373D" w:rsidRPr="00265632" w:rsidRDefault="004F373D" w:rsidP="004F373D">
            <w:pPr>
              <w:rPr>
                <w:rFonts w:cs="Times"/>
                <w:szCs w:val="22"/>
                <w:lang w:eastAsia="zh-CN"/>
              </w:rPr>
            </w:pPr>
            <w:r w:rsidRPr="00265632">
              <w:rPr>
                <w:rFonts w:cs="Times"/>
                <w:szCs w:val="22"/>
                <w:lang w:eastAsia="zh-CN"/>
              </w:rPr>
              <w:t>On Rel-17 DCI-based beam indication, regarding application time of the beam indication, in RAN1#106bis-e, further down select one from the following alternatives for the case of CA:</w:t>
            </w:r>
          </w:p>
          <w:p w14:paraId="0D48EC79" w14:textId="77777777" w:rsidR="004F373D" w:rsidRPr="00265632" w:rsidRDefault="004F373D" w:rsidP="004F373D">
            <w:pPr>
              <w:numPr>
                <w:ilvl w:val="0"/>
                <w:numId w:val="42"/>
              </w:numPr>
              <w:rPr>
                <w:rFonts w:cs="Times"/>
                <w:szCs w:val="22"/>
                <w:lang w:eastAsia="zh-CN"/>
              </w:rPr>
            </w:pPr>
            <w:r w:rsidRPr="00265632">
              <w:rPr>
                <w:rFonts w:cs="Times"/>
                <w:szCs w:val="22"/>
                <w:lang w:eastAsia="zh-CN"/>
              </w:rPr>
              <w:t>Alt1: The first slot and the Y symbols are both determined on the carrier with the smallest SCS among the carrier(s) applying the beam indication</w:t>
            </w:r>
          </w:p>
          <w:p w14:paraId="41A49CE6" w14:textId="77777777" w:rsidR="004F373D" w:rsidRPr="00265632" w:rsidRDefault="004F373D" w:rsidP="004F373D">
            <w:pPr>
              <w:numPr>
                <w:ilvl w:val="0"/>
                <w:numId w:val="42"/>
              </w:numPr>
              <w:rPr>
                <w:rFonts w:cs="Times"/>
                <w:szCs w:val="22"/>
                <w:lang w:eastAsia="zh-CN"/>
              </w:rPr>
            </w:pPr>
            <w:r w:rsidRPr="00265632">
              <w:rPr>
                <w:rFonts w:cs="Times"/>
                <w:szCs w:val="22"/>
                <w:lang w:eastAsia="zh-CN"/>
              </w:rPr>
              <w:t>Alt2: The first slot and the Y symbols are both determined on the carrier with smallest SCS among the carrier(s) applying the beam indication and the UL carrier carrying the acknowledgment</w:t>
            </w:r>
          </w:p>
          <w:p w14:paraId="6323ED35" w14:textId="77777777" w:rsidR="004F373D" w:rsidRPr="00265632" w:rsidRDefault="004F373D" w:rsidP="004F373D">
            <w:pPr>
              <w:numPr>
                <w:ilvl w:val="0"/>
                <w:numId w:val="42"/>
              </w:numPr>
              <w:rPr>
                <w:rFonts w:cs="Times"/>
                <w:szCs w:val="22"/>
                <w:lang w:eastAsia="zh-CN"/>
              </w:rPr>
            </w:pPr>
            <w:r w:rsidRPr="00265632">
              <w:rPr>
                <w:rFonts w:cs="Times"/>
                <w:szCs w:val="22"/>
                <w:lang w:eastAsia="zh-CN"/>
              </w:rPr>
              <w:t>Alt3: The first slot and the Y symbols are both determined on the UL carrier carrying the acknowledgment.</w:t>
            </w:r>
          </w:p>
          <w:p w14:paraId="7D8DC75E" w14:textId="77777777" w:rsidR="004F373D" w:rsidRDefault="004F373D" w:rsidP="00CA6C69">
            <w:pPr>
              <w:pStyle w:val="00Text"/>
            </w:pPr>
          </w:p>
        </w:tc>
      </w:tr>
    </w:tbl>
    <w:p w14:paraId="67CFC1CD" w14:textId="5E9107B1" w:rsidR="004F373D" w:rsidRDefault="007A7659" w:rsidP="00CA6C69">
      <w:pPr>
        <w:pStyle w:val="00Text"/>
      </w:pPr>
      <w:r>
        <w:t xml:space="preserve">Among those three alts, Alt1 is preferred since either Alt 2 or Alt 3 cause some problems to the system operation. In Alt3, the first slot and the Y symbols are determined on the UL CC where the ACK to the DCI-based TCI state indication is transmitted. That would result in different application time on different CCs and that could also cause beam switch within a slot in some CC. Alt2 could cause extra latency of applying the newly indicated TCI state because the SCS of UL CC carrying the ACK is also considered here. In our view, to determine the first slot and symbol Y, we shall only consider the CCs where the indicated TCI states are going to be applied so that the application time are aligned on all those CCs, which is the motivation of CA case of rel-17 TCI state indication. </w:t>
      </w:r>
    </w:p>
    <w:p w14:paraId="47BA0234" w14:textId="1DBA9CE0" w:rsidR="004F373D" w:rsidRDefault="004F373D" w:rsidP="00D04806">
      <w:pPr>
        <w:pStyle w:val="000proposal"/>
      </w:pPr>
      <w:bookmarkStart w:id="1" w:name="_Hlk83583227"/>
      <w:r>
        <w:t xml:space="preserve">Proposal </w:t>
      </w:r>
      <w:r w:rsidR="008C3C7D">
        <w:t>8</w:t>
      </w:r>
      <w:r>
        <w:t xml:space="preserve">: </w:t>
      </w:r>
      <w:r w:rsidR="007A7659">
        <w:t xml:space="preserve">Adopt Alt1 for determining the first slot and </w:t>
      </w:r>
      <w:r w:rsidR="007B0735">
        <w:t>Y symbols.</w:t>
      </w:r>
    </w:p>
    <w:bookmarkEnd w:id="1"/>
    <w:p w14:paraId="4DEDCE0D" w14:textId="36D4F5B0" w:rsidR="00614D0C" w:rsidRDefault="006A16ED" w:rsidP="00D04806">
      <w:pPr>
        <w:pStyle w:val="000proposal"/>
        <w:rPr>
          <w:b w:val="0"/>
          <w:bCs w:val="0"/>
          <w:i w:val="0"/>
          <w:iCs w:val="0"/>
        </w:rPr>
      </w:pPr>
      <w:r>
        <w:rPr>
          <w:b w:val="0"/>
          <w:bCs w:val="0"/>
          <w:i w:val="0"/>
          <w:iCs w:val="0"/>
        </w:rPr>
        <w:t>The value of Y symbols is configured by the gNB based on the UE capability, as in the agreement:</w:t>
      </w:r>
    </w:p>
    <w:tbl>
      <w:tblPr>
        <w:tblStyle w:val="TableGrid"/>
        <w:tblW w:w="0" w:type="auto"/>
        <w:tblLook w:val="04A0" w:firstRow="1" w:lastRow="0" w:firstColumn="1" w:lastColumn="0" w:noHBand="0" w:noVBand="1"/>
      </w:tblPr>
      <w:tblGrid>
        <w:gridCol w:w="9062"/>
      </w:tblGrid>
      <w:tr w:rsidR="00614D0C" w14:paraId="4CD1C01E" w14:textId="77777777" w:rsidTr="00614D0C">
        <w:tc>
          <w:tcPr>
            <w:tcW w:w="9062" w:type="dxa"/>
          </w:tcPr>
          <w:p w14:paraId="25C42C39" w14:textId="77777777" w:rsidR="00614D0C" w:rsidRPr="00614D0C" w:rsidRDefault="00614D0C" w:rsidP="00614D0C">
            <w:pPr>
              <w:snapToGrid w:val="0"/>
              <w:rPr>
                <w:rFonts w:ascii="Times" w:eastAsia="Gulim" w:hAnsi="Times" w:cs="Times"/>
                <w:lang w:eastAsia="ko-KR"/>
              </w:rPr>
            </w:pPr>
            <w:r w:rsidRPr="00614D0C">
              <w:rPr>
                <w:rFonts w:ascii="Times" w:eastAsia="Batang" w:hAnsi="Times" w:cs="Times"/>
                <w:b/>
                <w:bCs/>
                <w:highlight w:val="green"/>
                <w:lang w:val="en-GB"/>
              </w:rPr>
              <w:t>Agreement</w:t>
            </w:r>
          </w:p>
          <w:p w14:paraId="71E13AB4" w14:textId="77777777" w:rsidR="00614D0C" w:rsidRPr="00614D0C" w:rsidRDefault="00614D0C" w:rsidP="00614D0C">
            <w:pPr>
              <w:snapToGrid w:val="0"/>
              <w:rPr>
                <w:rFonts w:ascii="Times" w:eastAsia="Batang" w:hAnsi="Times" w:cs="Times"/>
                <w:lang w:val="en-GB"/>
              </w:rPr>
            </w:pPr>
            <w:r w:rsidRPr="00614D0C">
              <w:rPr>
                <w:rFonts w:ascii="Times" w:eastAsia="Batang" w:hAnsi="Times" w:cs="Times"/>
                <w:lang w:val="en-GB"/>
              </w:rPr>
              <w:t>On Rel-17 DCI-based beam indication, regarding application time of the beam indication, the first slot to apply the indicated TCI is at least Y symbols after the last symbol of the acknowledgment of the joint or separate DL/UL beam indication.</w:t>
            </w:r>
          </w:p>
          <w:p w14:paraId="68960DD7" w14:textId="77777777" w:rsidR="00614D0C" w:rsidRPr="00614D0C" w:rsidRDefault="00614D0C" w:rsidP="00614D0C">
            <w:pPr>
              <w:numPr>
                <w:ilvl w:val="0"/>
                <w:numId w:val="54"/>
              </w:numPr>
              <w:snapToGrid w:val="0"/>
              <w:rPr>
                <w:rFonts w:ascii="Times" w:hAnsi="Times" w:cs="Times"/>
                <w:szCs w:val="20"/>
                <w:lang w:val="en-GB"/>
              </w:rPr>
            </w:pPr>
            <w:r w:rsidRPr="00614D0C">
              <w:rPr>
                <w:rFonts w:ascii="Times" w:hAnsi="Times" w:cs="Times"/>
                <w:lang w:val="en-GB"/>
              </w:rPr>
              <w:t>Note: The Y symbols are configured by the gNB based on UE capability, which is also reported in units of symbols.</w:t>
            </w:r>
          </w:p>
          <w:p w14:paraId="5F9DD416" w14:textId="77777777" w:rsidR="00614D0C" w:rsidRPr="00614D0C" w:rsidRDefault="00614D0C" w:rsidP="00614D0C">
            <w:pPr>
              <w:numPr>
                <w:ilvl w:val="0"/>
                <w:numId w:val="54"/>
              </w:numPr>
              <w:snapToGrid w:val="0"/>
              <w:rPr>
                <w:rFonts w:ascii="Times" w:hAnsi="Times" w:cs="Times"/>
                <w:strike/>
                <w:szCs w:val="20"/>
                <w:lang w:val="en-GB"/>
              </w:rPr>
            </w:pPr>
            <w:r w:rsidRPr="00614D0C">
              <w:rPr>
                <w:rFonts w:ascii="Times" w:hAnsi="Times" w:cs="Times"/>
                <w:lang w:val="en-GB"/>
              </w:rPr>
              <w:t>FFS whether Y is configured per BWP , per CC or per band or per SCS , or independent of BWP/CC/SCS</w:t>
            </w:r>
          </w:p>
          <w:p w14:paraId="6EC3138B" w14:textId="5CB4FF49" w:rsidR="00614D0C" w:rsidRPr="00001BCA" w:rsidRDefault="00614D0C" w:rsidP="00001BCA">
            <w:pPr>
              <w:numPr>
                <w:ilvl w:val="1"/>
                <w:numId w:val="54"/>
              </w:numPr>
              <w:snapToGrid w:val="0"/>
              <w:rPr>
                <w:b/>
                <w:bCs/>
                <w:i/>
                <w:iCs/>
                <w:lang w:val="en-GB"/>
              </w:rPr>
            </w:pPr>
            <w:r w:rsidRPr="00614D0C">
              <w:rPr>
                <w:rFonts w:ascii="Times" w:hAnsi="Times" w:cs="Times"/>
                <w:lang w:val="en-GB"/>
              </w:rPr>
              <w:t>Note: Previous agreement in RAN1#104b-e that remaining unused DCI fields and codepoints are reserved in R17 are not to be reverted</w:t>
            </w:r>
          </w:p>
        </w:tc>
      </w:tr>
    </w:tbl>
    <w:p w14:paraId="32C35692" w14:textId="1D4B291C" w:rsidR="00614D0C" w:rsidRDefault="006A16ED" w:rsidP="00D04806">
      <w:pPr>
        <w:pStyle w:val="000proposal"/>
        <w:rPr>
          <w:b w:val="0"/>
          <w:bCs w:val="0"/>
          <w:i w:val="0"/>
          <w:iCs w:val="0"/>
        </w:rPr>
      </w:pPr>
      <w:r>
        <w:rPr>
          <w:b w:val="0"/>
          <w:bCs w:val="0"/>
          <w:i w:val="0"/>
          <w:iCs w:val="0"/>
        </w:rPr>
        <w:t xml:space="preserve">The value of Y shall at least depend on the value of SCS. For different SCSs, different value of Y shall be applied. However, the gNB does not need to explicitly configure </w:t>
      </w:r>
      <w:r w:rsidR="00B434F2">
        <w:rPr>
          <w:b w:val="0"/>
          <w:bCs w:val="0"/>
          <w:i w:val="0"/>
          <w:iCs w:val="0"/>
        </w:rPr>
        <w:t xml:space="preserve">one Y value for each individual SCS. The gNB can indicate one Y value for the smallest SCS and then the Y value for other SCS can be obtained by scaling according. For example, the gNB can indicate value </w:t>
      </w:r>
      <m:oMath>
        <m:sSub>
          <m:sSubPr>
            <m:ctrlPr>
              <w:rPr>
                <w:rFonts w:ascii="Cambria Math" w:hAnsi="Cambria Math"/>
                <w:b w:val="0"/>
                <w:i w:val="0"/>
                <w:iCs w:val="0"/>
              </w:rPr>
            </m:ctrlPr>
          </m:sSubPr>
          <m:e>
            <m:r>
              <m:rPr>
                <m:sty m:val="bi"/>
              </m:rPr>
              <w:rPr>
                <w:rFonts w:ascii="Cambria Math" w:hAnsi="Cambria Math"/>
              </w:rPr>
              <m:t>Y</m:t>
            </m:r>
          </m:e>
          <m:sub>
            <m:r>
              <m:rPr>
                <m:sty m:val="bi"/>
              </m:rPr>
              <w:rPr>
                <w:rFonts w:ascii="Cambria Math" w:hAnsi="Cambria Math"/>
              </w:rPr>
              <m:t>0</m:t>
            </m:r>
          </m:sub>
        </m:sSub>
      </m:oMath>
      <w:r w:rsidR="00B434F2">
        <w:rPr>
          <w:b w:val="0"/>
          <w:bCs w:val="0"/>
          <w:i w:val="0"/>
          <w:iCs w:val="0"/>
        </w:rPr>
        <w:t xml:space="preserve"> for SCS</w:t>
      </w:r>
      <w:r w:rsidR="00E73F44">
        <w:rPr>
          <w:b w:val="0"/>
          <w:bCs w:val="0"/>
          <w:i w:val="0"/>
          <w:iCs w:val="0"/>
        </w:rPr>
        <w:t xml:space="preserve"> </w:t>
      </w:r>
      <m:oMath>
        <m:r>
          <m:rPr>
            <m:sty m:val="bi"/>
          </m:rPr>
          <w:rPr>
            <w:rFonts w:ascii="Cambria Math" w:hAnsi="Cambria Math"/>
          </w:rPr>
          <m:t>μ=0</m:t>
        </m:r>
      </m:oMath>
      <w:r w:rsidR="00B434F2">
        <w:rPr>
          <w:b w:val="0"/>
          <w:bCs w:val="0"/>
          <w:i w:val="0"/>
          <w:iCs w:val="0"/>
        </w:rPr>
        <w:t xml:space="preserve">. And then the Y value for every other SCS is </w:t>
      </w:r>
      <m:oMath>
        <m:sSup>
          <m:sSupPr>
            <m:ctrlPr>
              <w:rPr>
                <w:rFonts w:ascii="Cambria Math" w:hAnsi="Cambria Math"/>
                <w:bCs w:val="0"/>
              </w:rPr>
            </m:ctrlPr>
          </m:sSupPr>
          <m:e>
            <m:r>
              <m:rPr>
                <m:sty m:val="bi"/>
              </m:rPr>
              <w:rPr>
                <w:rFonts w:ascii="Cambria Math" w:hAnsi="Cambria Math"/>
              </w:rPr>
              <m:t>2</m:t>
            </m:r>
          </m:e>
          <m:sup>
            <m:r>
              <m:rPr>
                <m:sty m:val="bi"/>
              </m:rPr>
              <w:rPr>
                <w:rFonts w:ascii="Cambria Math" w:hAnsi="Cambria Math"/>
              </w:rPr>
              <m:t>μ</m:t>
            </m:r>
          </m:sup>
        </m:sSup>
        <m:sSub>
          <m:sSubPr>
            <m:ctrlPr>
              <w:rPr>
                <w:rFonts w:ascii="Cambria Math" w:hAnsi="Cambria Math"/>
                <w:b w:val="0"/>
                <w:i w:val="0"/>
                <w:iCs w:val="0"/>
              </w:rPr>
            </m:ctrlPr>
          </m:sSubPr>
          <m:e>
            <m:r>
              <m:rPr>
                <m:sty m:val="bi"/>
              </m:rPr>
              <w:rPr>
                <w:rFonts w:ascii="Cambria Math" w:hAnsi="Cambria Math"/>
              </w:rPr>
              <m:t>Y</m:t>
            </m:r>
          </m:e>
          <m:sub>
            <m:r>
              <m:rPr>
                <m:sty m:val="bi"/>
              </m:rPr>
              <w:rPr>
                <w:rFonts w:ascii="Cambria Math" w:hAnsi="Cambria Math"/>
              </w:rPr>
              <m:t>0</m:t>
            </m:r>
          </m:sub>
        </m:sSub>
      </m:oMath>
      <w:r w:rsidR="00B434F2">
        <w:rPr>
          <w:b w:val="0"/>
          <w:i w:val="0"/>
          <w:iCs w:val="0"/>
        </w:rPr>
        <w:t>.</w:t>
      </w:r>
    </w:p>
    <w:p w14:paraId="1EFB226F" w14:textId="47252AB3" w:rsidR="00E73F44" w:rsidRPr="00E73F44" w:rsidRDefault="004F373D" w:rsidP="00D04806">
      <w:pPr>
        <w:pStyle w:val="000proposal"/>
      </w:pPr>
      <w:bookmarkStart w:id="2" w:name="_Hlk83583238"/>
      <w:r w:rsidRPr="00E73F44">
        <w:t xml:space="preserve">Proposal </w:t>
      </w:r>
      <w:r w:rsidR="008C3C7D">
        <w:t>9</w:t>
      </w:r>
      <w:r w:rsidRPr="00E73F44">
        <w:t xml:space="preserve">: </w:t>
      </w:r>
      <w:r w:rsidR="00E73F44" w:rsidRPr="00E73F44">
        <w:t xml:space="preserve">The gNB indicates one Y value = </w:t>
      </w:r>
      <m:oMath>
        <m:sSub>
          <m:sSubPr>
            <m:ctrlPr>
              <w:rPr>
                <w:rFonts w:ascii="Cambria Math" w:hAnsi="Cambria Math"/>
                <w:i w:val="0"/>
                <w:iCs w:val="0"/>
              </w:rPr>
            </m:ctrlPr>
          </m:sSubPr>
          <m:e>
            <m:r>
              <m:rPr>
                <m:sty m:val="bi"/>
              </m:rPr>
              <w:rPr>
                <w:rFonts w:ascii="Cambria Math" w:hAnsi="Cambria Math"/>
              </w:rPr>
              <m:t>Y</m:t>
            </m:r>
          </m:e>
          <m:sub>
            <m:r>
              <m:rPr>
                <m:sty m:val="bi"/>
              </m:rPr>
              <w:rPr>
                <w:rFonts w:ascii="Cambria Math" w:hAnsi="Cambria Math"/>
              </w:rPr>
              <m:t>0</m:t>
            </m:r>
          </m:sub>
        </m:sSub>
      </m:oMath>
      <w:r w:rsidR="00E73F44" w:rsidRPr="00E73F44">
        <w:t xml:space="preserve">  for SCS = 15KHz and the UE can determine the Y value for each SCS as: </w:t>
      </w:r>
      <m:oMath>
        <m:sSup>
          <m:sSupPr>
            <m:ctrlPr>
              <w:rPr>
                <w:rFonts w:ascii="Cambria Math" w:hAnsi="Cambria Math"/>
              </w:rPr>
            </m:ctrlPr>
          </m:sSupPr>
          <m:e>
            <m:r>
              <m:rPr>
                <m:sty m:val="bi"/>
              </m:rPr>
              <w:rPr>
                <w:rFonts w:ascii="Cambria Math" w:hAnsi="Cambria Math"/>
              </w:rPr>
              <m:t>2</m:t>
            </m:r>
          </m:e>
          <m:sup>
            <m:r>
              <m:rPr>
                <m:sty m:val="bi"/>
              </m:rPr>
              <w:rPr>
                <w:rFonts w:ascii="Cambria Math" w:hAnsi="Cambria Math"/>
              </w:rPr>
              <m:t>μ</m:t>
            </m:r>
          </m:sup>
        </m:sSup>
        <m:sSub>
          <m:sSubPr>
            <m:ctrlPr>
              <w:rPr>
                <w:rFonts w:ascii="Cambria Math" w:hAnsi="Cambria Math"/>
                <w:i w:val="0"/>
                <w:iCs w:val="0"/>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 xml:space="preserve"> </m:t>
        </m:r>
      </m:oMath>
      <w:r w:rsidR="00E73F44" w:rsidRPr="00001BCA">
        <w:rPr>
          <w:iCs w:val="0"/>
        </w:rPr>
        <w:t xml:space="preserve"> with </w:t>
      </w:r>
      <m:oMath>
        <m:r>
          <m:rPr>
            <m:sty m:val="bi"/>
          </m:rPr>
          <w:rPr>
            <w:rFonts w:ascii="Cambria Math" w:hAnsi="Cambria Math"/>
          </w:rPr>
          <m:t>μ=0,1,2,3</m:t>
        </m:r>
      </m:oMath>
    </w:p>
    <w:bookmarkEnd w:id="2"/>
    <w:p w14:paraId="2C8EDC91" w14:textId="4F105352" w:rsidR="00096D59" w:rsidRDefault="00096D59" w:rsidP="00001BCA">
      <w:pPr>
        <w:pStyle w:val="00Text"/>
      </w:pPr>
      <w:r>
        <w:t xml:space="preserve">As agreed previously, the gap between the last symbol of DCI carrying TCI indication and the first slot </w:t>
      </w:r>
      <w:r w:rsidR="008A6E04">
        <w:t xml:space="preserve">of TCI state application shall meet the UE capability. And the location of the first slot is determined according to the position of the ACK to beam indication DCI. In real system operation, it is possible that the gap between the last symbol of beam indication and the determined first slot does not meet the UE capability. When that happens, the UE is not able to apply the indicated TCI state starting from the determine first slot. </w:t>
      </w:r>
    </w:p>
    <w:p w14:paraId="5A1DEBD2" w14:textId="2FB00E94" w:rsidR="004F373D" w:rsidRDefault="004F373D" w:rsidP="00001BCA">
      <w:pPr>
        <w:pStyle w:val="000proposal"/>
      </w:pPr>
      <w:bookmarkStart w:id="3" w:name="_Hlk83583247"/>
      <w:r>
        <w:lastRenderedPageBreak/>
        <w:t xml:space="preserve">Proposal </w:t>
      </w:r>
      <w:r w:rsidR="008C3C7D">
        <w:t>10</w:t>
      </w:r>
      <w:r>
        <w:t xml:space="preserve">: </w:t>
      </w:r>
      <w:r w:rsidR="008A6E04">
        <w:t>When the gap between the last symbol of beam indication DCI and the determined first slot does not meet the UE capability, the UE starts to apply the indicated TCI state in the first slot that can satisfy the UE capability</w:t>
      </w:r>
      <w:r>
        <w:t>.</w:t>
      </w:r>
    </w:p>
    <w:bookmarkEnd w:id="3"/>
    <w:p w14:paraId="7F443B79" w14:textId="3D9A698B" w:rsidR="00CA6C69" w:rsidRDefault="00CA6C69" w:rsidP="00CA6C69">
      <w:pPr>
        <w:pStyle w:val="00Text"/>
      </w:pPr>
      <w:r>
        <w:t>We have agreed to reuse the TCI field in DCI 1_1/1_2 with PDSCH assignment to indicate unified TCI state(s). And it was decided that the ACK/NACK of corresponding PDSCH is the acknowledge to the TCI indication. In our view, this decision on TCI indication acknowledge has some issue. The NACK of PDSCH cannot be used as the acknowledgement to the DCI carrying beam indication due to following reasons:</w:t>
      </w:r>
    </w:p>
    <w:p w14:paraId="77AA9F9E" w14:textId="77777777" w:rsidR="00CA6C69" w:rsidRDefault="00CA6C69" w:rsidP="007868EF">
      <w:pPr>
        <w:pStyle w:val="00Text"/>
        <w:numPr>
          <w:ilvl w:val="0"/>
          <w:numId w:val="8"/>
        </w:numPr>
      </w:pPr>
      <w:r>
        <w:t xml:space="preserve">In Type-1 codebook, the UE generates the HARQ codebook according to the the </w:t>
      </w:r>
      <w:r>
        <w:rPr>
          <w:rFonts w:cs="Arial"/>
          <w:noProof/>
          <w:position w:val="-12"/>
        </w:rPr>
        <w:drawing>
          <wp:inline distT="0" distB="0" distL="0" distR="0" wp14:anchorId="47534800" wp14:editId="60FE0F2D">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occasions for candidate PDSCH receptions, which are determined by the </w:t>
      </w:r>
      <w:r w:rsidRPr="00A92CCB">
        <w:rPr>
          <w:i/>
          <w:iCs/>
        </w:rPr>
        <w:t>PDSCH-TimeDomainResourceAllocation</w:t>
      </w:r>
      <w:r>
        <w:t xml:space="preserve"> and </w:t>
      </w:r>
      <w:r w:rsidRPr="00A92CCB">
        <w:rPr>
          <w:i/>
          <w:iCs/>
        </w:rPr>
        <w:t>dl-DataToUL-ACK</w:t>
      </w:r>
      <w:r>
        <w:t xml:space="preserve"> configured in RRC. </w:t>
      </w:r>
      <w:r w:rsidRPr="00A92CCB">
        <w:t>The UE reports NACK value(s) for HARQ-ACK information bit(s) in a HARQ-ACK codebook that the UE transmits in a slot not indicated by a value of a PDSCH-to-HARQ_feedback timing indicator field in a corresponding DCI format.</w:t>
      </w:r>
      <w:r>
        <w:t xml:space="preserve"> So, even when the DCI carrying beam indication at slot </w:t>
      </w:r>
      <w:r w:rsidRPr="00A92CCB">
        <w:rPr>
          <w:i/>
          <w:iCs/>
        </w:rPr>
        <w:t>n</w:t>
      </w:r>
      <w:r>
        <w:t xml:space="preserve"> is not received by the UE correctly, the UE still reports NACK in the corresponding HARQ-ACK information bit. </w:t>
      </w:r>
    </w:p>
    <w:p w14:paraId="67BA6A9B" w14:textId="77777777" w:rsidR="00CA6C69" w:rsidRDefault="00CA6C69" w:rsidP="007868EF">
      <w:pPr>
        <w:pStyle w:val="00Text"/>
        <w:numPr>
          <w:ilvl w:val="0"/>
          <w:numId w:val="8"/>
        </w:numPr>
      </w:pPr>
      <w:r>
        <w:t>In Type-2 codebook, the UE generate the HARQ codebook dynamically based on the DAI value contained in DCI. If a DCI is not detected by the UE, the UE is able to detect the missing of that DCI by checking the value of DAI in detected DCI formats and then the UE reports NACK in the HARQ-ACK information bit corresponding to that missing DCI.</w:t>
      </w:r>
    </w:p>
    <w:p w14:paraId="111496E6" w14:textId="77777777" w:rsidR="00CA6C69" w:rsidRDefault="00CA6C69" w:rsidP="00CA6C69">
      <w:pPr>
        <w:pStyle w:val="00Text"/>
      </w:pPr>
    </w:p>
    <w:p w14:paraId="7225186D" w14:textId="41F2A687" w:rsidR="00CA6C69" w:rsidRDefault="00CA6C69" w:rsidP="00CA6C69">
      <w:pPr>
        <w:pStyle w:val="00Text"/>
      </w:pPr>
      <w:r>
        <w:t xml:space="preserve">We can observe that the UE still reports NACK bit even when the DCI is not correctly received by the UE. We propose to correct this </w:t>
      </w:r>
      <w:r w:rsidR="00FC72D0">
        <w:t>issue and</w:t>
      </w:r>
      <w:r>
        <w:t xml:space="preserve"> only use the ACK of the PDSCH as the ACK to the beam indication.</w:t>
      </w:r>
    </w:p>
    <w:p w14:paraId="51E462B5" w14:textId="1B7E8D70" w:rsidR="00354578" w:rsidRDefault="00CA6C69" w:rsidP="00001BCA">
      <w:pPr>
        <w:pStyle w:val="000proposal"/>
      </w:pPr>
      <w:bookmarkStart w:id="4" w:name="_Hlk61800297"/>
      <w:bookmarkStart w:id="5" w:name="_Hlk83583257"/>
      <w:r>
        <w:t xml:space="preserve">Proposal </w:t>
      </w:r>
      <w:r w:rsidR="008C3C7D">
        <w:t>11</w:t>
      </w:r>
      <w:r>
        <w:t>: For DCI format 1_1 and 1_2 with PDSCH assignment indicating TCI state, the acknowledgement to the TCI state update is the ACK of the PDSCH.</w:t>
      </w:r>
      <w:bookmarkEnd w:id="4"/>
    </w:p>
    <w:bookmarkEnd w:id="5"/>
    <w:p w14:paraId="087C92A9" w14:textId="5439015B" w:rsidR="00E52DA2" w:rsidRDefault="008B5AF2" w:rsidP="009040F1">
      <w:pPr>
        <w:pStyle w:val="00Text"/>
      </w:pPr>
      <w:r>
        <w:t>One FFS point</w:t>
      </w:r>
      <w:r w:rsidR="008A6E04">
        <w:t xml:space="preserve"> on beam indication application time is</w:t>
      </w:r>
      <w:r>
        <w:t xml:space="preserve"> whether different application time shall be </w:t>
      </w:r>
      <w:r w:rsidR="00144DC6">
        <w:t xml:space="preserve">different scenarios, for instance intra-cell vs inter-cell, cross-CC, inter-panel. </w:t>
      </w:r>
      <w:r w:rsidR="00567357">
        <w:t>Regarding the inter-cell beam management, per the revised WID, this work shall only consider intra-DU and intra-frequency cases.  There will be no L3 impact and no serving cell change. W</w:t>
      </w:r>
      <w:r w:rsidR="00144DC6">
        <w:t>e do not need different application time for the case of intra-cell beam indication and “inter-cell” beam indication. In cross-CC beam indication, DCI format with TCI state indication is sent in one CC but the indicated TCI state is applied on another CC. For this operation, there is no reason to use different application time. Regarding the inter-panel beam indication, as we discussed in the MPUE section, specification change for MPUE panel selection is not necessary. On the other hand, specify single application time value can simply the UE operation and also simply the specification.</w:t>
      </w:r>
    </w:p>
    <w:p w14:paraId="41FF011E" w14:textId="6998B410" w:rsidR="00144DC6" w:rsidRDefault="00144DC6" w:rsidP="009040F1">
      <w:pPr>
        <w:pStyle w:val="000proposal"/>
      </w:pPr>
      <w:bookmarkStart w:id="6" w:name="_Hlk78827366"/>
      <w:r>
        <w:t xml:space="preserve">Proposal </w:t>
      </w:r>
      <w:r w:rsidR="008C3C7D">
        <w:t>12</w:t>
      </w:r>
      <w:r>
        <w:t>: Single application time of beam indication is applied</w:t>
      </w:r>
    </w:p>
    <w:bookmarkEnd w:id="6"/>
    <w:p w14:paraId="770FEA0A" w14:textId="698ADAEE" w:rsidR="00CA1FB4" w:rsidRDefault="00020ECF" w:rsidP="00CA1FB4">
      <w:pPr>
        <w:pStyle w:val="01"/>
        <w:numPr>
          <w:ilvl w:val="0"/>
          <w:numId w:val="1"/>
        </w:numPr>
        <w:ind w:left="562" w:hanging="562"/>
      </w:pPr>
      <w:r>
        <w:t>Inter-cell beam management</w:t>
      </w:r>
    </w:p>
    <w:p w14:paraId="6B563631" w14:textId="70E9DA63" w:rsidR="00C56F43" w:rsidRDefault="00C56F43" w:rsidP="00795ADD">
      <w:pPr>
        <w:pStyle w:val="00Text"/>
      </w:pPr>
      <w:r>
        <w:t>Regarding the beam indication for inter-cell beam management, we had the following agreements:</w:t>
      </w:r>
    </w:p>
    <w:tbl>
      <w:tblPr>
        <w:tblStyle w:val="TableGrid"/>
        <w:tblW w:w="0" w:type="auto"/>
        <w:tblLook w:val="04A0" w:firstRow="1" w:lastRow="0" w:firstColumn="1" w:lastColumn="0" w:noHBand="0" w:noVBand="1"/>
      </w:tblPr>
      <w:tblGrid>
        <w:gridCol w:w="9062"/>
      </w:tblGrid>
      <w:tr w:rsidR="00C56F43" w14:paraId="0FC0ADBF" w14:textId="77777777" w:rsidTr="00C56F43">
        <w:tc>
          <w:tcPr>
            <w:tcW w:w="9062" w:type="dxa"/>
          </w:tcPr>
          <w:p w14:paraId="6DD62B56" w14:textId="77777777" w:rsidR="00C56F43" w:rsidRPr="00001BCA" w:rsidRDefault="00C56F43" w:rsidP="00C56F43">
            <w:pPr>
              <w:pStyle w:val="xxxmsonormal"/>
              <w:jc w:val="both"/>
              <w:rPr>
                <w:sz w:val="18"/>
                <w:szCs w:val="18"/>
              </w:rPr>
            </w:pPr>
            <w:r w:rsidRPr="00001BCA">
              <w:rPr>
                <w:b/>
                <w:bCs/>
                <w:color w:val="000000"/>
                <w:sz w:val="18"/>
                <w:szCs w:val="18"/>
                <w:highlight w:val="green"/>
              </w:rPr>
              <w:t>Agreement</w:t>
            </w:r>
          </w:p>
          <w:p w14:paraId="4C496FDD" w14:textId="77777777" w:rsidR="00C56F43" w:rsidRPr="00001BCA" w:rsidRDefault="00C56F43" w:rsidP="00C56F43">
            <w:pPr>
              <w:pStyle w:val="xxxmsonormal"/>
              <w:snapToGrid w:val="0"/>
              <w:jc w:val="both"/>
              <w:rPr>
                <w:sz w:val="18"/>
                <w:szCs w:val="18"/>
              </w:rPr>
            </w:pPr>
            <w:r w:rsidRPr="00001BCA">
              <w:rPr>
                <w:sz w:val="18"/>
                <w:szCs w:val="18"/>
              </w:rPr>
              <w:t xml:space="preserve">On Rel.17 beam indication enhancements </w:t>
            </w:r>
            <w:r w:rsidRPr="00001BCA">
              <w:rPr>
                <w:color w:val="000000"/>
                <w:sz w:val="18"/>
                <w:szCs w:val="18"/>
              </w:rPr>
              <w:t>for inter-cell management</w:t>
            </w:r>
            <w:r w:rsidRPr="00001BCA">
              <w:rPr>
                <w:sz w:val="18"/>
                <w:szCs w:val="18"/>
              </w:rPr>
              <w:t>, the supported Rel-17 MAC-CE-based and/or DCI-based beam indication (at least using DCI formats 1_1/1_2 with and without DL assignment including the associated MAC-CE-based TCI state activation) apply to:</w:t>
            </w:r>
          </w:p>
          <w:p w14:paraId="3855413C" w14:textId="77777777" w:rsidR="00C56F43" w:rsidRPr="00001BCA" w:rsidRDefault="00C56F43" w:rsidP="00C56F43">
            <w:pPr>
              <w:numPr>
                <w:ilvl w:val="0"/>
                <w:numId w:val="55"/>
              </w:numPr>
              <w:snapToGrid w:val="0"/>
              <w:jc w:val="both"/>
              <w:rPr>
                <w:sz w:val="18"/>
                <w:szCs w:val="18"/>
              </w:rPr>
            </w:pPr>
            <w:r w:rsidRPr="00001BCA">
              <w:rPr>
                <w:sz w:val="18"/>
                <w:szCs w:val="18"/>
              </w:rPr>
              <w:t>Both joint TCI and separate DL/UL TCI</w:t>
            </w:r>
          </w:p>
          <w:p w14:paraId="39B46D5E" w14:textId="77777777" w:rsidR="00C56F43" w:rsidRPr="00001BCA" w:rsidRDefault="00C56F43" w:rsidP="00C56F43">
            <w:pPr>
              <w:numPr>
                <w:ilvl w:val="0"/>
                <w:numId w:val="55"/>
              </w:numPr>
              <w:snapToGrid w:val="0"/>
              <w:jc w:val="both"/>
              <w:rPr>
                <w:sz w:val="18"/>
                <w:szCs w:val="18"/>
              </w:rPr>
            </w:pPr>
            <w:r w:rsidRPr="00001BCA">
              <w:rPr>
                <w:sz w:val="18"/>
                <w:szCs w:val="18"/>
              </w:rPr>
              <w:t>FFS: For separate DL/UL TCI, whether the indicated DL TCI and UL TCI are associated with SSBs of a same physical cell ID</w:t>
            </w:r>
          </w:p>
          <w:p w14:paraId="493DE36D" w14:textId="77777777" w:rsidR="00C56F43" w:rsidRPr="00001BCA" w:rsidRDefault="00C56F43" w:rsidP="00C56F43">
            <w:pPr>
              <w:snapToGrid w:val="0"/>
              <w:jc w:val="both"/>
              <w:rPr>
                <w:sz w:val="18"/>
                <w:szCs w:val="18"/>
                <w:highlight w:val="green"/>
              </w:rPr>
            </w:pPr>
            <w:r w:rsidRPr="00001BCA">
              <w:rPr>
                <w:b/>
                <w:sz w:val="18"/>
                <w:szCs w:val="18"/>
                <w:highlight w:val="green"/>
              </w:rPr>
              <w:lastRenderedPageBreak/>
              <w:t>Agreement</w:t>
            </w:r>
          </w:p>
          <w:p w14:paraId="664A95CD" w14:textId="77777777" w:rsidR="00C56F43" w:rsidRPr="00001BCA" w:rsidRDefault="00C56F43" w:rsidP="00C56F43">
            <w:pPr>
              <w:snapToGrid w:val="0"/>
              <w:jc w:val="both"/>
              <w:rPr>
                <w:rFonts w:eastAsia="SimSun"/>
                <w:sz w:val="18"/>
                <w:szCs w:val="18"/>
              </w:rPr>
            </w:pPr>
            <w:r w:rsidRPr="00001BCA">
              <w:rPr>
                <w:sz w:val="18"/>
                <w:szCs w:val="18"/>
              </w:rPr>
              <w:t xml:space="preserve">On Rel.17 beam indication enhancements </w:t>
            </w:r>
            <w:r w:rsidRPr="00001BCA">
              <w:rPr>
                <w:color w:val="000000"/>
                <w:sz w:val="18"/>
                <w:szCs w:val="18"/>
              </w:rPr>
              <w:t>for inter-cell beam management</w:t>
            </w:r>
            <w:r w:rsidRPr="00001BCA">
              <w:rPr>
                <w:sz w:val="18"/>
                <w:szCs w:val="18"/>
              </w:rPr>
              <w:t xml:space="preserve">, for the supported </w:t>
            </w:r>
            <w:r w:rsidRPr="00001BCA">
              <w:rPr>
                <w:rFonts w:eastAsia="SimSun"/>
                <w:sz w:val="18"/>
                <w:szCs w:val="18"/>
              </w:rPr>
              <w:t>Rel-17 MAC-CE-based and/or DCI-based beam indication (at least using DCI formats 1_1/1_2 with and without DL assignment including the associated MAC-CE-based TCI state activation):</w:t>
            </w:r>
          </w:p>
          <w:p w14:paraId="5661C512" w14:textId="77777777" w:rsidR="00C56F43" w:rsidRPr="00001BCA" w:rsidRDefault="00C56F43" w:rsidP="00C56F43">
            <w:pPr>
              <w:pStyle w:val="ListParagraph"/>
              <w:numPr>
                <w:ilvl w:val="0"/>
                <w:numId w:val="56"/>
              </w:numPr>
              <w:snapToGrid w:val="0"/>
              <w:ind w:leftChars="0"/>
              <w:jc w:val="both"/>
              <w:rPr>
                <w:rFonts w:ascii="Times New Roman" w:hAnsi="Times New Roman" w:cs="Times New Roman"/>
                <w:sz w:val="18"/>
                <w:szCs w:val="18"/>
              </w:rPr>
            </w:pPr>
            <w:r w:rsidRPr="00001BCA">
              <w:rPr>
                <w:rFonts w:ascii="Times New Roman" w:hAnsi="Times New Roman" w:cs="Times New Roman"/>
                <w:sz w:val="18"/>
                <w:szCs w:val="18"/>
              </w:rPr>
              <w:t xml:space="preserve">Support a UE feature on how many physical cell IDs (including that of the serving cell) can be associated with the activated TCI states </w:t>
            </w:r>
          </w:p>
          <w:p w14:paraId="7FD21715" w14:textId="77777777" w:rsidR="00C56F43" w:rsidRPr="00001BCA" w:rsidRDefault="00C56F43" w:rsidP="00C56F43">
            <w:pPr>
              <w:pStyle w:val="ListParagraph"/>
              <w:numPr>
                <w:ilvl w:val="1"/>
                <w:numId w:val="56"/>
              </w:numPr>
              <w:snapToGrid w:val="0"/>
              <w:ind w:leftChars="0"/>
              <w:jc w:val="both"/>
              <w:rPr>
                <w:rFonts w:ascii="Times New Roman" w:hAnsi="Times New Roman" w:cs="Times New Roman"/>
                <w:sz w:val="18"/>
                <w:szCs w:val="18"/>
              </w:rPr>
            </w:pPr>
            <w:r w:rsidRPr="00001BCA">
              <w:rPr>
                <w:rFonts w:ascii="Times New Roman" w:hAnsi="Times New Roman" w:cs="Times New Roman"/>
                <w:sz w:val="18"/>
                <w:szCs w:val="18"/>
              </w:rPr>
              <w:t>FFS: If UE is configured for only one physical cell ID, decide between the following two options:</w:t>
            </w:r>
          </w:p>
          <w:p w14:paraId="39CC6EC6" w14:textId="77777777" w:rsidR="00C56F43" w:rsidRPr="00001BCA" w:rsidRDefault="00C56F43" w:rsidP="00C56F43">
            <w:pPr>
              <w:pStyle w:val="ListParagraph"/>
              <w:numPr>
                <w:ilvl w:val="2"/>
                <w:numId w:val="56"/>
              </w:numPr>
              <w:snapToGrid w:val="0"/>
              <w:ind w:leftChars="0"/>
              <w:jc w:val="both"/>
              <w:rPr>
                <w:rFonts w:ascii="Times New Roman" w:hAnsi="Times New Roman" w:cs="Times New Roman"/>
                <w:sz w:val="18"/>
                <w:szCs w:val="18"/>
              </w:rPr>
            </w:pPr>
            <w:r w:rsidRPr="00001BCA">
              <w:rPr>
                <w:rFonts w:ascii="Times New Roman" w:hAnsi="Times New Roman" w:cs="Times New Roman"/>
                <w:sz w:val="18"/>
                <w:szCs w:val="18"/>
              </w:rPr>
              <w:t xml:space="preserve">Opt1: the NW can activate TCI states associated with either the same physical cell ID as that of the serving cell or a different physical cell ID from that of the serving cell </w:t>
            </w:r>
          </w:p>
          <w:p w14:paraId="72C27C5E" w14:textId="77777777" w:rsidR="00C56F43" w:rsidRPr="00001BCA" w:rsidRDefault="00C56F43" w:rsidP="00C56F43">
            <w:pPr>
              <w:pStyle w:val="ListParagraph"/>
              <w:numPr>
                <w:ilvl w:val="2"/>
                <w:numId w:val="56"/>
              </w:numPr>
              <w:snapToGrid w:val="0"/>
              <w:ind w:leftChars="0"/>
              <w:jc w:val="both"/>
              <w:rPr>
                <w:rFonts w:ascii="Times New Roman" w:hAnsi="Times New Roman" w:cs="Times New Roman"/>
                <w:sz w:val="18"/>
                <w:szCs w:val="18"/>
              </w:rPr>
            </w:pPr>
            <w:r w:rsidRPr="00001BCA">
              <w:rPr>
                <w:rFonts w:ascii="Times New Roman" w:hAnsi="Times New Roman" w:cs="Times New Roman"/>
                <w:sz w:val="18"/>
                <w:szCs w:val="18"/>
              </w:rPr>
              <w:t>Opt2: the NW can only activate TCI states associated with the same physical cell ID as that of the serving cell</w:t>
            </w:r>
          </w:p>
          <w:p w14:paraId="13C5364C" w14:textId="759B2C43" w:rsidR="00C56F43" w:rsidRDefault="00C56F43" w:rsidP="00001BCA">
            <w:pPr>
              <w:pStyle w:val="ListParagraph"/>
              <w:snapToGrid w:val="0"/>
              <w:ind w:leftChars="0" w:left="0"/>
              <w:jc w:val="both"/>
            </w:pPr>
            <w:r w:rsidRPr="00001BCA">
              <w:rPr>
                <w:rFonts w:ascii="Times New Roman" w:hAnsi="Times New Roman" w:cs="Times New Roman"/>
                <w:sz w:val="18"/>
                <w:szCs w:val="18"/>
              </w:rPr>
              <w:t>Note: The above does not necessarily mean that more than 1 physical cell ID that is not serving cell in RRC</w:t>
            </w:r>
          </w:p>
        </w:tc>
      </w:tr>
    </w:tbl>
    <w:p w14:paraId="7397D56D" w14:textId="395A12CC" w:rsidR="00C56F43" w:rsidRDefault="00C56F43" w:rsidP="00795ADD">
      <w:pPr>
        <w:pStyle w:val="00Text"/>
      </w:pPr>
      <w:r>
        <w:lastRenderedPageBreak/>
        <w:t xml:space="preserve">Regarding the separate DL and UL TCI state, the indicated DL TCI state and UL TCI state shall be associated with the same TRP because the UE is not able to talk with different cells in downlink and uplink. </w:t>
      </w:r>
    </w:p>
    <w:p w14:paraId="4F8FE7C9" w14:textId="5A76A1CF" w:rsidR="00C56F43" w:rsidRDefault="00C56F43" w:rsidP="00001BCA">
      <w:pPr>
        <w:pStyle w:val="000proposal"/>
      </w:pPr>
      <w:bookmarkStart w:id="7" w:name="_Hlk83583280"/>
      <w:r>
        <w:t xml:space="preserve">Proposal </w:t>
      </w:r>
      <w:r w:rsidR="008C3C7D">
        <w:t>13</w:t>
      </w:r>
      <w:r>
        <w:t xml:space="preserve">: The indicated DL TCI and UL TCI in inter-cell beam management shall be associated with the same physical cell ID. </w:t>
      </w:r>
    </w:p>
    <w:bookmarkEnd w:id="7"/>
    <w:p w14:paraId="11707042" w14:textId="70B156AF" w:rsidR="00C56F43" w:rsidRDefault="00C56F43" w:rsidP="00795ADD">
      <w:pPr>
        <w:pStyle w:val="00Text"/>
      </w:pPr>
      <w:r>
        <w:t>Regarding the TCI state activation for inter-cell beam management, only the following two cases are feasible:</w:t>
      </w:r>
    </w:p>
    <w:p w14:paraId="17FF272E" w14:textId="41FC5EB2" w:rsidR="00C56F43" w:rsidRDefault="00C56F43" w:rsidP="00F61F8D">
      <w:pPr>
        <w:pStyle w:val="00Text"/>
        <w:numPr>
          <w:ilvl w:val="0"/>
          <w:numId w:val="57"/>
        </w:numPr>
      </w:pPr>
      <w:r>
        <w:t>case 1: all the activated TCI states are associated with the same physical cell ID. That is for the UE that can only support MAC-CE based TRP switch.</w:t>
      </w:r>
    </w:p>
    <w:p w14:paraId="7813D25A" w14:textId="62AF9DA8" w:rsidR="00C56F43" w:rsidRDefault="00C56F43" w:rsidP="00001BCA">
      <w:pPr>
        <w:pStyle w:val="00Text"/>
        <w:numPr>
          <w:ilvl w:val="0"/>
          <w:numId w:val="57"/>
        </w:numPr>
      </w:pPr>
      <w:r>
        <w:t xml:space="preserve">Case 2: the activated TCI states can be associated with either the PCID of serving cell or another PCID. That is for the UE that can support DCI-based switching between TRP of the serving cell and the TRP of another non-serving cell. </w:t>
      </w:r>
    </w:p>
    <w:p w14:paraId="661A683D" w14:textId="52FECD59" w:rsidR="00C56F43" w:rsidRDefault="00C56F43" w:rsidP="00795ADD">
      <w:pPr>
        <w:pStyle w:val="00Text"/>
      </w:pPr>
    </w:p>
    <w:p w14:paraId="151860E1" w14:textId="65AB8D4C" w:rsidR="00C56F43" w:rsidRPr="00001BCA" w:rsidRDefault="00C56F43" w:rsidP="00795ADD">
      <w:pPr>
        <w:pStyle w:val="00Text"/>
        <w:rPr>
          <w:b/>
          <w:bCs/>
          <w:i/>
          <w:iCs/>
        </w:rPr>
      </w:pPr>
      <w:bookmarkStart w:id="8" w:name="_Hlk83583287"/>
      <w:r w:rsidRPr="00001BCA">
        <w:rPr>
          <w:b/>
          <w:bCs/>
          <w:i/>
          <w:iCs/>
        </w:rPr>
        <w:t xml:space="preserve">Proposal </w:t>
      </w:r>
      <w:r w:rsidR="008C3C7D">
        <w:rPr>
          <w:b/>
          <w:bCs/>
          <w:i/>
          <w:iCs/>
        </w:rPr>
        <w:t>14</w:t>
      </w:r>
      <w:r w:rsidRPr="00001BCA">
        <w:rPr>
          <w:b/>
          <w:bCs/>
          <w:i/>
          <w:iCs/>
        </w:rPr>
        <w:t>: The UE can report one of the following in UE feature:</w:t>
      </w:r>
    </w:p>
    <w:p w14:paraId="17A58C99" w14:textId="68B0CB31" w:rsidR="00C56F43" w:rsidRPr="00001BCA" w:rsidRDefault="00C56F43" w:rsidP="00F61F8D">
      <w:pPr>
        <w:pStyle w:val="00Text"/>
        <w:numPr>
          <w:ilvl w:val="0"/>
          <w:numId w:val="58"/>
        </w:numPr>
        <w:rPr>
          <w:b/>
          <w:bCs/>
          <w:i/>
          <w:iCs/>
        </w:rPr>
      </w:pPr>
      <w:r w:rsidRPr="00001BCA">
        <w:rPr>
          <w:b/>
          <w:bCs/>
          <w:i/>
          <w:iCs/>
        </w:rPr>
        <w:t>All the activated TCI states are associated with the same PCID.</w:t>
      </w:r>
    </w:p>
    <w:p w14:paraId="616FF3C9" w14:textId="10C5A646" w:rsidR="00C56F43" w:rsidRPr="00001BCA" w:rsidRDefault="00C56F43" w:rsidP="00001BCA">
      <w:pPr>
        <w:pStyle w:val="00Text"/>
        <w:numPr>
          <w:ilvl w:val="0"/>
          <w:numId w:val="58"/>
        </w:numPr>
        <w:rPr>
          <w:b/>
          <w:bCs/>
          <w:i/>
          <w:iCs/>
        </w:rPr>
      </w:pPr>
      <w:r w:rsidRPr="00001BCA">
        <w:rPr>
          <w:b/>
          <w:bCs/>
          <w:i/>
          <w:iCs/>
        </w:rPr>
        <w:t>The activated TCI states can be associated with either the PCID of serving cell and another different PCID</w:t>
      </w:r>
      <w:bookmarkEnd w:id="8"/>
      <w:r w:rsidRPr="00001BCA">
        <w:rPr>
          <w:b/>
          <w:bCs/>
          <w:i/>
          <w:iCs/>
        </w:rPr>
        <w:t xml:space="preserve">. </w:t>
      </w:r>
    </w:p>
    <w:p w14:paraId="7F1ABB7D" w14:textId="77777777" w:rsidR="00C56F43" w:rsidRDefault="00C56F43" w:rsidP="00795ADD">
      <w:pPr>
        <w:pStyle w:val="00Text"/>
      </w:pPr>
    </w:p>
    <w:p w14:paraId="361D75F1" w14:textId="618B8E01" w:rsidR="00C56F43" w:rsidRDefault="00C56F43" w:rsidP="00795ADD">
      <w:pPr>
        <w:pStyle w:val="00Text"/>
      </w:pPr>
      <w:r>
        <w:t>On the beam indication of inter-cell beam management, we reach the following agreement regarding the channels and signal where the rel-17 TCI state can be applied:</w:t>
      </w:r>
    </w:p>
    <w:tbl>
      <w:tblPr>
        <w:tblStyle w:val="TableGrid"/>
        <w:tblW w:w="0" w:type="auto"/>
        <w:tblLook w:val="04A0" w:firstRow="1" w:lastRow="0" w:firstColumn="1" w:lastColumn="0" w:noHBand="0" w:noVBand="1"/>
      </w:tblPr>
      <w:tblGrid>
        <w:gridCol w:w="9062"/>
      </w:tblGrid>
      <w:tr w:rsidR="00C56F43" w14:paraId="79797FF2" w14:textId="77777777" w:rsidTr="00C56F43">
        <w:tc>
          <w:tcPr>
            <w:tcW w:w="9062" w:type="dxa"/>
          </w:tcPr>
          <w:p w14:paraId="452E585B" w14:textId="77777777" w:rsidR="00C56F43" w:rsidRPr="00001BCA" w:rsidRDefault="00C56F43" w:rsidP="00C56F43">
            <w:pPr>
              <w:snapToGrid w:val="0"/>
              <w:rPr>
                <w:rFonts w:eastAsia="Malgun Gothic"/>
                <w:sz w:val="18"/>
                <w:szCs w:val="18"/>
                <w:highlight w:val="green"/>
              </w:rPr>
            </w:pPr>
            <w:r w:rsidRPr="00001BCA">
              <w:rPr>
                <w:rFonts w:eastAsia="Malgun Gothic"/>
                <w:b/>
                <w:sz w:val="18"/>
                <w:szCs w:val="18"/>
                <w:highlight w:val="green"/>
              </w:rPr>
              <w:t>Agreement</w:t>
            </w:r>
          </w:p>
          <w:p w14:paraId="1E007533" w14:textId="77777777" w:rsidR="00C56F43" w:rsidRPr="00001BCA" w:rsidRDefault="00C56F43" w:rsidP="00C56F43">
            <w:pPr>
              <w:snapToGrid w:val="0"/>
              <w:rPr>
                <w:sz w:val="18"/>
                <w:szCs w:val="18"/>
              </w:rPr>
            </w:pPr>
            <w:r w:rsidRPr="00001BCA">
              <w:rPr>
                <w:sz w:val="18"/>
                <w:szCs w:val="18"/>
              </w:rPr>
              <w:t xml:space="preserve">On Rel.17 unified TCI framework, for intra-cell beam indication, the following DL RSs can share the same indicated Rel-17 TCI state as UE-dedicated reception on PDSCH and for UE-dedicated reception on all or subset of CORESETs in a CC: </w:t>
            </w:r>
          </w:p>
          <w:p w14:paraId="129CECB6" w14:textId="77777777" w:rsidR="00C56F43" w:rsidRPr="00001BCA" w:rsidRDefault="00C56F43" w:rsidP="00C56F43">
            <w:pPr>
              <w:pStyle w:val="ListParagraph"/>
              <w:numPr>
                <w:ilvl w:val="0"/>
                <w:numId w:val="10"/>
              </w:numPr>
              <w:snapToGrid w:val="0"/>
              <w:ind w:leftChars="0"/>
              <w:rPr>
                <w:rFonts w:ascii="Times New Roman" w:eastAsia="Malgun Gothic" w:hAnsi="Times New Roman" w:cs="Times New Roman"/>
                <w:sz w:val="18"/>
                <w:szCs w:val="18"/>
              </w:rPr>
            </w:pPr>
            <w:r w:rsidRPr="00001BCA">
              <w:rPr>
                <w:rFonts w:ascii="Times New Roman" w:hAnsi="Times New Roman" w:cs="Times New Roman"/>
                <w:sz w:val="18"/>
                <w:szCs w:val="18"/>
              </w:rPr>
              <w:t xml:space="preserve">DMRS(s) associated with non-UE-dedicated reception on CORESET(s) and </w:t>
            </w:r>
            <w:r w:rsidRPr="00001BCA">
              <w:rPr>
                <w:rFonts w:ascii="Times New Roman" w:eastAsia="DengXian" w:hAnsi="Times New Roman" w:cs="Times New Roman"/>
                <w:sz w:val="18"/>
                <w:szCs w:val="18"/>
                <w:lang w:eastAsia="zh-CN"/>
              </w:rPr>
              <w:t>the associated PDSCH</w:t>
            </w:r>
            <w:r w:rsidRPr="00001BCA">
              <w:rPr>
                <w:rFonts w:ascii="Times New Roman" w:hAnsi="Times New Roman" w:cs="Times New Roman"/>
                <w:sz w:val="18"/>
                <w:szCs w:val="18"/>
              </w:rPr>
              <w:t xml:space="preserve"> </w:t>
            </w:r>
          </w:p>
          <w:p w14:paraId="2931CB06" w14:textId="77777777" w:rsidR="00C56F43" w:rsidRPr="00001BCA" w:rsidRDefault="00C56F43" w:rsidP="00C56F43">
            <w:pPr>
              <w:pStyle w:val="ListParagraph"/>
              <w:numPr>
                <w:ilvl w:val="0"/>
                <w:numId w:val="10"/>
              </w:numPr>
              <w:snapToGrid w:val="0"/>
              <w:ind w:leftChars="0"/>
              <w:rPr>
                <w:rFonts w:ascii="Times New Roman" w:eastAsia="Malgun Gothic" w:hAnsi="Times New Roman" w:cs="Times New Roman"/>
                <w:sz w:val="18"/>
                <w:szCs w:val="18"/>
              </w:rPr>
            </w:pPr>
            <w:r w:rsidRPr="00001BCA">
              <w:rPr>
                <w:rFonts w:ascii="Times New Roman" w:eastAsia="Malgun Gothic" w:hAnsi="Times New Roman" w:cs="Times New Roman"/>
                <w:sz w:val="18"/>
                <w:szCs w:val="18"/>
              </w:rPr>
              <w:t xml:space="preserve">FFS (to be concluded in RAN1#106bis-e): </w:t>
            </w:r>
            <w:r w:rsidRPr="00001BCA">
              <w:rPr>
                <w:rFonts w:ascii="Times New Roman" w:hAnsi="Times New Roman" w:cs="Times New Roman"/>
                <w:sz w:val="18"/>
                <w:szCs w:val="18"/>
              </w:rPr>
              <w:t>Non-UE-dedicated PUCCH and non-UE-dedicated PUSCH</w:t>
            </w:r>
          </w:p>
          <w:p w14:paraId="764674E7" w14:textId="77777777" w:rsidR="00C56F43" w:rsidRPr="00001BCA" w:rsidRDefault="00C56F43" w:rsidP="00C56F43">
            <w:pPr>
              <w:snapToGrid w:val="0"/>
              <w:rPr>
                <w:rFonts w:eastAsia="Malgun Gothic"/>
                <w:sz w:val="18"/>
                <w:szCs w:val="18"/>
              </w:rPr>
            </w:pPr>
            <w:r w:rsidRPr="00001BCA">
              <w:rPr>
                <w:rFonts w:eastAsia="Malgun Gothic"/>
                <w:sz w:val="18"/>
                <w:szCs w:val="18"/>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07FFA5F3" w14:textId="77777777" w:rsidR="00C56F43" w:rsidRPr="00001BCA" w:rsidRDefault="00C56F43" w:rsidP="00C56F43">
            <w:pPr>
              <w:numPr>
                <w:ilvl w:val="0"/>
                <w:numId w:val="59"/>
              </w:numPr>
              <w:snapToGrid w:val="0"/>
              <w:rPr>
                <w:rFonts w:eastAsia="Malgun Gothic"/>
                <w:sz w:val="18"/>
                <w:szCs w:val="18"/>
              </w:rPr>
            </w:pPr>
            <w:r w:rsidRPr="00001BCA">
              <w:rPr>
                <w:rFonts w:eastAsia="Malgun Gothic"/>
                <w:sz w:val="18"/>
                <w:szCs w:val="18"/>
              </w:rPr>
              <w:t xml:space="preserve">The channels and signals as for intra-cell beam management except for non-UE dedicated channels/signals </w:t>
            </w:r>
          </w:p>
          <w:p w14:paraId="758E21A2" w14:textId="77777777" w:rsidR="00C56F43" w:rsidRPr="00001BCA" w:rsidRDefault="00C56F43" w:rsidP="00C56F43">
            <w:pPr>
              <w:numPr>
                <w:ilvl w:val="0"/>
                <w:numId w:val="59"/>
              </w:numPr>
              <w:snapToGrid w:val="0"/>
              <w:rPr>
                <w:rFonts w:eastAsia="Malgun Gothic"/>
                <w:sz w:val="18"/>
                <w:szCs w:val="18"/>
              </w:rPr>
            </w:pPr>
            <w:r w:rsidRPr="00001BCA">
              <w:rPr>
                <w:rFonts w:eastAsia="Malgun Gothic"/>
                <w:sz w:val="18"/>
                <w:szCs w:val="18"/>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68AD3331" w14:textId="77777777" w:rsidR="00C56F43" w:rsidRPr="00001BCA" w:rsidRDefault="00C56F43" w:rsidP="00C56F43">
            <w:pPr>
              <w:numPr>
                <w:ilvl w:val="1"/>
                <w:numId w:val="59"/>
              </w:numPr>
              <w:snapToGrid w:val="0"/>
              <w:rPr>
                <w:rFonts w:eastAsia="Malgun Gothic"/>
                <w:sz w:val="18"/>
                <w:szCs w:val="18"/>
              </w:rPr>
            </w:pPr>
            <w:r w:rsidRPr="00001BCA">
              <w:rPr>
                <w:rFonts w:eastAsia="Malgun Gothic"/>
                <w:sz w:val="18"/>
                <w:szCs w:val="18"/>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5791DC01" w14:textId="77777777" w:rsidR="00C56F43" w:rsidRPr="00001BCA" w:rsidRDefault="00C56F43" w:rsidP="00C56F43">
            <w:pPr>
              <w:numPr>
                <w:ilvl w:val="0"/>
                <w:numId w:val="59"/>
              </w:numPr>
              <w:snapToGrid w:val="0"/>
              <w:rPr>
                <w:rFonts w:eastAsia="Malgun Gothic"/>
                <w:sz w:val="18"/>
                <w:szCs w:val="18"/>
              </w:rPr>
            </w:pPr>
            <w:r w:rsidRPr="00001BCA">
              <w:rPr>
                <w:rFonts w:eastAsia="Malgun Gothic"/>
                <w:sz w:val="18"/>
                <w:szCs w:val="18"/>
              </w:rPr>
              <w:t>For inter-cell beam management, the support of more than one Rel-17 active DL TCI state / QCL per band is a UE capability</w:t>
            </w:r>
          </w:p>
          <w:p w14:paraId="11B20036" w14:textId="77777777" w:rsidR="00C56F43" w:rsidRPr="00001BCA" w:rsidRDefault="00C56F43" w:rsidP="00C56F43">
            <w:pPr>
              <w:pStyle w:val="ListParagraph"/>
              <w:numPr>
                <w:ilvl w:val="1"/>
                <w:numId w:val="59"/>
              </w:numPr>
              <w:snapToGrid w:val="0"/>
              <w:ind w:leftChars="0"/>
              <w:rPr>
                <w:rFonts w:ascii="Times New Roman" w:eastAsia="Malgun Gothic" w:hAnsi="Times New Roman" w:cs="Times New Roman"/>
                <w:sz w:val="18"/>
                <w:szCs w:val="18"/>
              </w:rPr>
            </w:pPr>
            <w:r w:rsidRPr="00001BCA">
              <w:rPr>
                <w:rFonts w:ascii="Times New Roman" w:eastAsia="Malgun Gothic" w:hAnsi="Times New Roman" w:cs="Times New Roman"/>
                <w:sz w:val="18"/>
                <w:szCs w:val="18"/>
              </w:rPr>
              <w:t>If UE does not support such capability, MAC-CE based beam indication (activation of one TCI state) can be used to switch between two different DL receptions along two different beams</w:t>
            </w:r>
          </w:p>
          <w:p w14:paraId="74BED608" w14:textId="77777777" w:rsidR="00C56F43" w:rsidRPr="00001BCA" w:rsidRDefault="00C56F43" w:rsidP="00C56F43">
            <w:pPr>
              <w:numPr>
                <w:ilvl w:val="2"/>
                <w:numId w:val="59"/>
              </w:numPr>
              <w:snapToGrid w:val="0"/>
              <w:rPr>
                <w:rFonts w:eastAsia="Malgun Gothic"/>
                <w:sz w:val="18"/>
                <w:szCs w:val="18"/>
              </w:rPr>
            </w:pPr>
            <w:r w:rsidRPr="00001BCA">
              <w:rPr>
                <w:rFonts w:eastAsia="Malgun Gothic"/>
                <w:sz w:val="18"/>
                <w:szCs w:val="18"/>
              </w:rPr>
              <w:lastRenderedPageBreak/>
              <w:t>Note: The serving cell does not change when beam selection is done</w:t>
            </w:r>
          </w:p>
          <w:p w14:paraId="5825D682" w14:textId="77777777" w:rsidR="00C56F43" w:rsidRPr="00001BCA" w:rsidRDefault="00C56F43" w:rsidP="00C56F43">
            <w:pPr>
              <w:pStyle w:val="ListParagraph"/>
              <w:numPr>
                <w:ilvl w:val="1"/>
                <w:numId w:val="59"/>
              </w:numPr>
              <w:snapToGrid w:val="0"/>
              <w:ind w:leftChars="0"/>
              <w:rPr>
                <w:rFonts w:ascii="Times New Roman" w:eastAsia="Malgun Gothic" w:hAnsi="Times New Roman" w:cs="Times New Roman"/>
                <w:sz w:val="18"/>
                <w:szCs w:val="18"/>
              </w:rPr>
            </w:pPr>
            <w:r w:rsidRPr="00001BCA">
              <w:rPr>
                <w:rFonts w:ascii="Times New Roman" w:eastAsia="Malgun Gothic" w:hAnsi="Times New Roman" w:cs="Times New Roman"/>
                <w:sz w:val="18"/>
                <w:szCs w:val="18"/>
              </w:rPr>
              <w:t xml:space="preserve">Note: This does not preclude the possibility for TA update on non-serving cell </w:t>
            </w:r>
          </w:p>
          <w:p w14:paraId="259252A6" w14:textId="7BC5C28F" w:rsidR="00C56F43" w:rsidRDefault="00C56F43" w:rsidP="00001BCA">
            <w:pPr>
              <w:pStyle w:val="ListParagraph"/>
              <w:numPr>
                <w:ilvl w:val="1"/>
                <w:numId w:val="59"/>
              </w:numPr>
              <w:snapToGrid w:val="0"/>
              <w:ind w:leftChars="0"/>
            </w:pPr>
            <w:r w:rsidRPr="00001BCA">
              <w:rPr>
                <w:rFonts w:ascii="Times New Roman" w:eastAsia="Malgun Gothic" w:hAnsi="Times New Roman" w:cs="Times New Roman"/>
                <w:sz w:val="18"/>
                <w:szCs w:val="18"/>
              </w:rPr>
              <w:t>FFS: For a UE supporting Rel.17 beam indication feature for inter-cell beam management, up to 5 CORESETs can be configured per BWP</w:t>
            </w:r>
          </w:p>
        </w:tc>
      </w:tr>
    </w:tbl>
    <w:p w14:paraId="41D395AE" w14:textId="13C6D1BA" w:rsidR="00C56F43" w:rsidRDefault="003E68B0" w:rsidP="00795ADD">
      <w:pPr>
        <w:pStyle w:val="00Text"/>
      </w:pPr>
      <w:r>
        <w:lastRenderedPageBreak/>
        <w:t xml:space="preserve">One key FFS point is what are the ‘non-UE dedicated channels/signals’ where the Rel-17 indicated TCI state shall not be applied. </w:t>
      </w:r>
      <w:r w:rsidR="006D4655">
        <w:t xml:space="preserve"> For that, we can consider each PDCCH separately:</w:t>
      </w:r>
    </w:p>
    <w:p w14:paraId="4D687AA7" w14:textId="361D05A7" w:rsidR="006D4655" w:rsidRDefault="0077632B" w:rsidP="009161E5">
      <w:pPr>
        <w:pStyle w:val="00Text"/>
        <w:numPr>
          <w:ilvl w:val="0"/>
          <w:numId w:val="60"/>
        </w:numPr>
      </w:pPr>
      <w:r>
        <w:t>CORESET#0: The Type0/0A/2-PDCCH CSS set can be associated with CORESET#0. For the search space #0, the UE determines the PDCCH monitoring occasions associated with the serving cell SSB that is associated with the CSI-RS resource configured as QCL source in the TCI state indicated to the CORESET#0. Therefore, a TCI state associated with non-serving cell SSB can not be applied to CORESET#0.</w:t>
      </w:r>
    </w:p>
    <w:p w14:paraId="126EADFD" w14:textId="566CDF38" w:rsidR="0077632B" w:rsidRDefault="0077632B" w:rsidP="009161E5">
      <w:pPr>
        <w:pStyle w:val="00Text"/>
        <w:numPr>
          <w:ilvl w:val="0"/>
          <w:numId w:val="60"/>
        </w:numPr>
      </w:pPr>
      <w:r>
        <w:t>Type3-PDCCH CSS set: In the PDCCH in Type3-PDCCH CSS set, the UE can be configured to monitor C-RNTI and MCS-C-RNTI in primary cell.  Therefore, the rel-17 indicated TCI state shall be applied to PDCCH of Type3-PDCCH CSS set and associated PDSCHs in primary cell. But in SCell, the indicated TCI state shall not be applied to PDCCH of Type3-PDCCH CSS set.</w:t>
      </w:r>
    </w:p>
    <w:p w14:paraId="29BC4C46" w14:textId="6A7B0F4D" w:rsidR="0077632B" w:rsidRPr="00001BCA" w:rsidRDefault="0077632B" w:rsidP="009161E5">
      <w:pPr>
        <w:pStyle w:val="00Text"/>
        <w:rPr>
          <w:b/>
          <w:bCs/>
          <w:i/>
          <w:iCs/>
        </w:rPr>
      </w:pPr>
      <w:bookmarkStart w:id="9" w:name="_Hlk83583317"/>
      <w:r w:rsidRPr="00001BCA">
        <w:rPr>
          <w:b/>
          <w:bCs/>
          <w:i/>
          <w:iCs/>
        </w:rPr>
        <w:t xml:space="preserve">Proposal </w:t>
      </w:r>
      <w:r w:rsidR="008C3C7D">
        <w:rPr>
          <w:b/>
          <w:bCs/>
          <w:i/>
          <w:iCs/>
        </w:rPr>
        <w:t>15</w:t>
      </w:r>
      <w:r w:rsidRPr="00001BCA">
        <w:rPr>
          <w:b/>
          <w:bCs/>
          <w:i/>
          <w:iCs/>
        </w:rPr>
        <w:t>: In inter-cell beam management, the indicated TCI state associated with non-serving cell SSB shall not be applied to:</w:t>
      </w:r>
    </w:p>
    <w:p w14:paraId="32B90ADB" w14:textId="1E4168AD" w:rsidR="0077632B" w:rsidRPr="00001BCA" w:rsidRDefault="0077632B" w:rsidP="009161E5">
      <w:pPr>
        <w:pStyle w:val="00Text"/>
        <w:numPr>
          <w:ilvl w:val="0"/>
          <w:numId w:val="61"/>
        </w:numPr>
        <w:rPr>
          <w:b/>
          <w:bCs/>
          <w:i/>
          <w:iCs/>
        </w:rPr>
      </w:pPr>
      <w:r w:rsidRPr="00001BCA">
        <w:rPr>
          <w:b/>
          <w:bCs/>
          <w:i/>
          <w:iCs/>
        </w:rPr>
        <w:t>The PDCCH associated CORESET#0 and corresponding PDSCH.</w:t>
      </w:r>
    </w:p>
    <w:p w14:paraId="4E5965ED" w14:textId="0BDB082A" w:rsidR="0077632B" w:rsidRPr="00001BCA" w:rsidRDefault="0077632B" w:rsidP="00001BCA">
      <w:pPr>
        <w:pStyle w:val="00Text"/>
        <w:numPr>
          <w:ilvl w:val="0"/>
          <w:numId w:val="61"/>
        </w:numPr>
        <w:rPr>
          <w:b/>
          <w:bCs/>
          <w:i/>
          <w:iCs/>
        </w:rPr>
      </w:pPr>
      <w:r w:rsidRPr="00001BCA">
        <w:rPr>
          <w:b/>
          <w:bCs/>
          <w:i/>
          <w:iCs/>
        </w:rPr>
        <w:t>The PDCCH in Type3-PDCCH CSS set and corresponding PDSCH in SCell.</w:t>
      </w:r>
    </w:p>
    <w:bookmarkEnd w:id="9"/>
    <w:p w14:paraId="4ACE09EC" w14:textId="39DEBDF2" w:rsidR="0040060A" w:rsidRDefault="0040060A" w:rsidP="00795ADD">
      <w:pPr>
        <w:pStyle w:val="00Text"/>
      </w:pPr>
      <w:r>
        <w:t xml:space="preserve">The issue of number of PCIs different from the serving cell configured in RRC for beam measurement and reporting was discussed and the following agreement was reached: </w:t>
      </w:r>
    </w:p>
    <w:tbl>
      <w:tblPr>
        <w:tblStyle w:val="TableGrid"/>
        <w:tblW w:w="0" w:type="auto"/>
        <w:tblLook w:val="04A0" w:firstRow="1" w:lastRow="0" w:firstColumn="1" w:lastColumn="0" w:noHBand="0" w:noVBand="1"/>
      </w:tblPr>
      <w:tblGrid>
        <w:gridCol w:w="9062"/>
      </w:tblGrid>
      <w:tr w:rsidR="0040060A" w14:paraId="6D16355B" w14:textId="77777777" w:rsidTr="0040060A">
        <w:tc>
          <w:tcPr>
            <w:tcW w:w="9062" w:type="dxa"/>
          </w:tcPr>
          <w:p w14:paraId="31D09C62" w14:textId="77777777" w:rsidR="0040060A" w:rsidRPr="00047B77" w:rsidRDefault="0040060A" w:rsidP="0040060A">
            <w:pPr>
              <w:jc w:val="both"/>
              <w:rPr>
                <w:rFonts w:eastAsia="Malgun Gothic" w:cs="Times"/>
                <w:szCs w:val="22"/>
                <w:lang w:eastAsia="ko-KR"/>
              </w:rPr>
            </w:pPr>
            <w:r>
              <w:rPr>
                <w:rStyle w:val="Strong"/>
                <w:rFonts w:cs="Times"/>
                <w:szCs w:val="22"/>
                <w:highlight w:val="green"/>
              </w:rPr>
              <w:t>Agreement</w:t>
            </w:r>
          </w:p>
          <w:p w14:paraId="2B0C36F1" w14:textId="77777777" w:rsidR="0040060A" w:rsidRPr="00047B77" w:rsidRDefault="0040060A" w:rsidP="0040060A">
            <w:pPr>
              <w:jc w:val="both"/>
              <w:rPr>
                <w:rFonts w:cs="Times"/>
                <w:szCs w:val="22"/>
              </w:rPr>
            </w:pPr>
            <w:r w:rsidRPr="00047B77">
              <w:rPr>
                <w:rFonts w:cs="Times"/>
                <w:szCs w:val="22"/>
              </w:rPr>
              <w:t xml:space="preserve">On Rel.17 L1-RSRP multi-beam measurement/reporting enhancements for inter-cell beam </w:t>
            </w:r>
            <w:r>
              <w:rPr>
                <w:rFonts w:cs="Times"/>
                <w:szCs w:val="22"/>
              </w:rPr>
              <w:t>management and inter-cell mTRP</w:t>
            </w:r>
            <w:r w:rsidRPr="00047B77">
              <w:rPr>
                <w:rFonts w:cs="Times"/>
                <w:szCs w:val="22"/>
              </w:rPr>
              <w:t>, select N</w:t>
            </w:r>
            <w:r w:rsidRPr="00047B77">
              <w:rPr>
                <w:rFonts w:cs="Times"/>
                <w:szCs w:val="22"/>
                <w:vertAlign w:val="subscript"/>
              </w:rPr>
              <w:t>MAX</w:t>
            </w:r>
            <w:r w:rsidRPr="00047B77">
              <w:rPr>
                <w:rStyle w:val="apple-converted-space"/>
                <w:rFonts w:cs="Times"/>
                <w:szCs w:val="22"/>
                <w:vertAlign w:val="subscript"/>
              </w:rPr>
              <w:t> </w:t>
            </w:r>
            <w:r w:rsidRPr="00047B77">
              <w:rPr>
                <w:rFonts w:cs="Times"/>
                <w:szCs w:val="22"/>
              </w:rPr>
              <w:t>(the maximum number of RRC configured PCIs different from the serving cell for measurement/reporting) from the following alternatives (to be decided in RAN1#106bis-e):</w:t>
            </w:r>
            <w:r w:rsidRPr="00047B77">
              <w:rPr>
                <w:rStyle w:val="apple-converted-space"/>
                <w:rFonts w:cs="Times"/>
                <w:szCs w:val="22"/>
              </w:rPr>
              <w:t> </w:t>
            </w:r>
          </w:p>
          <w:p w14:paraId="0EA47F24" w14:textId="77777777" w:rsidR="0040060A" w:rsidRDefault="0040060A" w:rsidP="0040060A">
            <w:pPr>
              <w:numPr>
                <w:ilvl w:val="0"/>
                <w:numId w:val="37"/>
              </w:numPr>
              <w:rPr>
                <w:rFonts w:cs="Times"/>
                <w:szCs w:val="22"/>
              </w:rPr>
            </w:pPr>
            <w:r w:rsidRPr="00047B77">
              <w:rPr>
                <w:rFonts w:cs="Times"/>
                <w:szCs w:val="22"/>
              </w:rPr>
              <w:t>Alt1: N</w:t>
            </w:r>
            <w:r w:rsidRPr="00047B77">
              <w:rPr>
                <w:rFonts w:cs="Times"/>
                <w:szCs w:val="22"/>
                <w:vertAlign w:val="subscript"/>
              </w:rPr>
              <w:t>MAX  </w:t>
            </w:r>
            <w:r w:rsidRPr="00047B77">
              <w:rPr>
                <w:rStyle w:val="apple-converted-space"/>
                <w:rFonts w:cs="Times"/>
                <w:szCs w:val="22"/>
                <w:vertAlign w:val="subscript"/>
              </w:rPr>
              <w:t> </w:t>
            </w:r>
            <w:r w:rsidRPr="00047B77">
              <w:rPr>
                <w:rFonts w:cs="Times"/>
                <w:szCs w:val="22"/>
              </w:rPr>
              <w:t>is up to UE capability with candidate values of 1 and X.</w:t>
            </w:r>
          </w:p>
          <w:p w14:paraId="57AE3569" w14:textId="77777777" w:rsidR="0040060A" w:rsidRDefault="0040060A" w:rsidP="0040060A">
            <w:pPr>
              <w:numPr>
                <w:ilvl w:val="1"/>
                <w:numId w:val="37"/>
              </w:numPr>
              <w:rPr>
                <w:rFonts w:cs="Times"/>
                <w:szCs w:val="22"/>
              </w:rPr>
            </w:pPr>
            <w:r w:rsidRPr="00047B77">
              <w:rPr>
                <w:rFonts w:cs="Times"/>
                <w:szCs w:val="22"/>
              </w:rPr>
              <w:t>Note: X as agreed in AI 8.1.2.2</w:t>
            </w:r>
          </w:p>
          <w:p w14:paraId="5143D2DD" w14:textId="77777777" w:rsidR="0040060A" w:rsidRDefault="0040060A" w:rsidP="0040060A">
            <w:pPr>
              <w:numPr>
                <w:ilvl w:val="1"/>
                <w:numId w:val="37"/>
              </w:numPr>
              <w:rPr>
                <w:rFonts w:cs="Times"/>
                <w:szCs w:val="22"/>
              </w:rPr>
            </w:pPr>
            <w:r w:rsidRPr="00047B77">
              <w:rPr>
                <w:rFonts w:cs="Times"/>
                <w:szCs w:val="22"/>
              </w:rPr>
              <w:t>When N</w:t>
            </w:r>
            <w:r w:rsidRPr="00047B77">
              <w:rPr>
                <w:rFonts w:cs="Times"/>
                <w:szCs w:val="22"/>
                <w:vertAlign w:val="subscript"/>
              </w:rPr>
              <w:t>MAX</w:t>
            </w:r>
            <w:r w:rsidRPr="00047B77">
              <w:rPr>
                <w:rStyle w:val="apple-converted-space"/>
                <w:rFonts w:cs="Times"/>
                <w:szCs w:val="22"/>
                <w:vertAlign w:val="subscript"/>
              </w:rPr>
              <w:t> </w:t>
            </w:r>
            <w:r w:rsidRPr="00047B77">
              <w:rPr>
                <w:rFonts w:cs="Times"/>
                <w:szCs w:val="22"/>
              </w:rPr>
              <w:t>is configured to be X, the UE measures up to X PCIs different from the serving cell PCI</w:t>
            </w:r>
            <w:r w:rsidRPr="00047B77">
              <w:rPr>
                <w:rStyle w:val="apple-converted-space"/>
                <w:rFonts w:cs="Times"/>
                <w:szCs w:val="22"/>
              </w:rPr>
              <w:t> </w:t>
            </w:r>
          </w:p>
          <w:p w14:paraId="31FD3A55" w14:textId="77777777" w:rsidR="0040060A" w:rsidRPr="00047B77" w:rsidRDefault="0040060A" w:rsidP="0040060A">
            <w:pPr>
              <w:numPr>
                <w:ilvl w:val="1"/>
                <w:numId w:val="37"/>
              </w:numPr>
              <w:rPr>
                <w:rFonts w:cs="Times"/>
                <w:szCs w:val="22"/>
              </w:rPr>
            </w:pPr>
            <w:r w:rsidRPr="00047B77">
              <w:rPr>
                <w:rFonts w:cs="Times"/>
                <w:szCs w:val="22"/>
              </w:rPr>
              <w:t>Additional restriction may be added by RAN4</w:t>
            </w:r>
          </w:p>
          <w:p w14:paraId="477BA282" w14:textId="785AAC72" w:rsidR="0040060A" w:rsidRDefault="0040060A" w:rsidP="00001BCA">
            <w:pPr>
              <w:numPr>
                <w:ilvl w:val="0"/>
                <w:numId w:val="63"/>
              </w:numPr>
            </w:pPr>
            <w:r w:rsidRPr="00047B77">
              <w:rPr>
                <w:rFonts w:cs="Times"/>
                <w:szCs w:val="22"/>
              </w:rPr>
              <w:t>Alt2. N</w:t>
            </w:r>
            <w:r w:rsidRPr="00047B77">
              <w:rPr>
                <w:rFonts w:cs="Times"/>
                <w:szCs w:val="22"/>
                <w:vertAlign w:val="subscript"/>
              </w:rPr>
              <w:t>MAX</w:t>
            </w:r>
            <w:r w:rsidRPr="00047B77">
              <w:rPr>
                <w:rFonts w:cs="Times"/>
                <w:szCs w:val="22"/>
              </w:rPr>
              <w:t>=1</w:t>
            </w:r>
          </w:p>
        </w:tc>
      </w:tr>
    </w:tbl>
    <w:p w14:paraId="3129C781" w14:textId="18C41DCA" w:rsidR="0040060A" w:rsidRDefault="0040060A" w:rsidP="00795ADD">
      <w:pPr>
        <w:pStyle w:val="00Text"/>
      </w:pPr>
      <w:r>
        <w:t>I</w:t>
      </w:r>
      <w:r w:rsidR="00575608">
        <w:t>n</w:t>
      </w:r>
      <w:r>
        <w:t xml:space="preserve"> our view, Alt2 with M</w:t>
      </w:r>
      <w:r w:rsidRPr="00001BCA">
        <w:rPr>
          <w:vertAlign w:val="subscript"/>
        </w:rPr>
        <w:t>Max</w:t>
      </w:r>
      <w:r>
        <w:t xml:space="preserve"> = 1 is preferred because supporting more than one different PCIs configured in inter-cell SSB L1-RSRP measurement and reporting is not necessary:</w:t>
      </w:r>
    </w:p>
    <w:p w14:paraId="383C6620" w14:textId="6B873B67" w:rsidR="0040060A" w:rsidRDefault="0040060A" w:rsidP="00575608">
      <w:pPr>
        <w:pStyle w:val="00Text"/>
        <w:numPr>
          <w:ilvl w:val="0"/>
          <w:numId w:val="64"/>
        </w:numPr>
      </w:pPr>
      <w:r>
        <w:t xml:space="preserve">The gNB shall select the target TRP for mTRP operation based on the L3 measurement, which is already supported in current system. In the existing L3 measurement, the UE can measure a list of candidate non-serving cells and then report the L3 measurement results to the gNB. The gNB then can select the ‘best’ non-serving cell TRP for the mTRP transmission. The selection of ‘best’ TRP is </w:t>
      </w:r>
      <w:r w:rsidR="00575608">
        <w:t>not based on the inter-cell beam measurement which is newly introduced in rel17.</w:t>
      </w:r>
    </w:p>
    <w:p w14:paraId="760299BF" w14:textId="41C3F529" w:rsidR="0040060A" w:rsidRDefault="0040060A" w:rsidP="00575608">
      <w:pPr>
        <w:pStyle w:val="00Text"/>
        <w:numPr>
          <w:ilvl w:val="0"/>
          <w:numId w:val="64"/>
        </w:numPr>
      </w:pPr>
      <w:r>
        <w:t xml:space="preserve">The purpose of L1-RSRP beam measurement and reporting on a non-serving cell SSB is to assist the gNB to find the ‘best’ Tx beam or TCI state of the </w:t>
      </w:r>
      <w:r w:rsidR="00575608">
        <w:t>selected</w:t>
      </w:r>
      <w:r>
        <w:t xml:space="preserve"> TRP.  </w:t>
      </w:r>
      <w:r w:rsidR="00575608">
        <w:t>The TRP shall be selected before the L1-RSRP for TCI state can be conducted.</w:t>
      </w:r>
    </w:p>
    <w:p w14:paraId="15A0ECB4" w14:textId="606DC901" w:rsidR="00575608" w:rsidRDefault="00575608" w:rsidP="00575608">
      <w:pPr>
        <w:pStyle w:val="00Text"/>
        <w:numPr>
          <w:ilvl w:val="0"/>
          <w:numId w:val="64"/>
        </w:numPr>
      </w:pPr>
      <w:r>
        <w:t xml:space="preserve">Furthermore, for SSB-based RRM measurement, the UE is provided with measurement gap and SMTC. In contrast, for the new L1-RSRP measurement on non-serving cell SSB, the UE is not provided with either measurement gap or SMTC. Instead, the UE measures such non-serving cell SSB just as a normal reference signal.  Asking the UE to measure SSBs of multiple non-serving cells is not justified for use case but increase the UE complexity unnecessarily. </w:t>
      </w:r>
    </w:p>
    <w:p w14:paraId="4E23781E" w14:textId="5CCCB614" w:rsidR="00575608" w:rsidRPr="00001BCA" w:rsidRDefault="00575608" w:rsidP="00575608">
      <w:pPr>
        <w:pStyle w:val="00Text"/>
        <w:rPr>
          <w:b/>
          <w:bCs/>
          <w:i/>
          <w:iCs/>
        </w:rPr>
      </w:pPr>
      <w:bookmarkStart w:id="10" w:name="_Hlk83583327"/>
      <w:r w:rsidRPr="00001BCA">
        <w:rPr>
          <w:b/>
          <w:bCs/>
          <w:i/>
          <w:iCs/>
        </w:rPr>
        <w:lastRenderedPageBreak/>
        <w:t xml:space="preserve">Proposal </w:t>
      </w:r>
      <w:r w:rsidR="008C3C7D">
        <w:rPr>
          <w:b/>
          <w:bCs/>
          <w:i/>
          <w:iCs/>
        </w:rPr>
        <w:t>16</w:t>
      </w:r>
      <w:r w:rsidRPr="00001BCA">
        <w:rPr>
          <w:b/>
          <w:bCs/>
          <w:i/>
          <w:iCs/>
        </w:rPr>
        <w:t xml:space="preserve">: </w:t>
      </w:r>
      <w:r w:rsidRPr="00001BCA">
        <w:rPr>
          <w:rFonts w:cs="Times"/>
          <w:b/>
          <w:bCs/>
          <w:i/>
          <w:iCs/>
          <w:szCs w:val="22"/>
        </w:rPr>
        <w:t>On Rel.17 L1-RSRP multi-beam measurement/reporting enhancements for inter-cell beam management and inter-cell mTRP, N</w:t>
      </w:r>
      <w:r w:rsidRPr="00001BCA">
        <w:rPr>
          <w:rFonts w:cs="Times"/>
          <w:b/>
          <w:bCs/>
          <w:i/>
          <w:iCs/>
          <w:szCs w:val="22"/>
          <w:vertAlign w:val="subscript"/>
        </w:rPr>
        <w:t>MAX</w:t>
      </w:r>
      <w:r w:rsidRPr="00001BCA">
        <w:rPr>
          <w:rStyle w:val="apple-converted-space"/>
          <w:rFonts w:cs="Times"/>
          <w:b/>
          <w:bCs/>
          <w:i/>
          <w:iCs/>
          <w:szCs w:val="22"/>
          <w:vertAlign w:val="subscript"/>
        </w:rPr>
        <w:t> </w:t>
      </w:r>
      <w:r w:rsidRPr="00001BCA">
        <w:rPr>
          <w:rFonts w:cs="Times"/>
          <w:b/>
          <w:bCs/>
          <w:i/>
          <w:iCs/>
          <w:szCs w:val="22"/>
        </w:rPr>
        <w:t>(the maximum number of RRC configured PCIs different from the serving cell for measurement/reporting) = 1.</w:t>
      </w:r>
    </w:p>
    <w:p w14:paraId="27050966" w14:textId="09AC0E22" w:rsidR="009161E5" w:rsidRDefault="00575608" w:rsidP="009161E5">
      <w:pPr>
        <w:pStyle w:val="00Text"/>
      </w:pPr>
      <w:bookmarkStart w:id="11" w:name="_Hlk53586017"/>
      <w:bookmarkStart w:id="12" w:name="_Hlk78827408"/>
      <w:bookmarkEnd w:id="10"/>
      <w:r>
        <w:t>Event-driven L1-RSRP reporting for inter-cell beam management was discussed:</w:t>
      </w:r>
    </w:p>
    <w:tbl>
      <w:tblPr>
        <w:tblStyle w:val="TableGrid"/>
        <w:tblW w:w="0" w:type="auto"/>
        <w:tblLook w:val="04A0" w:firstRow="1" w:lastRow="0" w:firstColumn="1" w:lastColumn="0" w:noHBand="0" w:noVBand="1"/>
      </w:tblPr>
      <w:tblGrid>
        <w:gridCol w:w="9062"/>
      </w:tblGrid>
      <w:tr w:rsidR="009161E5" w14:paraId="32075B6A" w14:textId="77777777" w:rsidTr="009161E5">
        <w:tc>
          <w:tcPr>
            <w:tcW w:w="9062" w:type="dxa"/>
          </w:tcPr>
          <w:p w14:paraId="5F4ACE0B" w14:textId="77777777" w:rsidR="009161E5" w:rsidRPr="00C759C8" w:rsidRDefault="009161E5" w:rsidP="009161E5">
            <w:pPr>
              <w:snapToGrid w:val="0"/>
              <w:jc w:val="both"/>
              <w:rPr>
                <w:rFonts w:cs="Times"/>
                <w:sz w:val="18"/>
              </w:rPr>
            </w:pPr>
            <w:r w:rsidRPr="00C759C8">
              <w:rPr>
                <w:rStyle w:val="Strong"/>
                <w:rFonts w:cs="Times"/>
                <w:szCs w:val="22"/>
                <w:highlight w:val="green"/>
              </w:rPr>
              <w:t>Agreement</w:t>
            </w:r>
            <w:r w:rsidRPr="00C759C8">
              <w:rPr>
                <w:rFonts w:cs="Times"/>
                <w:szCs w:val="22"/>
              </w:rPr>
              <w:t xml:space="preserve"> </w:t>
            </w:r>
          </w:p>
          <w:p w14:paraId="53CF6259" w14:textId="77777777" w:rsidR="009161E5" w:rsidRPr="00C759C8" w:rsidRDefault="009161E5" w:rsidP="009161E5">
            <w:pPr>
              <w:snapToGrid w:val="0"/>
              <w:jc w:val="both"/>
              <w:rPr>
                <w:rFonts w:cs="Times"/>
                <w:szCs w:val="22"/>
              </w:rPr>
            </w:pPr>
            <w:r w:rsidRPr="00C759C8">
              <w:rPr>
                <w:rFonts w:cs="Times"/>
                <w:szCs w:val="22"/>
              </w:rPr>
              <w:t>On Rel.17 L1-RSRP multi-beam measurement/reporting enhancements for inter-cell beam management and inter-cell mTRP, in RAN1#106bis-e, select one of the following alternatives:</w:t>
            </w:r>
          </w:p>
          <w:p w14:paraId="55FCCED1" w14:textId="77777777" w:rsidR="009161E5" w:rsidRPr="00C759C8" w:rsidRDefault="009161E5" w:rsidP="009161E5">
            <w:pPr>
              <w:numPr>
                <w:ilvl w:val="0"/>
                <w:numId w:val="62"/>
              </w:numPr>
              <w:rPr>
                <w:rFonts w:cs="Times"/>
                <w:szCs w:val="22"/>
              </w:rPr>
            </w:pPr>
            <w:r w:rsidRPr="00C759C8">
              <w:rPr>
                <w:rFonts w:cs="Times"/>
                <w:szCs w:val="22"/>
              </w:rPr>
              <w:t>Alt1. Support L1-based event-driven beam reporting for inter-cell beam management and inter-cell mTRP</w:t>
            </w:r>
          </w:p>
          <w:p w14:paraId="5E9703A3" w14:textId="77777777" w:rsidR="009161E5" w:rsidRPr="00C759C8" w:rsidRDefault="009161E5" w:rsidP="009161E5">
            <w:pPr>
              <w:numPr>
                <w:ilvl w:val="0"/>
                <w:numId w:val="62"/>
              </w:numPr>
              <w:rPr>
                <w:rFonts w:cs="Times"/>
                <w:szCs w:val="22"/>
              </w:rPr>
            </w:pPr>
            <w:r w:rsidRPr="00C759C8">
              <w:rPr>
                <w:rFonts w:cs="Times"/>
                <w:szCs w:val="22"/>
              </w:rPr>
              <w:t>Alt2. Support MAC CE based event-driven beam reporting for inter-cell beam management and inter-cell mTRP</w:t>
            </w:r>
          </w:p>
          <w:p w14:paraId="358E600B" w14:textId="3B87A3F1" w:rsidR="009161E5" w:rsidRDefault="009161E5" w:rsidP="00001BCA">
            <w:pPr>
              <w:numPr>
                <w:ilvl w:val="0"/>
                <w:numId w:val="62"/>
              </w:numPr>
            </w:pPr>
            <w:r w:rsidRPr="00C759C8">
              <w:rPr>
                <w:rFonts w:cs="Times"/>
                <w:szCs w:val="22"/>
              </w:rPr>
              <w:t>Alt3. In Rel-17, event-driven beam reporting is not supported for inter-cell beam management and inter-cell mTRP</w:t>
            </w:r>
          </w:p>
        </w:tc>
      </w:tr>
    </w:tbl>
    <w:p w14:paraId="7EFFD0FF" w14:textId="72FE703C" w:rsidR="009161E5" w:rsidRDefault="00575608" w:rsidP="009161E5">
      <w:pPr>
        <w:pStyle w:val="00Text"/>
      </w:pPr>
      <w:r>
        <w:t xml:space="preserve">Consider the limited remaining time for rel-17, we prefer to not specify even-driven beam reporting in release 17. That can be further discussed in future release. </w:t>
      </w:r>
    </w:p>
    <w:p w14:paraId="7B241313" w14:textId="1521BB9C" w:rsidR="009161E5" w:rsidRPr="009161E5" w:rsidRDefault="009161E5" w:rsidP="00001BCA">
      <w:pPr>
        <w:pStyle w:val="00Text"/>
      </w:pPr>
      <w:bookmarkStart w:id="13" w:name="_Hlk83583343"/>
      <w:r w:rsidRPr="009161E5">
        <w:rPr>
          <w:b/>
          <w:bCs/>
          <w:i/>
          <w:iCs/>
        </w:rPr>
        <w:t>Proposal</w:t>
      </w:r>
      <w:r w:rsidR="00575608">
        <w:rPr>
          <w:b/>
          <w:bCs/>
          <w:i/>
          <w:iCs/>
        </w:rPr>
        <w:t xml:space="preserve"> </w:t>
      </w:r>
      <w:r w:rsidR="008C3C7D">
        <w:rPr>
          <w:b/>
          <w:bCs/>
          <w:i/>
          <w:iCs/>
        </w:rPr>
        <w:t>17</w:t>
      </w:r>
      <w:r w:rsidRPr="009161E5">
        <w:rPr>
          <w:b/>
          <w:bCs/>
          <w:i/>
          <w:iCs/>
        </w:rPr>
        <w:t>: Select Alt3</w:t>
      </w:r>
      <w:r w:rsidR="0040060A">
        <w:rPr>
          <w:b/>
          <w:bCs/>
          <w:i/>
          <w:iCs/>
        </w:rPr>
        <w:t>, i.e.,</w:t>
      </w:r>
      <w:r w:rsidRPr="009161E5">
        <w:rPr>
          <w:b/>
          <w:bCs/>
          <w:i/>
          <w:iCs/>
        </w:rPr>
        <w:t xml:space="preserve"> in rel-17, even</w:t>
      </w:r>
      <w:r w:rsidR="00FB6EF1">
        <w:rPr>
          <w:rFonts w:hint="eastAsia"/>
          <w:b/>
          <w:bCs/>
          <w:i/>
          <w:iCs/>
        </w:rPr>
        <w:t>t</w:t>
      </w:r>
      <w:r w:rsidRPr="009161E5">
        <w:rPr>
          <w:b/>
          <w:bCs/>
          <w:i/>
          <w:iCs/>
        </w:rPr>
        <w:t>-driven beam reporting is not supported for inter-cell beam management and inter-cell mTRP</w:t>
      </w:r>
    </w:p>
    <w:bookmarkEnd w:id="11"/>
    <w:bookmarkEnd w:id="12"/>
    <w:bookmarkEnd w:id="13"/>
    <w:p w14:paraId="7A44B7C4" w14:textId="0515E54D" w:rsidR="002C4DCC" w:rsidRDefault="00427938" w:rsidP="002C4DCC">
      <w:pPr>
        <w:pStyle w:val="01"/>
        <w:numPr>
          <w:ilvl w:val="0"/>
          <w:numId w:val="1"/>
        </w:numPr>
        <w:ind w:left="562" w:hanging="562"/>
      </w:pPr>
      <w:r>
        <w:t>Multi-</w:t>
      </w:r>
      <w:r w:rsidR="00054D5F">
        <w:t xml:space="preserve">Panel </w:t>
      </w:r>
      <w:r>
        <w:t>UE</w:t>
      </w:r>
    </w:p>
    <w:p w14:paraId="75AA9607" w14:textId="3F1601BD" w:rsidR="00294538" w:rsidRDefault="00E44FBA" w:rsidP="00962DD7">
      <w:pPr>
        <w:pStyle w:val="00Text"/>
      </w:pPr>
      <w:r>
        <w:t>For panel-selection of multi-panel UE, we made the following agreement</w:t>
      </w:r>
      <w:r w:rsidR="003D709F">
        <w:t xml:space="preserve"> </w:t>
      </w:r>
      <w:r w:rsidR="003D709F">
        <w:rPr>
          <w:rFonts w:hint="eastAsia"/>
        </w:rPr>
        <w:t>with</w:t>
      </w:r>
      <w:r w:rsidR="003D709F">
        <w:t xml:space="preserve"> </w:t>
      </w:r>
      <w:r w:rsidR="003D709F">
        <w:rPr>
          <w:rFonts w:hint="eastAsia"/>
        </w:rPr>
        <w:t>two</w:t>
      </w:r>
      <w:r w:rsidR="003D709F">
        <w:t xml:space="preserve"> </w:t>
      </w:r>
      <w:r w:rsidR="003D709F">
        <w:rPr>
          <w:rFonts w:hint="eastAsia"/>
        </w:rPr>
        <w:t>possible</w:t>
      </w:r>
      <w:r w:rsidR="003D709F">
        <w:t xml:space="preserve"> options</w:t>
      </w:r>
      <w:r>
        <w:t xml:space="preserve"> in previous meeting:</w:t>
      </w:r>
    </w:p>
    <w:tbl>
      <w:tblPr>
        <w:tblStyle w:val="TableGrid"/>
        <w:tblW w:w="0" w:type="auto"/>
        <w:tblLook w:val="04A0" w:firstRow="1" w:lastRow="0" w:firstColumn="1" w:lastColumn="0" w:noHBand="0" w:noVBand="1"/>
      </w:tblPr>
      <w:tblGrid>
        <w:gridCol w:w="9062"/>
      </w:tblGrid>
      <w:tr w:rsidR="00294538" w:rsidRPr="00795ADD" w14:paraId="1B0FBBC7" w14:textId="77777777" w:rsidTr="00294538">
        <w:tc>
          <w:tcPr>
            <w:tcW w:w="9062" w:type="dxa"/>
          </w:tcPr>
          <w:p w14:paraId="3352FFE9" w14:textId="77777777" w:rsidR="00E44FBA" w:rsidRPr="00E44FBA" w:rsidRDefault="00E44FBA" w:rsidP="00E44FBA">
            <w:pPr>
              <w:jc w:val="both"/>
              <w:rPr>
                <w:rFonts w:ascii="Times" w:eastAsia="Malgun Gothic" w:hAnsi="Times" w:cs="Times"/>
                <w:szCs w:val="22"/>
                <w:lang w:eastAsia="ko-KR"/>
              </w:rPr>
            </w:pPr>
            <w:r w:rsidRPr="00E44FBA">
              <w:rPr>
                <w:rFonts w:ascii="Times" w:eastAsia="Batang" w:hAnsi="Times" w:cs="Times"/>
                <w:b/>
                <w:bCs/>
                <w:szCs w:val="22"/>
                <w:highlight w:val="green"/>
                <w:lang w:val="en-GB"/>
              </w:rPr>
              <w:t>Agreement</w:t>
            </w:r>
          </w:p>
          <w:p w14:paraId="12306FA7" w14:textId="77777777" w:rsidR="00E44FBA" w:rsidRPr="00E44FBA" w:rsidRDefault="00E44FBA" w:rsidP="00E44FBA">
            <w:pPr>
              <w:rPr>
                <w:rFonts w:ascii="Times" w:eastAsia="SimSun" w:hAnsi="Times" w:cs="Times"/>
                <w:szCs w:val="22"/>
                <w:lang w:eastAsia="zh-CN"/>
              </w:rPr>
            </w:pPr>
            <w:r w:rsidRPr="00E44FBA">
              <w:rPr>
                <w:rFonts w:ascii="Times" w:eastAsia="Batang" w:hAnsi="Times" w:cs="Times"/>
                <w:szCs w:val="22"/>
                <w:lang w:val="en-GB" w:eastAsia="zh-CN"/>
              </w:rPr>
              <w:t>On Rel.17 enhancements to facilitate UE -initiated panel activation and selection, down select </w:t>
            </w:r>
            <w:r w:rsidRPr="00E44FBA">
              <w:rPr>
                <w:rFonts w:ascii="Times" w:eastAsia="Batang" w:hAnsi="Times" w:cs="Times"/>
                <w:bCs/>
                <w:szCs w:val="22"/>
                <w:lang w:val="en-GB" w:eastAsia="zh-CN"/>
              </w:rPr>
              <w:t>or modify</w:t>
            </w:r>
            <w:r w:rsidRPr="00E44FBA">
              <w:rPr>
                <w:rFonts w:ascii="Times" w:eastAsia="Batang" w:hAnsi="Times" w:cs="Times"/>
                <w:b/>
                <w:bCs/>
                <w:szCs w:val="22"/>
                <w:lang w:val="en-GB" w:eastAsia="zh-CN"/>
              </w:rPr>
              <w:t> </w:t>
            </w:r>
            <w:r w:rsidRPr="00E44FBA">
              <w:rPr>
                <w:rFonts w:ascii="Times" w:eastAsia="Batang" w:hAnsi="Times" w:cs="Times"/>
                <w:szCs w:val="22"/>
                <w:lang w:val="en-GB" w:eastAsia="zh-CN"/>
              </w:rPr>
              <w:t>from the following two schemes in RAN1#106bis-e:</w:t>
            </w:r>
          </w:p>
          <w:p w14:paraId="6738239F" w14:textId="77777777" w:rsidR="00E44FBA" w:rsidRPr="00E44FBA" w:rsidRDefault="00E44FBA" w:rsidP="00E44FBA">
            <w:pPr>
              <w:numPr>
                <w:ilvl w:val="0"/>
                <w:numId w:val="37"/>
              </w:numPr>
              <w:rPr>
                <w:rFonts w:ascii="Times" w:hAnsi="Times" w:cs="Times"/>
                <w:szCs w:val="22"/>
                <w:lang w:val="en-GB"/>
              </w:rPr>
            </w:pPr>
            <w:r w:rsidRPr="00E44FBA">
              <w:rPr>
                <w:rFonts w:ascii="Times" w:hAnsi="Times" w:cs="Times"/>
                <w:szCs w:val="22"/>
                <w:lang w:val="en-GB"/>
              </w:rPr>
              <w:t>Scheme 1: </w:t>
            </w:r>
          </w:p>
          <w:p w14:paraId="6FBB6F50"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A panel entity corresponds to a reported CSI-RS and/or SSB resource index in a beam reporting instance (i.e. Opt1-1 per RAN1#104-bis-e agreement) </w:t>
            </w:r>
          </w:p>
          <w:p w14:paraId="04AA4721"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The correspondence between a panel entity and a reported CSI-RS and/or SSB resource index is informed to NW</w:t>
            </w:r>
          </w:p>
          <w:p w14:paraId="1377623B" w14:textId="77777777" w:rsidR="00E44FBA" w:rsidRPr="00E44FBA" w:rsidRDefault="00E44FBA" w:rsidP="00E44FBA">
            <w:pPr>
              <w:numPr>
                <w:ilvl w:val="3"/>
                <w:numId w:val="38"/>
              </w:numPr>
              <w:rPr>
                <w:rFonts w:ascii="Times" w:hAnsi="Times" w:cs="Times"/>
                <w:szCs w:val="22"/>
                <w:lang w:val="en-GB"/>
              </w:rPr>
            </w:pPr>
            <w:r w:rsidRPr="00E44FBA">
              <w:rPr>
                <w:rFonts w:ascii="Times" w:hAnsi="Times" w:cs="Times"/>
                <w:szCs w:val="22"/>
                <w:lang w:val="en-GB"/>
              </w:rPr>
              <w:t>FFS : Detailed design of how to inform the correspondence to NW </w:t>
            </w:r>
          </w:p>
          <w:p w14:paraId="66002F79"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Note: the correspondence between a CSI-RS and/or SSB resource index and a panel entity is determined by the UE (analogous to Rel-15/16)</w:t>
            </w:r>
          </w:p>
          <w:p w14:paraId="302A1E15"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Support UE reporting of maximum number of SRS ports </w:t>
            </w:r>
            <w:r w:rsidRPr="00E44FBA">
              <w:rPr>
                <w:rFonts w:ascii="Times" w:hAnsi="Times"/>
                <w:bCs/>
                <w:lang w:val="en-GB"/>
              </w:rPr>
              <w:t>and coherence type </w:t>
            </w:r>
            <w:r w:rsidRPr="00E44FBA">
              <w:rPr>
                <w:rFonts w:ascii="Times" w:hAnsi="Times" w:cs="Times"/>
                <w:szCs w:val="22"/>
                <w:lang w:val="en-GB"/>
              </w:rPr>
              <w:t>for each panel entity as a UE capability</w:t>
            </w:r>
          </w:p>
          <w:p w14:paraId="5AD0DF66"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Support multiple c odebook -based SRS resource sets with different maximum number of SRS ports</w:t>
            </w:r>
          </w:p>
          <w:p w14:paraId="1A1728BE"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The indicated SRI is based on the SRS resources corresponding to one SRS resource set, where the SRS resource set should be aligned with the UE capability for the panel entity </w:t>
            </w:r>
          </w:p>
          <w:p w14:paraId="0582CEF4" w14:textId="77777777" w:rsidR="00E44FBA" w:rsidRPr="00E44FBA" w:rsidRDefault="00E44FBA" w:rsidP="00E44FBA">
            <w:pPr>
              <w:numPr>
                <w:ilvl w:val="0"/>
                <w:numId w:val="37"/>
              </w:numPr>
              <w:rPr>
                <w:rFonts w:ascii="Times" w:hAnsi="Times" w:cs="Times"/>
                <w:szCs w:val="22"/>
                <w:lang w:val="en-GB"/>
              </w:rPr>
            </w:pPr>
            <w:r w:rsidRPr="00E44FBA">
              <w:rPr>
                <w:rFonts w:ascii="Times" w:hAnsi="Times" w:cs="Times"/>
                <w:szCs w:val="22"/>
                <w:lang w:val="en-GB"/>
              </w:rPr>
              <w:t>Scheme 2: </w:t>
            </w:r>
          </w:p>
          <w:p w14:paraId="064A1686"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Support UE reporting one of the following (to be down selected in RAN1#106bis-e): </w:t>
            </w:r>
          </w:p>
          <w:p w14:paraId="634EC8C7"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Opt1. A list of supported UL ranks (number of UL transmission layers) </w:t>
            </w:r>
          </w:p>
          <w:p w14:paraId="607959AD"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Opt2. A list of supported number of SRS antenna ports</w:t>
            </w:r>
          </w:p>
          <w:p w14:paraId="2A722474"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Opt3. A list of coherence types (as in Rel-15) indicating a subset of ports</w:t>
            </w:r>
          </w:p>
          <w:p w14:paraId="77ED517A"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The NW configures an association between </w:t>
            </w:r>
            <w:r w:rsidRPr="00E44FBA">
              <w:rPr>
                <w:rFonts w:ascii="Times" w:hAnsi="Times"/>
                <w:bCs/>
                <w:lang w:val="en-GB"/>
              </w:rPr>
              <w:t>an </w:t>
            </w:r>
            <w:r w:rsidRPr="00E44FBA">
              <w:rPr>
                <w:rFonts w:ascii="Times" w:hAnsi="Times"/>
                <w:bCs/>
                <w:strike/>
                <w:color w:val="FF0000"/>
                <w:lang w:val="en-GB"/>
              </w:rPr>
              <w:t>rank</w:t>
            </w:r>
            <w:r w:rsidRPr="00E44FBA">
              <w:rPr>
                <w:rFonts w:ascii="Times" w:hAnsi="Times" w:cs="Times"/>
                <w:szCs w:val="22"/>
                <w:lang w:val="en-GB"/>
              </w:rPr>
              <w:t> index and rank/number of SRS antenna ports/</w:t>
            </w:r>
            <w:r w:rsidRPr="00E44FBA">
              <w:rPr>
                <w:rFonts w:ascii="Times" w:hAnsi="Times"/>
                <w:bCs/>
                <w:lang w:val="en-GB"/>
              </w:rPr>
              <w:t>coherence type</w:t>
            </w:r>
          </w:p>
          <w:p w14:paraId="665B9F44"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Include </w:t>
            </w:r>
            <w:r w:rsidRPr="00E44FBA">
              <w:rPr>
                <w:rFonts w:ascii="Times" w:hAnsi="Times"/>
                <w:bCs/>
                <w:lang w:val="en-GB"/>
              </w:rPr>
              <w:t>at least one of</w:t>
            </w:r>
            <w:r w:rsidRPr="00E44FBA">
              <w:rPr>
                <w:rFonts w:ascii="Times" w:hAnsi="Times" w:cs="Times"/>
                <w:szCs w:val="22"/>
                <w:lang w:val="en-GB"/>
              </w:rPr>
              <w:t> the index, the maximum UL rank </w:t>
            </w:r>
            <w:r w:rsidRPr="00E44FBA">
              <w:rPr>
                <w:rFonts w:ascii="Times" w:hAnsi="Times"/>
                <w:bCs/>
                <w:lang w:val="en-GB"/>
              </w:rPr>
              <w:t>or SRS antenna ports or coherence type</w:t>
            </w:r>
            <w:r w:rsidRPr="00E44FBA">
              <w:rPr>
                <w:rFonts w:ascii="Times" w:hAnsi="Times" w:cs="Times"/>
                <w:szCs w:val="22"/>
                <w:lang w:val="en-GB"/>
              </w:rPr>
              <w:t> corresponding to a reported SSBRI/CRI in a beam reporting instance </w:t>
            </w:r>
          </w:p>
          <w:p w14:paraId="63F9EDE9"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FFS : timeline to apply above result in the beam report instance</w:t>
            </w:r>
          </w:p>
          <w:p w14:paraId="0628E74E"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Support multiple codebook-based SRS resource sets with different number of SRS antenna ports</w:t>
            </w:r>
          </w:p>
          <w:p w14:paraId="6A3E3EC6"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lastRenderedPageBreak/>
              <w:t>The indicated SRI is based on the SRS resources corresponding to one SRS resource set, where the SRS resource set should be aligned with the UE reported info corresponding to the index</w:t>
            </w:r>
          </w:p>
          <w:p w14:paraId="4913E39C" w14:textId="212109C0" w:rsidR="00F61801" w:rsidRPr="00005D51" w:rsidRDefault="00F61801" w:rsidP="00A217D0">
            <w:pPr>
              <w:snapToGrid w:val="0"/>
              <w:rPr>
                <w:sz w:val="18"/>
                <w:szCs w:val="18"/>
              </w:rPr>
            </w:pPr>
          </w:p>
        </w:tc>
      </w:tr>
    </w:tbl>
    <w:p w14:paraId="06DD1EF3" w14:textId="62A35DFA" w:rsidR="003D709F" w:rsidRDefault="00AD3067" w:rsidP="006A6E75">
      <w:pPr>
        <w:pStyle w:val="00Text"/>
      </w:pPr>
      <w:r>
        <w:lastRenderedPageBreak/>
        <w:t xml:space="preserve">We can see the use case and merit of supporting 2 SRS resource sets with different uplink transmission configuration for codebook-based PUSCH transmission. By implementation, the UE can map different SRS resource sets on different sets or subsets of transmit antennas. That could have use case for both FR1 and FR2 systems. </w:t>
      </w:r>
      <w:r w:rsidR="00C64AB1">
        <w:t>For instance, the UE can be configured with two different SRS resource sets for CB-based PUSCH transmission. The SRS resource sets can be associated with different number of antenna ports, different subset of codebook, and even different maximal transmit power. According to the device status and transmission requirement, the UE can choose the proper SRS resource set accordingly.</w:t>
      </w:r>
    </w:p>
    <w:p w14:paraId="11E3B0FF" w14:textId="3FF57004" w:rsidR="003D709F" w:rsidRDefault="004A26D4" w:rsidP="00001BCA">
      <w:pPr>
        <w:pStyle w:val="00Text"/>
      </w:pPr>
      <w:r>
        <w:t xml:space="preserve">Regarding those two listed schemes in the agreement above, </w:t>
      </w:r>
      <w:r w:rsidR="003D709F">
        <w:t xml:space="preserve">scheme 2 is preferred since it is not necessary and also not preferred to introduce panel entity in NR specification. The panel entity is more related with particular UE hardware implementation. </w:t>
      </w:r>
      <w:r>
        <w:t xml:space="preserve"> On the basis of scheme 2, the UE can be configured with two SRS resource sets with associated number of antennas and the codebook subset. The UE can report the </w:t>
      </w:r>
      <w:r w:rsidR="006074FF">
        <w:t xml:space="preserve">supported number of antenna ports and codebook subset. </w:t>
      </w:r>
      <w:r w:rsidR="008F00CA">
        <w:t xml:space="preserve"> The selection of SRS resource set for current PUSCH transmission shall be controlled by the UE. </w:t>
      </w:r>
    </w:p>
    <w:p w14:paraId="5A558C42" w14:textId="20D1438D" w:rsidR="00E44FBA" w:rsidRDefault="00E44FBA" w:rsidP="00E44FBA">
      <w:pPr>
        <w:pStyle w:val="000proposal"/>
      </w:pPr>
      <w:bookmarkStart w:id="14" w:name="_Hlk83583353"/>
      <w:r>
        <w:t xml:space="preserve">Proposal </w:t>
      </w:r>
      <w:r w:rsidR="008C3C7D">
        <w:t>18</w:t>
      </w:r>
      <w:r>
        <w:t xml:space="preserve">: </w:t>
      </w:r>
      <w:r w:rsidR="006074FF">
        <w:t>Support a scheme based on</w:t>
      </w:r>
      <w:r>
        <w:t xml:space="preserve"> Scheme 2:</w:t>
      </w:r>
      <w:r>
        <w:tab/>
      </w:r>
    </w:p>
    <w:p w14:paraId="0038369A" w14:textId="385E347F" w:rsidR="006074FF" w:rsidRDefault="006074FF" w:rsidP="00E44FBA">
      <w:pPr>
        <w:pStyle w:val="000proposal"/>
        <w:numPr>
          <w:ilvl w:val="0"/>
          <w:numId w:val="41"/>
        </w:numPr>
      </w:pPr>
      <w:r>
        <w:t>The UE can report a list of supported uplink transmission configurations {maximal number of SRS ports, codebook subset}</w:t>
      </w:r>
    </w:p>
    <w:p w14:paraId="2A89A777" w14:textId="756D882D" w:rsidR="00E44FBA" w:rsidRDefault="00E44FBA" w:rsidP="00001BCA">
      <w:pPr>
        <w:pStyle w:val="000proposal"/>
        <w:numPr>
          <w:ilvl w:val="0"/>
          <w:numId w:val="41"/>
        </w:numPr>
      </w:pPr>
      <w:r>
        <w:t xml:space="preserve">The UE is configured with two SRS resource sets for CB-based PUSCH and each set is associated with a set of parameters of {number of antenna ports, coherence type of codebook subset}. </w:t>
      </w:r>
      <w:r w:rsidR="006A6E75">
        <w:rPr>
          <w:rFonts w:hint="eastAsia"/>
        </w:rPr>
        <w:t>The</w:t>
      </w:r>
      <w:r w:rsidR="006A6E75">
        <w:t xml:space="preserve"> </w:t>
      </w:r>
      <w:r>
        <w:t xml:space="preserve">UE </w:t>
      </w:r>
      <w:r w:rsidR="006A6E75">
        <w:rPr>
          <w:rFonts w:hint="eastAsia"/>
        </w:rPr>
        <w:t>selects</w:t>
      </w:r>
      <w:r w:rsidR="006A6E75">
        <w:t xml:space="preserve"> </w:t>
      </w:r>
      <w:r w:rsidR="006A6E75">
        <w:rPr>
          <w:rFonts w:hint="eastAsia"/>
        </w:rPr>
        <w:t>one</w:t>
      </w:r>
      <w:r w:rsidR="006A6E75">
        <w:t xml:space="preserve"> SRS resource set and </w:t>
      </w:r>
      <w:r>
        <w:t>reports that to the gNB.</w:t>
      </w:r>
    </w:p>
    <w:bookmarkEnd w:id="14"/>
    <w:p w14:paraId="2DA1CDC2" w14:textId="6D256509" w:rsidR="00374F23" w:rsidRDefault="00094E4E" w:rsidP="00374F23">
      <w:pPr>
        <w:pStyle w:val="01"/>
        <w:numPr>
          <w:ilvl w:val="0"/>
          <w:numId w:val="1"/>
        </w:numPr>
        <w:ind w:left="562" w:hanging="562"/>
      </w:pPr>
      <w:r>
        <w:t>The Issue of MPE</w:t>
      </w:r>
    </w:p>
    <w:p w14:paraId="7493F865" w14:textId="0CCC173D" w:rsidR="00957EFC" w:rsidRPr="00446013" w:rsidRDefault="00AB0969" w:rsidP="00957EFC">
      <w:pPr>
        <w:pStyle w:val="00Text"/>
      </w:pPr>
      <w:r>
        <w:t xml:space="preserve">Consider a UE has </w:t>
      </w:r>
      <w:r w:rsidR="00197A6A">
        <w:t>two</w:t>
      </w:r>
      <w:r>
        <w:t xml:space="preserve"> candidate beams for uplink transmission. They are represented by CSI-RS #1</w:t>
      </w:r>
      <w:r w:rsidR="00197A6A">
        <w:t xml:space="preserve"> and</w:t>
      </w:r>
      <w:r>
        <w:t xml:space="preserve"> CSI-RS #2. For the uplink transmission, the </w:t>
      </w:r>
      <w:r w:rsidR="002D1F8A">
        <w:t>UE determine</w:t>
      </w:r>
      <w:r w:rsidR="00661180">
        <w:t>s</w:t>
      </w:r>
      <w:r w:rsidR="002D1F8A">
        <w:t xml:space="preserve"> its maximum output power </w:t>
      </w:r>
      <w:r w:rsidR="002D1F8A" w:rsidRPr="00446013">
        <w:t>P</w:t>
      </w:r>
      <w:r w:rsidR="002D1F8A" w:rsidRPr="00446013">
        <w:rPr>
          <w:vertAlign w:val="subscript"/>
        </w:rPr>
        <w:t>CMAX,f,c</w:t>
      </w:r>
      <w:r w:rsidR="00661180">
        <w:t xml:space="preserve"> for a uplink transmission.</w:t>
      </w:r>
      <w:r w:rsidR="002D1F8A">
        <w:rPr>
          <w:vertAlign w:val="subscript"/>
        </w:rPr>
        <w:t xml:space="preserve">  </w:t>
      </w:r>
      <w:r w:rsidR="002D1F8A">
        <w:t xml:space="preserve">As specified </w:t>
      </w:r>
      <w:r w:rsidR="00957EFC">
        <w:t>in 38.101-2, i</w:t>
      </w:r>
      <w:r w:rsidR="002D1F8A" w:rsidRPr="002D1F8A">
        <w:t xml:space="preserve">n FR2, </w:t>
      </w:r>
      <w:r w:rsidR="002D1F8A">
        <w:t xml:space="preserve">the UE determines the value of </w:t>
      </w:r>
      <w:r w:rsidR="002D1F8A" w:rsidRPr="00446013">
        <w:t>P</w:t>
      </w:r>
      <w:r w:rsidR="002D1F8A" w:rsidRPr="00446013">
        <w:rPr>
          <w:vertAlign w:val="subscript"/>
        </w:rPr>
        <w:t>CMAX,f,c</w:t>
      </w:r>
      <w:r w:rsidR="002D1F8A">
        <w:t xml:space="preserve"> such that </w:t>
      </w:r>
      <w:r w:rsidR="00957EFC" w:rsidRPr="00446013">
        <w:t>the corresponding measured peak EIRP P</w:t>
      </w:r>
      <w:r w:rsidR="00957EFC" w:rsidRPr="00446013">
        <w:rPr>
          <w:vertAlign w:val="subscript"/>
        </w:rPr>
        <w:t>UMAX,f,c</w:t>
      </w:r>
      <w:r w:rsidR="00957EFC" w:rsidRPr="00446013">
        <w:t xml:space="preserve"> is within the following bounds</w:t>
      </w:r>
    </w:p>
    <w:p w14:paraId="6BAD3499" w14:textId="77777777" w:rsidR="00957EFC" w:rsidRPr="00446013" w:rsidRDefault="00957EFC" w:rsidP="00957EFC">
      <w:pPr>
        <w:pStyle w:val="00Text"/>
        <w:jc w:val="center"/>
      </w:pPr>
      <w:r w:rsidRPr="00446013">
        <w:t>P</w:t>
      </w:r>
      <w:r w:rsidRPr="00446013">
        <w:rPr>
          <w:vertAlign w:val="subscript"/>
        </w:rPr>
        <w:t>Powerclass</w:t>
      </w:r>
      <w:r w:rsidRPr="00446013">
        <w:t xml:space="preserve"> – MAX(MAX(MPR</w:t>
      </w:r>
      <w:r w:rsidRPr="00446013">
        <w:rPr>
          <w:vertAlign w:val="subscript"/>
        </w:rPr>
        <w:t>f,c</w:t>
      </w:r>
      <w:r w:rsidRPr="00446013">
        <w:t>, A- MPR</w:t>
      </w:r>
      <w:r w:rsidRPr="00446013">
        <w:rPr>
          <w:vertAlign w:val="subscript"/>
        </w:rPr>
        <w:t>f,c</w:t>
      </w:r>
      <w:r w:rsidRPr="00446013">
        <w:t>,) + ΔMB</w:t>
      </w:r>
      <w:r w:rsidRPr="00446013">
        <w:rPr>
          <w:vertAlign w:val="subscript"/>
        </w:rPr>
        <w:t>P,n</w:t>
      </w:r>
      <w:r w:rsidRPr="00446013">
        <w:t>, P-MPR</w:t>
      </w:r>
      <w:r w:rsidRPr="00446013">
        <w:rPr>
          <w:vertAlign w:val="subscript"/>
        </w:rPr>
        <w:t>f,c</w:t>
      </w:r>
      <w:r w:rsidRPr="00446013">
        <w:t>) – MAX{T(MAX(MPR</w:t>
      </w:r>
      <w:r w:rsidRPr="00446013">
        <w:rPr>
          <w:vertAlign w:val="subscript"/>
        </w:rPr>
        <w:t>f,c</w:t>
      </w:r>
      <w:r w:rsidRPr="00446013">
        <w:t>, A- MPR</w:t>
      </w:r>
      <w:r w:rsidRPr="00446013">
        <w:rPr>
          <w:vertAlign w:val="subscript"/>
        </w:rPr>
        <w:t>f,c</w:t>
      </w:r>
      <w:r w:rsidRPr="00446013">
        <w:t>,)), T(P-MPR</w:t>
      </w:r>
      <w:r w:rsidRPr="00446013">
        <w:rPr>
          <w:vertAlign w:val="subscript"/>
        </w:rPr>
        <w:t>f,c</w:t>
      </w:r>
      <w:r w:rsidRPr="00446013">
        <w:t>)} ≤ P</w:t>
      </w:r>
      <w:r w:rsidRPr="00446013">
        <w:rPr>
          <w:vertAlign w:val="subscript"/>
        </w:rPr>
        <w:t>UMAX,f,c</w:t>
      </w:r>
      <w:r w:rsidRPr="00446013">
        <w:t xml:space="preserve"> ≤ EIRP</w:t>
      </w:r>
      <w:r w:rsidRPr="00446013">
        <w:rPr>
          <w:vertAlign w:val="subscript"/>
        </w:rPr>
        <w:t>max</w:t>
      </w:r>
    </w:p>
    <w:p w14:paraId="5EA2C6B7" w14:textId="1BE885DB" w:rsidR="00C17CE4" w:rsidRDefault="00A44B7E" w:rsidP="00A44B7E">
      <w:pPr>
        <w:pStyle w:val="00Text"/>
      </w:pPr>
      <w:r>
        <w:t>w</w:t>
      </w:r>
      <w:r w:rsidR="00C17CE4" w:rsidRPr="00A44B7E">
        <w:t>here P</w:t>
      </w:r>
      <w:r w:rsidR="00C17CE4" w:rsidRPr="009C5100">
        <w:rPr>
          <w:vertAlign w:val="subscript"/>
        </w:rPr>
        <w:t>Powerclass</w:t>
      </w:r>
      <w:r w:rsidR="00C17CE4" w:rsidRPr="00A44B7E">
        <w:t xml:space="preserve"> is the UE power class and EIRP</w:t>
      </w:r>
      <w:r w:rsidR="00C17CE4" w:rsidRPr="009C5100">
        <w:rPr>
          <w:vertAlign w:val="subscript"/>
        </w:rPr>
        <w:t>max</w:t>
      </w:r>
      <w:r w:rsidR="00C17CE4" w:rsidRPr="00A44B7E">
        <w:t xml:space="preserve"> is the applicable maximum EIRP. P-MPR</w:t>
      </w:r>
      <w:r w:rsidR="00C17CE4" w:rsidRPr="009C5100">
        <w:rPr>
          <w:vertAlign w:val="subscript"/>
        </w:rPr>
        <w:t>f,c</w:t>
      </w:r>
      <w:r w:rsidR="00C17CE4" w:rsidRPr="00A44B7E">
        <w:t xml:space="preserve"> is the allowed maximum output power reduction. The UE shall apply P-MPR</w:t>
      </w:r>
      <w:r w:rsidR="00C17CE4" w:rsidRPr="009C5100">
        <w:rPr>
          <w:vertAlign w:val="subscript"/>
        </w:rPr>
        <w:t>f,c</w:t>
      </w:r>
      <w:r w:rsidR="00C17CE4" w:rsidRPr="00A44B7E">
        <w:t xml:space="preserve"> for carrier f of serving cell c to ensure compliance with applicable electromagnetic power density exposure requirements</w:t>
      </w:r>
      <w:r w:rsidRPr="00A44B7E">
        <w:t xml:space="preserve">. In Rel-16, </w:t>
      </w:r>
      <w:r w:rsidRPr="00A44B7E">
        <w:rPr>
          <w:rFonts w:hint="eastAsia"/>
        </w:rPr>
        <w:t xml:space="preserve"> </w:t>
      </w:r>
      <w:r w:rsidRPr="00A44B7E">
        <w:t xml:space="preserve">UE capability </w:t>
      </w:r>
      <w:r w:rsidRPr="00A44B7E">
        <w:rPr>
          <w:i/>
          <w:iCs/>
        </w:rPr>
        <w:t>maxUplinkDutyCycle-FR2</w:t>
      </w:r>
      <w:r w:rsidRPr="00A44B7E">
        <w:t xml:space="preserve"> is defined to specify the UE capability of facilitat</w:t>
      </w:r>
      <w:r>
        <w:t>ing</w:t>
      </w:r>
      <w:r w:rsidRPr="00A44B7E">
        <w:t xml:space="preserve"> electromagnetic power density exposure requirements.</w:t>
      </w:r>
      <w:r>
        <w:t xml:space="preserve"> If the percentage of uplink symbols transmitted within any 1 second evaluation period is larger than </w:t>
      </w:r>
      <w:r w:rsidRPr="00A44B7E">
        <w:rPr>
          <w:i/>
          <w:iCs/>
        </w:rPr>
        <w:t>maxUplinkDutyCycle-FR2</w:t>
      </w:r>
      <w:r>
        <w:t xml:space="preserve">, the UE can apply the allowed </w:t>
      </w:r>
      <w:r w:rsidRPr="00446013">
        <w:t>maximum output power reduction</w:t>
      </w:r>
      <w:r w:rsidR="009C5100">
        <w:t xml:space="preserve"> P-MPR in determining </w:t>
      </w:r>
      <w:r w:rsidR="009C5100" w:rsidRPr="00446013">
        <w:t>P</w:t>
      </w:r>
      <w:r w:rsidR="009C5100" w:rsidRPr="00446013">
        <w:rPr>
          <w:vertAlign w:val="subscript"/>
        </w:rPr>
        <w:t>CMAX,f,c</w:t>
      </w:r>
      <w:r>
        <w:t>.</w:t>
      </w:r>
    </w:p>
    <w:p w14:paraId="304629E5" w14:textId="43512066" w:rsidR="007F0B12" w:rsidRDefault="007F0B12" w:rsidP="007F0B12">
      <w:pPr>
        <w:pStyle w:val="00Text"/>
      </w:pPr>
      <w:r>
        <w:rPr>
          <w:lang w:val="en-GB"/>
        </w:rPr>
        <w:t xml:space="preserve">For </w:t>
      </w:r>
      <w:r w:rsidRPr="007F0B12">
        <w:t>each</w:t>
      </w:r>
      <w:r>
        <w:rPr>
          <w:lang w:val="en-GB"/>
        </w:rPr>
        <w:t xml:space="preserve"> particular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oMath>
      <w:r>
        <w:t>, the UE choose a value within those two bounds based on the uplink transmission duty cycle. If the UE transmits uplink with higher duty cycle, the UE would choose a smaller value and if the UE transmits uplink with lighter duty cycle, the UE could choose a large value within the bounds.</w:t>
      </w:r>
    </w:p>
    <w:p w14:paraId="1A54D208" w14:textId="133E4045" w:rsidR="00AB0969" w:rsidRDefault="00AB0969" w:rsidP="007F0B12">
      <w:pPr>
        <w:pStyle w:val="00Text"/>
      </w:pPr>
      <w:r>
        <w:t>Assume the UE determines a non-zero P-MPR value for CSI-RS#</w:t>
      </w:r>
      <w:r w:rsidR="00197A6A">
        <w:t xml:space="preserve">1 but a zero P-MPR value for CSI-RS#2. Thus, the UE could determine a smaller Pcmax for uplink transmission if CSI-RS#1 is chosen as </w:t>
      </w:r>
      <w:r w:rsidR="00197A6A">
        <w:lastRenderedPageBreak/>
        <w:t>uplink beam. For each particular uplink transmission, the system can determine the uplink beam as follows:</w:t>
      </w:r>
    </w:p>
    <w:p w14:paraId="56344106" w14:textId="5E84F086" w:rsidR="00197A6A" w:rsidRDefault="00197A6A" w:rsidP="007868EF">
      <w:pPr>
        <w:pStyle w:val="00Text"/>
        <w:numPr>
          <w:ilvl w:val="0"/>
          <w:numId w:val="29"/>
        </w:numPr>
      </w:pPr>
      <w:r>
        <w:t>Case 1: using either UL TCI state with CSI-RS#1 or UL TCI state with CSI-RS#2 does not reach the determined Pcmax. In this case, the system shall choose the CSI-RS resource with best L1-RSRP measurement so that best beam link quality is chosen for uplink transmission. This case can be supported by current spec.</w:t>
      </w:r>
    </w:p>
    <w:p w14:paraId="2D0C3287" w14:textId="696F2CEE" w:rsidR="00197A6A" w:rsidRDefault="00197A6A" w:rsidP="007868EF">
      <w:pPr>
        <w:pStyle w:val="00Text"/>
        <w:numPr>
          <w:ilvl w:val="0"/>
          <w:numId w:val="29"/>
        </w:numPr>
      </w:pPr>
      <w:r>
        <w:t>Case 2: the determined Tx power of using UL TCI state with CSI-RS#1 or UL TCI state with CSI-RS#2 goes beyond the Pcmax. In this case, it is more likely that UL TCI state with CSI-RS#1 reaches the Pcmax because the determined Pcmax for CSI-RS #1 might be smaller due to non-zero P-MPR value. In this case, the system might choose the UL TCI state with CSI-RS #2 by considering the limited Tx power if using TCI state with CSI-RS#1.</w:t>
      </w:r>
    </w:p>
    <w:p w14:paraId="030CB986" w14:textId="77777777" w:rsidR="00197A6A" w:rsidRDefault="00197A6A" w:rsidP="007F0B12">
      <w:pPr>
        <w:pStyle w:val="00Text"/>
      </w:pPr>
    </w:p>
    <w:p w14:paraId="0EC209D1" w14:textId="0CA42B4C" w:rsidR="007F0B12" w:rsidRPr="00F70BD0" w:rsidRDefault="007F0B12" w:rsidP="008D2EDA">
      <w:pPr>
        <w:pStyle w:val="000proposal"/>
        <w:rPr>
          <w:lang w:val="en-GB"/>
        </w:rPr>
      </w:pPr>
      <w:bookmarkStart w:id="15" w:name="_Hlk53586810"/>
      <w:r>
        <w:t xml:space="preserve">Observation </w:t>
      </w:r>
      <w:r w:rsidR="00300C9F">
        <w:t>1</w:t>
      </w:r>
      <w:r>
        <w:t xml:space="preserve">: </w:t>
      </w:r>
      <w:r w:rsidR="00D90EE8">
        <w:t xml:space="preserve">The MPE issue happens </w:t>
      </w:r>
      <w:r w:rsidR="000823CD">
        <w:t xml:space="preserve">only </w:t>
      </w:r>
      <w:r w:rsidR="00D90EE8">
        <w:t>when the determined Tx power for one particular uplink transmission reaches the Pcmax</w:t>
      </w:r>
      <w:r>
        <w:t xml:space="preserve">. </w:t>
      </w:r>
      <w:r w:rsidR="00D90EE8">
        <w:t xml:space="preserve"> </w:t>
      </w:r>
    </w:p>
    <w:bookmarkEnd w:id="15"/>
    <w:p w14:paraId="0835D428" w14:textId="65C0BAE5" w:rsidR="000C215F" w:rsidRDefault="000C215F" w:rsidP="00962DD7">
      <w:pPr>
        <w:pStyle w:val="00Text"/>
      </w:pPr>
      <w:r>
        <w:t>In Rel-16, MAC CE-based P-MPR reporting is specified, T</w:t>
      </w:r>
      <w:r w:rsidR="00192259">
        <w:t xml:space="preserve">he UE can report a P-MPR </w:t>
      </w:r>
      <w:r>
        <w:t xml:space="preserve">value </w:t>
      </w:r>
      <w:r w:rsidR="00192259">
        <w:t xml:space="preserve">through </w:t>
      </w:r>
      <w:r>
        <w:t xml:space="preserve">the </w:t>
      </w:r>
      <w:r w:rsidR="00192259">
        <w:t xml:space="preserve">MAC CE </w:t>
      </w:r>
      <w:r>
        <w:t>along with the PHR reporting</w:t>
      </w:r>
      <w:r w:rsidR="00192259">
        <w:t>.</w:t>
      </w:r>
      <w:r w:rsidR="00807FDB">
        <w:t xml:space="preserve"> When the P-MPR applied to meet the MPE requirement is more than or equal to a mpe-threshold for one serving cell, the UE can trigger MPE P-MPR reporting for that serving cell.</w:t>
      </w:r>
      <w:r w:rsidR="002025C8">
        <w:t xml:space="preserve"> </w:t>
      </w:r>
      <w:r>
        <w:t>Regarding the enhancement on MPE issue in Rel-17, we made the following agreement in RAN1#</w:t>
      </w:r>
      <w:r w:rsidR="00A15C77">
        <w:t>106</w:t>
      </w:r>
      <w:r w:rsidR="00691442">
        <w:t>-</w:t>
      </w:r>
      <w:r>
        <w:t>e meeting:</w:t>
      </w:r>
    </w:p>
    <w:tbl>
      <w:tblPr>
        <w:tblStyle w:val="TableGrid"/>
        <w:tblW w:w="0" w:type="auto"/>
        <w:tblLook w:val="04A0" w:firstRow="1" w:lastRow="0" w:firstColumn="1" w:lastColumn="0" w:noHBand="0" w:noVBand="1"/>
      </w:tblPr>
      <w:tblGrid>
        <w:gridCol w:w="9062"/>
      </w:tblGrid>
      <w:tr w:rsidR="000C215F" w14:paraId="3A844CD5" w14:textId="77777777" w:rsidTr="000C215F">
        <w:tc>
          <w:tcPr>
            <w:tcW w:w="9062" w:type="dxa"/>
          </w:tcPr>
          <w:p w14:paraId="745822DF" w14:textId="77777777" w:rsidR="00AF37D1" w:rsidRPr="00AF37D1" w:rsidRDefault="00AF37D1" w:rsidP="00AF37D1">
            <w:pPr>
              <w:snapToGrid w:val="0"/>
              <w:jc w:val="both"/>
              <w:rPr>
                <w:rFonts w:ascii="Times" w:eastAsia="Batang" w:hAnsi="Times"/>
                <w:b/>
                <w:bCs/>
                <w:szCs w:val="20"/>
                <w:highlight w:val="green"/>
                <w:lang w:val="en-GB" w:eastAsia="x-none"/>
              </w:rPr>
            </w:pPr>
            <w:r w:rsidRPr="00AF37D1">
              <w:rPr>
                <w:rFonts w:ascii="Times" w:eastAsia="Batang" w:hAnsi="Times"/>
                <w:b/>
                <w:bCs/>
                <w:szCs w:val="20"/>
                <w:highlight w:val="green"/>
                <w:lang w:val="en-GB" w:eastAsia="x-none"/>
              </w:rPr>
              <w:t>Agreement</w:t>
            </w:r>
          </w:p>
          <w:p w14:paraId="743EC669" w14:textId="77777777" w:rsidR="00AF37D1" w:rsidRPr="00AF37D1" w:rsidRDefault="00AF37D1" w:rsidP="00AF37D1">
            <w:pPr>
              <w:snapToGrid w:val="0"/>
              <w:jc w:val="both"/>
              <w:rPr>
                <w:rFonts w:ascii="Times" w:hAnsi="Times"/>
                <w:szCs w:val="20"/>
                <w:lang w:val="en-GB"/>
              </w:rPr>
            </w:pPr>
            <w:r w:rsidRPr="00AF37D1">
              <w:rPr>
                <w:rFonts w:ascii="Times" w:eastAsia="Batang" w:hAnsi="Times"/>
                <w:szCs w:val="20"/>
                <w:lang w:val="en-GB" w:eastAsia="zh-CN"/>
              </w:rPr>
              <w:t xml:space="preserve">On Rel.17 enhancements to facilitate MPE mitigation, </w:t>
            </w:r>
            <w:r w:rsidRPr="00AF37D1">
              <w:rPr>
                <w:rFonts w:ascii="Times" w:hAnsi="Times"/>
                <w:szCs w:val="20"/>
                <w:lang w:val="en-GB"/>
              </w:rPr>
              <w:t>support the following enhancement on the Rel-16 event-triggered P-MPR-based reporting (included in the PHR report when a threshold is reached, reported via MAC-CE):</w:t>
            </w:r>
          </w:p>
          <w:p w14:paraId="274E9EA9" w14:textId="77777777" w:rsidR="00AF37D1" w:rsidRPr="00AF37D1" w:rsidRDefault="00AF37D1" w:rsidP="00AF37D1">
            <w:pPr>
              <w:numPr>
                <w:ilvl w:val="0"/>
                <w:numId w:val="30"/>
              </w:numPr>
              <w:snapToGrid w:val="0"/>
              <w:jc w:val="both"/>
              <w:rPr>
                <w:rFonts w:ascii="Times" w:hAnsi="Times"/>
                <w:szCs w:val="20"/>
                <w:lang w:val="en-GB" w:eastAsia="x-none"/>
              </w:rPr>
            </w:pPr>
            <w:r w:rsidRPr="00AF37D1">
              <w:rPr>
                <w:rFonts w:ascii="Times" w:hAnsi="Times"/>
                <w:szCs w:val="20"/>
                <w:lang w:val="en-GB" w:eastAsia="x-none"/>
              </w:rPr>
              <w:t xml:space="preserve">In addition to the existing field in the PHR MAC-CE, N≥1 P-MPR values can be reported </w:t>
            </w:r>
          </w:p>
          <w:p w14:paraId="0E297E42" w14:textId="77777777" w:rsidR="00AF37D1" w:rsidRPr="00AF37D1" w:rsidRDefault="00AF37D1" w:rsidP="00AF37D1">
            <w:pPr>
              <w:numPr>
                <w:ilvl w:val="1"/>
                <w:numId w:val="30"/>
              </w:numPr>
              <w:snapToGrid w:val="0"/>
              <w:jc w:val="both"/>
              <w:rPr>
                <w:rFonts w:ascii="Times" w:hAnsi="Times"/>
                <w:szCs w:val="20"/>
                <w:lang w:val="en-GB" w:eastAsia="x-none"/>
              </w:rPr>
            </w:pPr>
            <w:r w:rsidRPr="00AF37D1">
              <w:rPr>
                <w:rFonts w:ascii="Times" w:hAnsi="Times"/>
                <w:szCs w:val="20"/>
                <w:lang w:val="en-GB" w:eastAsia="x-none"/>
              </w:rPr>
              <w:t>The N P-MPR values are reported together with the following:</w:t>
            </w:r>
          </w:p>
          <w:p w14:paraId="68DD5AAE" w14:textId="77777777" w:rsidR="00AF37D1" w:rsidRPr="00AF37D1" w:rsidRDefault="00AF37D1" w:rsidP="00AF37D1">
            <w:pPr>
              <w:numPr>
                <w:ilvl w:val="2"/>
                <w:numId w:val="30"/>
              </w:numPr>
              <w:snapToGrid w:val="0"/>
              <w:jc w:val="both"/>
              <w:rPr>
                <w:rFonts w:ascii="Times" w:hAnsi="Times"/>
                <w:szCs w:val="20"/>
                <w:lang w:val="en-GB" w:eastAsia="x-none"/>
              </w:rPr>
            </w:pPr>
            <w:r w:rsidRPr="00AF37D1">
              <w:rPr>
                <w:rFonts w:ascii="Times" w:hAnsi="Times"/>
                <w:szCs w:val="20"/>
                <w:lang w:val="en-GB" w:eastAsia="x-none"/>
              </w:rPr>
              <w:t>(</w:t>
            </w:r>
            <w:r w:rsidRPr="00AF37D1">
              <w:rPr>
                <w:rFonts w:ascii="Times" w:hAnsi="Times"/>
                <w:szCs w:val="20"/>
                <w:highlight w:val="darkYellow"/>
                <w:lang w:val="en-GB" w:eastAsia="x-none"/>
              </w:rPr>
              <w:t>Working Assumption</w:t>
            </w:r>
            <w:r w:rsidRPr="00AF37D1">
              <w:rPr>
                <w:rFonts w:ascii="Times" w:hAnsi="Times"/>
                <w:szCs w:val="20"/>
                <w:lang w:val="en-GB" w:eastAsia="x-none"/>
              </w:rPr>
              <w:t>) For each P-MPR value, up to M SSBRI(s)/CRI(s), where the SSBRI(s)/CRI(s) is selected by the UE from a candidate SSB/CSI-RS resource pool (FFS: how to perform the selection)</w:t>
            </w:r>
          </w:p>
          <w:p w14:paraId="0EECA19A" w14:textId="77777777" w:rsidR="00AF37D1" w:rsidRPr="00AF37D1" w:rsidRDefault="00AF37D1" w:rsidP="00AF37D1">
            <w:pPr>
              <w:numPr>
                <w:ilvl w:val="3"/>
                <w:numId w:val="30"/>
              </w:numPr>
              <w:snapToGrid w:val="0"/>
              <w:jc w:val="both"/>
              <w:rPr>
                <w:rFonts w:ascii="Times" w:hAnsi="Times"/>
                <w:szCs w:val="20"/>
                <w:lang w:val="en-GB" w:eastAsia="x-none"/>
              </w:rPr>
            </w:pPr>
            <w:r w:rsidRPr="00AF37D1">
              <w:rPr>
                <w:rFonts w:ascii="Times" w:hAnsi="Times"/>
                <w:szCs w:val="20"/>
                <w:lang w:val="en-GB" w:eastAsia="x-none"/>
              </w:rPr>
              <w:t>FFS: The supported value(s) of M</w:t>
            </w:r>
          </w:p>
          <w:p w14:paraId="27004300" w14:textId="77777777" w:rsidR="00AF37D1" w:rsidRPr="00AF37D1" w:rsidRDefault="00AF37D1" w:rsidP="00AF37D1">
            <w:pPr>
              <w:numPr>
                <w:ilvl w:val="0"/>
                <w:numId w:val="30"/>
              </w:numPr>
              <w:snapToGrid w:val="0"/>
              <w:jc w:val="both"/>
              <w:rPr>
                <w:rFonts w:ascii="Times" w:hAnsi="Times"/>
                <w:szCs w:val="20"/>
                <w:lang w:val="en-GB" w:eastAsia="x-none"/>
              </w:rPr>
            </w:pPr>
            <w:r w:rsidRPr="00AF37D1">
              <w:rPr>
                <w:rFonts w:ascii="Times" w:hAnsi="Times"/>
                <w:szCs w:val="20"/>
                <w:lang w:val="en-GB" w:eastAsia="x-none"/>
              </w:rPr>
              <w:t>FFS: Whether N represents the number of selected beams or the number of panels</w:t>
            </w:r>
          </w:p>
          <w:p w14:paraId="5017175D" w14:textId="77777777" w:rsidR="00AF37D1" w:rsidRPr="00AF37D1" w:rsidRDefault="00AF37D1" w:rsidP="00AF37D1">
            <w:pPr>
              <w:numPr>
                <w:ilvl w:val="0"/>
                <w:numId w:val="30"/>
              </w:numPr>
              <w:snapToGrid w:val="0"/>
              <w:jc w:val="both"/>
              <w:rPr>
                <w:rFonts w:ascii="Times" w:hAnsi="Times"/>
                <w:szCs w:val="20"/>
                <w:lang w:val="en-GB" w:eastAsia="x-none"/>
              </w:rPr>
            </w:pPr>
            <w:r w:rsidRPr="00AF37D1">
              <w:rPr>
                <w:rFonts w:ascii="Times" w:hAnsi="Times"/>
                <w:szCs w:val="20"/>
                <w:lang w:val="en-GB" w:eastAsia="x-none"/>
              </w:rPr>
              <w:t>FFS: Supported values of N</w:t>
            </w:r>
          </w:p>
          <w:p w14:paraId="20E825C0" w14:textId="77777777" w:rsidR="00AF37D1" w:rsidRPr="00AF37D1" w:rsidRDefault="00AF37D1" w:rsidP="00AF37D1">
            <w:pPr>
              <w:numPr>
                <w:ilvl w:val="0"/>
                <w:numId w:val="30"/>
              </w:numPr>
              <w:snapToGrid w:val="0"/>
              <w:jc w:val="both"/>
              <w:rPr>
                <w:rFonts w:ascii="Times" w:hAnsi="Times"/>
                <w:szCs w:val="20"/>
                <w:lang w:val="en-GB" w:eastAsia="x-none"/>
              </w:rPr>
            </w:pPr>
            <w:r w:rsidRPr="00AF37D1">
              <w:rPr>
                <w:rFonts w:ascii="Times" w:hAnsi="Times"/>
                <w:szCs w:val="20"/>
                <w:lang w:val="en-GB" w:eastAsia="x-none"/>
              </w:rPr>
              <w:t xml:space="preserve">FFS: Whether beam-specific and/or panel-specific PHR is also reported </w:t>
            </w:r>
          </w:p>
          <w:p w14:paraId="04FCFDDC" w14:textId="77777777" w:rsidR="00AF37D1" w:rsidRPr="00AF37D1" w:rsidRDefault="00AF37D1" w:rsidP="00AF37D1">
            <w:pPr>
              <w:numPr>
                <w:ilvl w:val="0"/>
                <w:numId w:val="30"/>
              </w:numPr>
              <w:snapToGrid w:val="0"/>
              <w:jc w:val="both"/>
              <w:rPr>
                <w:rFonts w:ascii="Times" w:hAnsi="Times"/>
                <w:szCs w:val="20"/>
                <w:lang w:val="en-GB" w:eastAsia="x-none"/>
              </w:rPr>
            </w:pPr>
            <w:r w:rsidRPr="00AF37D1">
              <w:rPr>
                <w:rFonts w:ascii="Times" w:hAnsi="Times"/>
                <w:szCs w:val="20"/>
                <w:lang w:val="en-GB" w:eastAsia="x-none"/>
              </w:rPr>
              <w:t xml:space="preserve">FFS: Additional reporting quantities, e.g. SSBRI/CRI, </w:t>
            </w:r>
            <w:r w:rsidRPr="00AF37D1">
              <w:rPr>
                <w:rFonts w:ascii="Times" w:eastAsia="Batang" w:hAnsi="Times"/>
                <w:szCs w:val="20"/>
                <w:lang w:val="en-GB" w:eastAsia="zh-CN"/>
              </w:rPr>
              <w:t>MPR+DL RSRP, or modified virtual PHR</w:t>
            </w:r>
          </w:p>
          <w:p w14:paraId="78A3A2DB" w14:textId="77777777" w:rsidR="00AF37D1" w:rsidRPr="00AF37D1" w:rsidRDefault="00AF37D1" w:rsidP="00AF37D1">
            <w:pPr>
              <w:numPr>
                <w:ilvl w:val="0"/>
                <w:numId w:val="30"/>
              </w:numPr>
              <w:snapToGrid w:val="0"/>
              <w:jc w:val="both"/>
              <w:rPr>
                <w:rFonts w:ascii="Times" w:hAnsi="Times"/>
                <w:szCs w:val="20"/>
                <w:lang w:val="en-GB" w:eastAsia="x-none"/>
              </w:rPr>
            </w:pPr>
            <w:r w:rsidRPr="00AF37D1">
              <w:rPr>
                <w:rFonts w:ascii="Times" w:hAnsi="Times"/>
                <w:szCs w:val="20"/>
                <w:lang w:val="en-GB" w:eastAsia="x-none"/>
              </w:rPr>
              <w:t xml:space="preserve">FFS: </w:t>
            </w:r>
            <w:r w:rsidRPr="00AF37D1">
              <w:rPr>
                <w:rFonts w:ascii="Times" w:eastAsia="Batang" w:hAnsi="Times"/>
                <w:szCs w:val="20"/>
                <w:lang w:val="en-GB" w:eastAsia="zh-CN"/>
              </w:rPr>
              <w:t>additional signaling (e.g. CSI triggering) from the NW</w:t>
            </w:r>
          </w:p>
          <w:p w14:paraId="07EA1716" w14:textId="13B3823D" w:rsidR="000C215F" w:rsidRDefault="000C215F" w:rsidP="005261A8">
            <w:pPr>
              <w:snapToGrid w:val="0"/>
              <w:jc w:val="both"/>
            </w:pPr>
          </w:p>
        </w:tc>
      </w:tr>
    </w:tbl>
    <w:p w14:paraId="14D447D7" w14:textId="46AC817C" w:rsidR="000C215F" w:rsidRDefault="000D4D1E" w:rsidP="00962DD7">
      <w:pPr>
        <w:pStyle w:val="00Text"/>
      </w:pPr>
      <w:r>
        <w:t>Among all the listed alternatives, we prefer the enhancement based on rel-16 MAC CE-based P-MPR reporting. In rel16, the UE reports the P-MPR for the current configuration of uplink transmission.</w:t>
      </w:r>
      <w:r w:rsidR="00AE23A6">
        <w:t xml:space="preserve"> When the system receives P-MPR report, the gNB can determine whether to switch to another uplink transmission beam or keep the current beam. In rel17, a few UL TCI (or joint TCI) are first activated through MAC CE, which provides the candidate UL TCI for DCI indication. The UE can report the P-MPR values for each activated UL TCI. With such information, the gNB can choose the ‘best’ UL TCI for uplink transmission.</w:t>
      </w:r>
      <w:r w:rsidR="00AE23A6">
        <w:rPr>
          <w:rFonts w:hint="eastAsia"/>
        </w:rPr>
        <w:t xml:space="preserve">　</w:t>
      </w:r>
      <w:r>
        <w:t xml:space="preserve">   </w:t>
      </w:r>
    </w:p>
    <w:p w14:paraId="0A886E34" w14:textId="0623DE9C" w:rsidR="000208E3" w:rsidRDefault="000208E3" w:rsidP="00694194">
      <w:pPr>
        <w:pStyle w:val="000proposals"/>
        <w:rPr>
          <w:i/>
          <w:iCs w:val="0"/>
        </w:rPr>
      </w:pPr>
      <w:bookmarkStart w:id="16" w:name="_Hlk71484967"/>
      <w:bookmarkStart w:id="17" w:name="_Hlk78827476"/>
      <w:r>
        <w:rPr>
          <w:i/>
          <w:iCs w:val="0"/>
        </w:rPr>
        <w:t xml:space="preserve">Proposal </w:t>
      </w:r>
      <w:r w:rsidR="008C3C7D">
        <w:rPr>
          <w:i/>
          <w:iCs w:val="0"/>
        </w:rPr>
        <w:t>19</w:t>
      </w:r>
      <w:r>
        <w:rPr>
          <w:i/>
          <w:iCs w:val="0"/>
        </w:rPr>
        <w:t xml:space="preserve">: The reported N P-MPR values corresponds to N selected TCI states. </w:t>
      </w:r>
    </w:p>
    <w:p w14:paraId="0F731F03" w14:textId="0681F0A1" w:rsidR="000208E3" w:rsidRDefault="000208E3" w:rsidP="00694194">
      <w:pPr>
        <w:pStyle w:val="000proposals"/>
        <w:rPr>
          <w:i/>
          <w:iCs w:val="0"/>
        </w:rPr>
      </w:pPr>
      <w:r>
        <w:rPr>
          <w:i/>
          <w:iCs w:val="0"/>
        </w:rPr>
        <w:t xml:space="preserve">Proposal </w:t>
      </w:r>
      <w:r w:rsidR="008C3C7D">
        <w:rPr>
          <w:i/>
          <w:iCs w:val="0"/>
        </w:rPr>
        <w:t>20</w:t>
      </w:r>
      <w:r>
        <w:rPr>
          <w:i/>
          <w:iCs w:val="0"/>
        </w:rPr>
        <w:t xml:space="preserve">: In addition to P-MPR value, the UE also reports a virtual PHR corresponding to </w:t>
      </w:r>
      <w:r w:rsidR="00B56213">
        <w:rPr>
          <w:i/>
          <w:iCs w:val="0"/>
        </w:rPr>
        <w:t>each</w:t>
      </w:r>
      <w:r>
        <w:rPr>
          <w:i/>
          <w:iCs w:val="0"/>
        </w:rPr>
        <w:t xml:space="preserve"> TCI state</w:t>
      </w:r>
    </w:p>
    <w:bookmarkEnd w:id="16"/>
    <w:bookmarkEnd w:id="17"/>
    <w:p w14:paraId="7F48BCBD" w14:textId="12C9D816" w:rsidR="006A3087" w:rsidRDefault="00115D50" w:rsidP="006A3087">
      <w:pPr>
        <w:pStyle w:val="01"/>
        <w:numPr>
          <w:ilvl w:val="0"/>
          <w:numId w:val="1"/>
        </w:numPr>
        <w:ind w:left="562" w:hanging="562"/>
      </w:pPr>
      <w:r>
        <w:t>Further Enhancements</w:t>
      </w:r>
    </w:p>
    <w:p w14:paraId="147BAEF4" w14:textId="55E40077" w:rsidR="00D03EB9" w:rsidRDefault="00353831" w:rsidP="00B215B0">
      <w:pPr>
        <w:pStyle w:val="00Text"/>
      </w:pPr>
      <w:r w:rsidRPr="00B215B0">
        <w:t>As agreed in RAN1#</w:t>
      </w:r>
      <w:r w:rsidR="00D03EB9" w:rsidRPr="00B215B0">
        <w:t>10</w:t>
      </w:r>
      <w:r w:rsidR="00DB67C3">
        <w:t>5</w:t>
      </w:r>
      <w:r w:rsidR="00D03EB9" w:rsidRPr="00B215B0">
        <w:t>e</w:t>
      </w:r>
      <w:r w:rsidRPr="00B215B0">
        <w:t xml:space="preserve">, </w:t>
      </w:r>
      <w:r w:rsidR="00DB67C3">
        <w:t>we can focus on studying the following cases</w:t>
      </w:r>
      <w:r w:rsidR="00D03EB9">
        <w:t>:</w:t>
      </w:r>
    </w:p>
    <w:tbl>
      <w:tblPr>
        <w:tblStyle w:val="TableGrid"/>
        <w:tblW w:w="0" w:type="auto"/>
        <w:tblLook w:val="04A0" w:firstRow="1" w:lastRow="0" w:firstColumn="1" w:lastColumn="0" w:noHBand="0" w:noVBand="1"/>
      </w:tblPr>
      <w:tblGrid>
        <w:gridCol w:w="9062"/>
      </w:tblGrid>
      <w:tr w:rsidR="00D03EB9" w14:paraId="52C4A9FD" w14:textId="77777777" w:rsidTr="00D03EB9">
        <w:tc>
          <w:tcPr>
            <w:tcW w:w="9062" w:type="dxa"/>
          </w:tcPr>
          <w:p w14:paraId="41090A4B" w14:textId="77777777" w:rsidR="00AE103A" w:rsidRPr="00AE103A" w:rsidRDefault="00AE103A" w:rsidP="00AE103A">
            <w:pPr>
              <w:jc w:val="both"/>
              <w:rPr>
                <w:rFonts w:ascii="Times" w:eastAsia="Malgun Gothic" w:hAnsi="Times" w:cs="Times"/>
                <w:szCs w:val="22"/>
                <w:lang w:eastAsia="ko-KR"/>
              </w:rPr>
            </w:pPr>
            <w:r w:rsidRPr="00AE103A">
              <w:rPr>
                <w:rFonts w:ascii="Times" w:eastAsia="Batang" w:hAnsi="Times" w:cs="Times"/>
                <w:b/>
                <w:bCs/>
                <w:szCs w:val="22"/>
                <w:highlight w:val="green"/>
                <w:lang w:val="en-GB"/>
              </w:rPr>
              <w:lastRenderedPageBreak/>
              <w:t>Agreement</w:t>
            </w:r>
          </w:p>
          <w:p w14:paraId="12DCA5E8" w14:textId="77777777" w:rsidR="00AE103A" w:rsidRPr="00AE103A" w:rsidRDefault="00AE103A" w:rsidP="00AE103A">
            <w:pPr>
              <w:jc w:val="both"/>
              <w:rPr>
                <w:rFonts w:ascii="Times" w:eastAsia="Batang" w:hAnsi="Times" w:cs="Times"/>
                <w:szCs w:val="22"/>
                <w:lang w:val="en-GB"/>
              </w:rPr>
            </w:pPr>
            <w:r w:rsidRPr="00AE103A">
              <w:rPr>
                <w:rFonts w:ascii="Times" w:eastAsia="Batang" w:hAnsi="Times" w:cs="Times"/>
                <w:szCs w:val="22"/>
                <w:lang w:val="en-GB"/>
              </w:rPr>
              <w:t>On Rel-17 enhancements to facilitate advanced beam refinement/tracking, in Rel-17, further focus study (including down-selection) and, if needed, specification effort on Opt 1-A as agreed in RAN1#105-e (UE -initiated beam selection/activation based on beam measurement and/or reporting, without beam indication or activation from NW) comprising: </w:t>
            </w:r>
          </w:p>
          <w:p w14:paraId="35D573C6" w14:textId="77777777" w:rsidR="00AE103A" w:rsidRPr="00AE103A" w:rsidRDefault="00AE103A" w:rsidP="00AE103A">
            <w:pPr>
              <w:numPr>
                <w:ilvl w:val="0"/>
                <w:numId w:val="37"/>
              </w:numPr>
              <w:rPr>
                <w:rFonts w:ascii="Times" w:hAnsi="Times" w:cs="Times"/>
                <w:szCs w:val="22"/>
                <w:lang w:val="en-GB"/>
              </w:rPr>
            </w:pPr>
            <w:r w:rsidRPr="00AE103A">
              <w:rPr>
                <w:rFonts w:ascii="Times" w:hAnsi="Times" w:cs="Times"/>
                <w:szCs w:val="22"/>
                <w:lang w:val="en-GB"/>
              </w:rPr>
              <w:t>UE -initiated (DL-only or DL/UL) beam selection, including the following options</w:t>
            </w:r>
          </w:p>
          <w:p w14:paraId="58C73923" w14:textId="77777777" w:rsidR="00AE103A" w:rsidRPr="00AE103A" w:rsidRDefault="00AE103A" w:rsidP="00AE103A">
            <w:pPr>
              <w:numPr>
                <w:ilvl w:val="1"/>
                <w:numId w:val="37"/>
              </w:numPr>
              <w:rPr>
                <w:rFonts w:ascii="Times" w:hAnsi="Times" w:cs="Times"/>
                <w:szCs w:val="22"/>
                <w:lang w:val="en-GB"/>
              </w:rPr>
            </w:pPr>
            <w:r w:rsidRPr="00AE103A">
              <w:rPr>
                <w:rFonts w:ascii="Times" w:hAnsi="Times" w:cs="Times"/>
                <w:szCs w:val="22"/>
                <w:lang w:val="en-GB"/>
              </w:rPr>
              <w:t>Opt1. The selected beam is reported by an event-triggered UE beam reporting via, e.g. UCI , MAC CE, UL CG, or Type 1/Type 2 CBRA/CFRA</w:t>
            </w:r>
          </w:p>
          <w:p w14:paraId="6DE7D51F" w14:textId="77777777" w:rsidR="00AE103A" w:rsidRPr="00AE103A" w:rsidRDefault="00AE103A" w:rsidP="00AE103A">
            <w:pPr>
              <w:numPr>
                <w:ilvl w:val="1"/>
                <w:numId w:val="37"/>
              </w:numPr>
              <w:rPr>
                <w:rFonts w:ascii="Times" w:hAnsi="Times" w:cs="Times"/>
                <w:szCs w:val="22"/>
                <w:lang w:val="en-GB"/>
              </w:rPr>
            </w:pPr>
            <w:r w:rsidRPr="00AE103A">
              <w:rPr>
                <w:rFonts w:ascii="Times" w:hAnsi="Times" w:cs="Times"/>
                <w:szCs w:val="22"/>
                <w:lang w:val="en-GB"/>
              </w:rPr>
              <w:t>Opt2. The selected beam is reported by a legacy UE beam report (NW-configured)</w:t>
            </w:r>
          </w:p>
          <w:p w14:paraId="71E7E531" w14:textId="77777777" w:rsidR="00AE103A" w:rsidRPr="00AE103A" w:rsidRDefault="00AE103A" w:rsidP="00AE103A">
            <w:pPr>
              <w:numPr>
                <w:ilvl w:val="1"/>
                <w:numId w:val="37"/>
              </w:numPr>
              <w:rPr>
                <w:rFonts w:ascii="Times" w:hAnsi="Times" w:cs="Times"/>
                <w:szCs w:val="22"/>
                <w:lang w:val="en-GB"/>
              </w:rPr>
            </w:pPr>
            <w:r w:rsidRPr="00AE103A">
              <w:rPr>
                <w:rFonts w:ascii="Times" w:hAnsi="Times" w:cs="Times"/>
                <w:szCs w:val="22"/>
                <w:lang w:val="en-GB"/>
              </w:rPr>
              <w:t>FFS on triggering condition and NW-indication of a beam group in which the UE is allowed to do the beam selection, e.g., the NW-indication via MAC-CE</w:t>
            </w:r>
          </w:p>
          <w:p w14:paraId="68508E65" w14:textId="77777777" w:rsidR="00AE103A" w:rsidRPr="00AE103A" w:rsidRDefault="00AE103A" w:rsidP="00AE103A">
            <w:pPr>
              <w:numPr>
                <w:ilvl w:val="1"/>
                <w:numId w:val="37"/>
              </w:numPr>
              <w:rPr>
                <w:rFonts w:ascii="Times" w:hAnsi="Times" w:cs="Times"/>
                <w:szCs w:val="22"/>
                <w:lang w:val="en-GB"/>
              </w:rPr>
            </w:pPr>
            <w:r w:rsidRPr="00AE103A">
              <w:rPr>
                <w:rFonts w:ascii="Times" w:hAnsi="Times" w:cs="Times"/>
                <w:szCs w:val="22"/>
                <w:lang w:val="en-GB"/>
              </w:rPr>
              <w:t>FFS : NW confirmation, e.g. if no NW beam selection command overwriting the selected beam is received in a time window after the report</w:t>
            </w:r>
          </w:p>
          <w:p w14:paraId="7573B3CC" w14:textId="77777777" w:rsidR="00AE103A" w:rsidRPr="00AE103A" w:rsidRDefault="00AE103A" w:rsidP="00AE103A">
            <w:pPr>
              <w:numPr>
                <w:ilvl w:val="0"/>
                <w:numId w:val="37"/>
              </w:numPr>
              <w:rPr>
                <w:rFonts w:ascii="Times" w:hAnsi="Times" w:cs="Times"/>
                <w:szCs w:val="22"/>
                <w:lang w:val="en-GB"/>
              </w:rPr>
            </w:pPr>
            <w:r w:rsidRPr="00AE103A">
              <w:rPr>
                <w:rFonts w:ascii="Times" w:hAnsi="Times" w:cs="Times"/>
                <w:szCs w:val="22"/>
                <w:lang w:val="en-GB"/>
              </w:rPr>
              <w:t>UE-initiated beam activation based on beam reporting </w:t>
            </w:r>
            <w:r w:rsidRPr="00AE103A">
              <w:rPr>
                <w:rFonts w:ascii="Times" w:hAnsi="Times"/>
                <w:lang w:val="en-GB"/>
              </w:rPr>
              <w:t> </w:t>
            </w:r>
          </w:p>
          <w:p w14:paraId="72C583A8" w14:textId="77777777" w:rsidR="00AE103A" w:rsidRPr="00AE103A" w:rsidRDefault="00AE103A" w:rsidP="00AE103A">
            <w:pPr>
              <w:numPr>
                <w:ilvl w:val="1"/>
                <w:numId w:val="37"/>
              </w:numPr>
              <w:rPr>
                <w:rFonts w:ascii="Times" w:hAnsi="Times" w:cs="Times"/>
                <w:szCs w:val="22"/>
                <w:lang w:val="en-GB"/>
              </w:rPr>
            </w:pPr>
            <w:r w:rsidRPr="00AE103A">
              <w:rPr>
                <w:rFonts w:ascii="Times" w:hAnsi="Times" w:cs="Times"/>
                <w:szCs w:val="22"/>
                <w:lang w:val="en-GB"/>
              </w:rPr>
              <w:t>The reported beam(s) are activated as active TCI/spatial relation RS(s) automatically w/o NW activation command after receiving gNB response signalling , e.g. DCI/MAC CE</w:t>
            </w:r>
          </w:p>
          <w:p w14:paraId="1E58A943" w14:textId="77777777" w:rsidR="00AE103A" w:rsidRPr="00AE103A" w:rsidRDefault="00AE103A" w:rsidP="00AE103A">
            <w:pPr>
              <w:numPr>
                <w:ilvl w:val="1"/>
                <w:numId w:val="37"/>
              </w:numPr>
              <w:rPr>
                <w:rFonts w:ascii="Times" w:hAnsi="Times" w:cs="Times"/>
                <w:szCs w:val="22"/>
                <w:lang w:val="en-GB"/>
              </w:rPr>
            </w:pPr>
            <w:r w:rsidRPr="00AE103A">
              <w:rPr>
                <w:rFonts w:ascii="Times" w:hAnsi="Times" w:cs="Times"/>
                <w:szCs w:val="22"/>
                <w:lang w:val="en-GB"/>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4A62321A" w14:textId="77777777" w:rsidR="00AE103A" w:rsidRPr="00AE103A" w:rsidRDefault="00AE103A" w:rsidP="00AE103A">
            <w:pPr>
              <w:numPr>
                <w:ilvl w:val="0"/>
                <w:numId w:val="37"/>
              </w:numPr>
              <w:rPr>
                <w:rFonts w:ascii="Times" w:hAnsi="Times" w:cs="Times"/>
                <w:szCs w:val="22"/>
                <w:lang w:val="en-GB"/>
              </w:rPr>
            </w:pPr>
            <w:r w:rsidRPr="00AE103A">
              <w:rPr>
                <w:rFonts w:ascii="Times" w:hAnsi="Times" w:cs="Times"/>
                <w:szCs w:val="22"/>
                <w:lang w:val="en-GB"/>
              </w:rPr>
              <w:t>UE -initiated UL-only beam selection considering potential misalignment between network and UE on the selected beams</w:t>
            </w:r>
          </w:p>
          <w:p w14:paraId="3428E337" w14:textId="77777777" w:rsidR="00AE103A" w:rsidRPr="00AE103A" w:rsidRDefault="00AE103A" w:rsidP="00AE103A">
            <w:pPr>
              <w:numPr>
                <w:ilvl w:val="1"/>
                <w:numId w:val="37"/>
              </w:numPr>
              <w:rPr>
                <w:rFonts w:ascii="Times" w:hAnsi="Times" w:cs="Times"/>
                <w:szCs w:val="22"/>
                <w:lang w:val="en-GB"/>
              </w:rPr>
            </w:pPr>
            <w:r w:rsidRPr="00AE103A">
              <w:rPr>
                <w:rFonts w:ascii="Times" w:hAnsi="Times" w:cs="Times"/>
                <w:szCs w:val="22"/>
                <w:lang w:val="en-GB"/>
              </w:rPr>
              <w:t>The UE can select an alternative beam from the other beams in the gNB -configured set containing more than one UL beam</w:t>
            </w:r>
          </w:p>
          <w:p w14:paraId="37FBD26E" w14:textId="280682A2" w:rsidR="00D03EB9" w:rsidRDefault="00D03EB9" w:rsidP="00795ADD"/>
        </w:tc>
      </w:tr>
    </w:tbl>
    <w:p w14:paraId="14E0F31E" w14:textId="78880ACF" w:rsidR="000305B5" w:rsidRDefault="001B796B" w:rsidP="0018469D">
      <w:pPr>
        <w:pStyle w:val="00Text"/>
      </w:pPr>
      <w:r>
        <w:t xml:space="preserve">In our view, </w:t>
      </w:r>
      <w:r w:rsidR="00944452">
        <w:t>UE-initiated beam switching</w:t>
      </w:r>
      <w:r w:rsidR="00175BB6">
        <w:t xml:space="preserve"> in benefical</w:t>
      </w:r>
      <w:r w:rsidR="00944452">
        <w:t xml:space="preserve">.  </w:t>
      </w:r>
      <w:r w:rsidR="00AE07A0">
        <w:t xml:space="preserve">In Rel.15 and Rel.16, the beam switching of PDCCH/PDSCH and PUSCH and PUCCH are </w:t>
      </w:r>
      <w:r w:rsidR="00B215B0">
        <w:t xml:space="preserve">always initiated by the gNB. </w:t>
      </w:r>
      <w:r w:rsidR="00944452">
        <w:t>In</w:t>
      </w:r>
      <w:r w:rsidR="00B215B0">
        <w:t xml:space="preserve"> Rel.17 FeMIMO, the dynamic TCI state update is also initiated by the gNB. </w:t>
      </w:r>
      <w:r w:rsidR="00944452">
        <w:t>The drawback of NW-initiated beam switching is long latency. E</w:t>
      </w:r>
      <w:r w:rsidR="00210CEA">
        <w:t>ven though the UE knows which beam is the best beam for DL transmission and/or uplink transmission by measuring the CSI-RS resources for beam management, the UE still need to wait for the beam switch command</w:t>
      </w:r>
      <w:r w:rsidR="00944452">
        <w:t>,</w:t>
      </w:r>
      <w:r w:rsidR="00210CEA">
        <w:t xml:space="preserve"> </w:t>
      </w:r>
      <w:r w:rsidR="00944452">
        <w:t>which</w:t>
      </w:r>
      <w:r w:rsidR="00210CEA">
        <w:t xml:space="preserve"> introduces both extra signaling overhead and latency for beam switch.</w:t>
      </w:r>
      <w:r w:rsidR="00944452">
        <w:t xml:space="preserve"> </w:t>
      </w:r>
      <w:r w:rsidR="00210CEA">
        <w:t>To resolve that issue, we propose to study</w:t>
      </w:r>
      <w:r w:rsidR="00944452">
        <w:t xml:space="preserve"> and support</w:t>
      </w:r>
      <w:r w:rsidR="00210CEA">
        <w:t xml:space="preserve"> UE-initiated beam switch. </w:t>
      </w:r>
      <w:r w:rsidR="00944452">
        <w:t>T</w:t>
      </w:r>
      <w:r w:rsidR="0051236D">
        <w:t>he UE can measure the CSI-RS resources for BM and then select the ‘best’ beam for DL transmission and/or UL transmission</w:t>
      </w:r>
      <w:r w:rsidR="00944452">
        <w:t xml:space="preserve"> and t</w:t>
      </w:r>
      <w:r w:rsidR="0051236D">
        <w:t>hen the UE can indicate the selected ‘best’ beam to the NW</w:t>
      </w:r>
      <w:r w:rsidR="000305B5">
        <w:t xml:space="preserve"> and both gNB and UE switch the beam starting from a given time point after that. </w:t>
      </w:r>
      <w:r>
        <w:t xml:space="preserve">For detailed discussions, please refer to our companion contribution [2]. </w:t>
      </w:r>
      <w:r w:rsidR="0018469D">
        <w:t>Particularly, the first option of UE-initiated beam selection is preferred for further discussion to support the feature of UE-initiated beam switching.</w:t>
      </w:r>
    </w:p>
    <w:p w14:paraId="4489B580" w14:textId="42394154" w:rsidR="000305B5" w:rsidRPr="00795ADD" w:rsidRDefault="000305B5" w:rsidP="000305B5">
      <w:pPr>
        <w:pStyle w:val="000proposals"/>
        <w:rPr>
          <w:i/>
          <w:iCs w:val="0"/>
        </w:rPr>
      </w:pPr>
      <w:bookmarkStart w:id="18" w:name="_Hlk71484981"/>
      <w:r w:rsidRPr="00795ADD">
        <w:rPr>
          <w:i/>
          <w:iCs w:val="0"/>
        </w:rPr>
        <w:t xml:space="preserve">Proposal </w:t>
      </w:r>
      <w:r w:rsidR="008C3C7D">
        <w:rPr>
          <w:i/>
          <w:iCs w:val="0"/>
        </w:rPr>
        <w:t>21</w:t>
      </w:r>
      <w:r w:rsidRPr="00795ADD">
        <w:rPr>
          <w:i/>
          <w:iCs w:val="0"/>
        </w:rPr>
        <w:t xml:space="preserve">: </w:t>
      </w:r>
      <w:r w:rsidR="0018469D">
        <w:rPr>
          <w:i/>
          <w:iCs w:val="0"/>
        </w:rPr>
        <w:t>Support UE-initiated beam selection.</w:t>
      </w:r>
      <w:r w:rsidRPr="00795ADD">
        <w:rPr>
          <w:i/>
          <w:iCs w:val="0"/>
        </w:rPr>
        <w:t xml:space="preserve"> </w:t>
      </w:r>
    </w:p>
    <w:bookmarkEnd w:id="18"/>
    <w:p w14:paraId="69A8645B" w14:textId="7731E88F" w:rsidR="00F65FEA" w:rsidRDefault="00F65FEA" w:rsidP="00F65FEA">
      <w:pPr>
        <w:pStyle w:val="01"/>
        <w:numPr>
          <w:ilvl w:val="0"/>
          <w:numId w:val="1"/>
        </w:numPr>
        <w:ind w:left="562" w:hanging="562"/>
      </w:pPr>
      <w:r>
        <w:t>Conclusion</w:t>
      </w:r>
    </w:p>
    <w:p w14:paraId="70DE1571" w14:textId="05AA48A5" w:rsidR="00B2111F" w:rsidRDefault="002328B0" w:rsidP="002328B0">
      <w:pPr>
        <w:pStyle w:val="00Text"/>
      </w:pPr>
      <w:r w:rsidRPr="001B2F18">
        <w:t xml:space="preserve">In this contribution, we presented our views on </w:t>
      </w:r>
      <w:r w:rsidR="00294100">
        <w:t>enhancement</w:t>
      </w:r>
      <w:r w:rsidR="004A040F">
        <w:t>s</w:t>
      </w:r>
      <w:r w:rsidR="00294100">
        <w:t xml:space="preserve"> for multi-beam operation</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and observations</w:t>
      </w:r>
      <w:r w:rsidRPr="001B2F18">
        <w:t xml:space="preserve"> are provided</w:t>
      </w:r>
      <w:r w:rsidRPr="001B2F18">
        <w:rPr>
          <w:rFonts w:hint="eastAsia"/>
        </w:rPr>
        <w:t>:</w:t>
      </w:r>
    </w:p>
    <w:p w14:paraId="711F9F50" w14:textId="77777777" w:rsidR="008C3C7D" w:rsidRPr="00312048" w:rsidRDefault="008C3C7D" w:rsidP="008C3C7D">
      <w:pPr>
        <w:spacing w:before="120" w:after="120" w:line="264" w:lineRule="auto"/>
        <w:jc w:val="both"/>
        <w:rPr>
          <w:rFonts w:eastAsia="SimSun"/>
          <w:b/>
          <w:bCs/>
          <w:i/>
          <w:iCs/>
          <w:sz w:val="22"/>
          <w:lang w:eastAsia="zh-CN"/>
        </w:rPr>
      </w:pPr>
      <w:r w:rsidRPr="00312048">
        <w:rPr>
          <w:rFonts w:eastAsia="SimSun"/>
          <w:b/>
          <w:bCs/>
          <w:i/>
          <w:iCs/>
          <w:sz w:val="22"/>
          <w:lang w:eastAsia="zh-CN"/>
        </w:rPr>
        <w:t>Proposal 1: If PL-RS and spatial relation RS are not identical, the “beam alignment” is defined when the PL-RS and the spatial relation RS are QCLed with respect to QCL-TypeD.</w:t>
      </w:r>
    </w:p>
    <w:p w14:paraId="652FBCF7" w14:textId="77777777" w:rsidR="008C3C7D" w:rsidRPr="00312048" w:rsidRDefault="008C3C7D" w:rsidP="008C3C7D">
      <w:pPr>
        <w:spacing w:before="120" w:after="120" w:line="264" w:lineRule="auto"/>
        <w:jc w:val="both"/>
        <w:rPr>
          <w:rFonts w:eastAsia="SimSun"/>
          <w:b/>
          <w:bCs/>
          <w:i/>
          <w:iCs/>
          <w:sz w:val="22"/>
          <w:lang w:eastAsia="zh-CN"/>
        </w:rPr>
      </w:pPr>
      <w:r w:rsidRPr="00312048">
        <w:rPr>
          <w:rFonts w:eastAsia="SimSun"/>
          <w:b/>
          <w:bCs/>
          <w:i/>
          <w:iCs/>
          <w:sz w:val="22"/>
          <w:lang w:eastAsia="zh-CN"/>
        </w:rPr>
        <w:t xml:space="preserve">Proposal </w:t>
      </w:r>
      <w:r>
        <w:rPr>
          <w:rFonts w:eastAsia="SimSun"/>
          <w:b/>
          <w:bCs/>
          <w:i/>
          <w:iCs/>
          <w:sz w:val="22"/>
          <w:lang w:eastAsia="zh-CN"/>
        </w:rPr>
        <w:t>2</w:t>
      </w:r>
      <w:r w:rsidRPr="00312048">
        <w:rPr>
          <w:rFonts w:eastAsia="SimSun"/>
          <w:b/>
          <w:bCs/>
          <w:i/>
          <w:iCs/>
          <w:sz w:val="22"/>
          <w:lang w:eastAsia="zh-CN"/>
        </w:rPr>
        <w:t>: The UE shall expect that the PL-RS and RS for UL Tx spatial filter have “beam alignment”, which shall be achieved by gNB implementation.</w:t>
      </w:r>
    </w:p>
    <w:p w14:paraId="73714823" w14:textId="77777777" w:rsidR="008C3C7D" w:rsidRPr="00312048" w:rsidRDefault="008C3C7D" w:rsidP="008C3C7D">
      <w:pPr>
        <w:spacing w:before="120" w:after="120" w:line="264" w:lineRule="auto"/>
        <w:jc w:val="both"/>
        <w:rPr>
          <w:rFonts w:eastAsia="SimSun"/>
          <w:b/>
          <w:bCs/>
          <w:i/>
          <w:iCs/>
          <w:sz w:val="22"/>
          <w:lang w:eastAsia="zh-CN"/>
        </w:rPr>
      </w:pPr>
      <w:r w:rsidRPr="00312048">
        <w:rPr>
          <w:rFonts w:eastAsia="SimSun"/>
          <w:b/>
          <w:bCs/>
          <w:i/>
          <w:iCs/>
          <w:sz w:val="22"/>
          <w:lang w:eastAsia="zh-CN"/>
        </w:rPr>
        <w:t xml:space="preserve">Proposal </w:t>
      </w:r>
      <w:r>
        <w:rPr>
          <w:rFonts w:eastAsia="SimSun"/>
          <w:b/>
          <w:bCs/>
          <w:i/>
          <w:iCs/>
          <w:sz w:val="22"/>
          <w:lang w:eastAsia="zh-CN"/>
        </w:rPr>
        <w:t>3</w:t>
      </w:r>
      <w:r w:rsidRPr="00312048">
        <w:rPr>
          <w:rFonts w:eastAsia="SimSun"/>
          <w:b/>
          <w:bCs/>
          <w:i/>
          <w:iCs/>
          <w:sz w:val="22"/>
          <w:lang w:eastAsia="zh-CN"/>
        </w:rPr>
        <w:t>: If a joint TCI state or UL TCI state is not associated with PL-RS, the UE shall use the RS for UL Tx spatial filter to measure PL and that RS shall be a DL periodic RS.</w:t>
      </w:r>
    </w:p>
    <w:p w14:paraId="5BE962F2" w14:textId="77777777" w:rsidR="008C3C7D" w:rsidRDefault="008C3C7D" w:rsidP="008C3C7D">
      <w:pPr>
        <w:pStyle w:val="000proposal"/>
      </w:pPr>
      <w:r>
        <w:t>Proposal 4: The indicated Rel-17 TCI state is applied to all the aperiodic/periodic/semi-persistent CSI-RS resources for CSI.</w:t>
      </w:r>
    </w:p>
    <w:p w14:paraId="2385BE0D" w14:textId="77777777" w:rsidR="008C3C7D" w:rsidRPr="00795ADD" w:rsidRDefault="008C3C7D" w:rsidP="008C3C7D">
      <w:pPr>
        <w:pStyle w:val="000proposals"/>
        <w:rPr>
          <w:i/>
          <w:iCs w:val="0"/>
        </w:rPr>
      </w:pPr>
      <w:r w:rsidRPr="00795ADD">
        <w:rPr>
          <w:i/>
          <w:iCs w:val="0"/>
        </w:rPr>
        <w:t xml:space="preserve">Proposal </w:t>
      </w:r>
      <w:r>
        <w:rPr>
          <w:i/>
          <w:iCs w:val="0"/>
        </w:rPr>
        <w:t>5</w:t>
      </w:r>
      <w:r w:rsidRPr="00795ADD">
        <w:rPr>
          <w:i/>
          <w:iCs w:val="0"/>
        </w:rPr>
        <w:t xml:space="preserve">: </w:t>
      </w:r>
      <w:r>
        <w:rPr>
          <w:i/>
          <w:iCs w:val="0"/>
        </w:rPr>
        <w:t xml:space="preserve">The gNB can explicitly indicate that one aperiodic CSI-RS resource set with </w:t>
      </w:r>
      <w:r w:rsidRPr="00795ADD">
        <w:rPr>
          <w:i/>
          <w:iCs w:val="0"/>
        </w:rPr>
        <w:t>repetition = ‘O</w:t>
      </w:r>
      <w:r>
        <w:rPr>
          <w:i/>
          <w:iCs w:val="0"/>
        </w:rPr>
        <w:t>N</w:t>
      </w:r>
      <w:r w:rsidRPr="00795ADD">
        <w:rPr>
          <w:i/>
          <w:iCs w:val="0"/>
        </w:rPr>
        <w:t>’</w:t>
      </w:r>
      <w:r>
        <w:rPr>
          <w:i/>
          <w:iCs w:val="0"/>
        </w:rPr>
        <w:t xml:space="preserve"> shall share the indicated </w:t>
      </w:r>
      <w:r>
        <w:rPr>
          <w:rFonts w:hint="eastAsia"/>
          <w:i/>
          <w:iCs w:val="0"/>
          <w:lang w:eastAsia="zh-CN"/>
        </w:rPr>
        <w:t>R</w:t>
      </w:r>
      <w:r>
        <w:rPr>
          <w:i/>
          <w:iCs w:val="0"/>
        </w:rPr>
        <w:t>el-17 TCI state.</w:t>
      </w:r>
    </w:p>
    <w:p w14:paraId="5CD8ADEC" w14:textId="77777777" w:rsidR="008C3C7D" w:rsidRPr="00795ADD" w:rsidRDefault="008C3C7D" w:rsidP="008C3C7D">
      <w:pPr>
        <w:pStyle w:val="000proposals"/>
        <w:rPr>
          <w:i/>
          <w:iCs w:val="0"/>
        </w:rPr>
      </w:pPr>
      <w:r w:rsidRPr="00795ADD">
        <w:rPr>
          <w:i/>
          <w:iCs w:val="0"/>
        </w:rPr>
        <w:lastRenderedPageBreak/>
        <w:t xml:space="preserve">Proposal </w:t>
      </w:r>
      <w:r>
        <w:rPr>
          <w:i/>
          <w:iCs w:val="0"/>
        </w:rPr>
        <w:t>6</w:t>
      </w:r>
      <w:r w:rsidRPr="00795ADD">
        <w:rPr>
          <w:i/>
          <w:iCs w:val="0"/>
        </w:rPr>
        <w:t xml:space="preserve">: </w:t>
      </w:r>
      <w:r>
        <w:rPr>
          <w:i/>
          <w:iCs w:val="0"/>
        </w:rPr>
        <w:t>The gNB indicates that one SRS resource set for BM shall share the indicated Rel-17 TCI state and the UE apply the indicated Rel-17 TCI state on all the SRS resources in that set</w:t>
      </w:r>
      <w:r w:rsidRPr="00795ADD">
        <w:rPr>
          <w:i/>
          <w:iCs w:val="0"/>
        </w:rPr>
        <w:t>.</w:t>
      </w:r>
    </w:p>
    <w:p w14:paraId="7F950F39" w14:textId="77777777" w:rsidR="008C3C7D" w:rsidRPr="00001BCA" w:rsidRDefault="008C3C7D" w:rsidP="008C3C7D">
      <w:pPr>
        <w:pStyle w:val="00Text"/>
        <w:rPr>
          <w:b/>
          <w:bCs/>
          <w:i/>
          <w:iCs/>
        </w:rPr>
      </w:pPr>
      <w:r w:rsidRPr="00001BCA">
        <w:rPr>
          <w:b/>
          <w:bCs/>
          <w:i/>
          <w:iCs/>
        </w:rPr>
        <w:t>Proposal</w:t>
      </w:r>
      <w:r>
        <w:rPr>
          <w:b/>
          <w:bCs/>
          <w:i/>
          <w:iCs/>
        </w:rPr>
        <w:t xml:space="preserve"> 7</w:t>
      </w:r>
      <w:r w:rsidRPr="00001BCA">
        <w:rPr>
          <w:b/>
          <w:bCs/>
          <w:i/>
          <w:iCs/>
        </w:rPr>
        <w:t>: To determine QCL source RS in BWP/CC where TCI state pool is not configured, when two different CSI-RS resources are configured for QCL-TypeA and QCL-TypeD in the TCI state:</w:t>
      </w:r>
    </w:p>
    <w:p w14:paraId="1475EB68" w14:textId="77777777" w:rsidR="008C3C7D" w:rsidRPr="00001BCA" w:rsidRDefault="008C3C7D" w:rsidP="008C3C7D">
      <w:pPr>
        <w:pStyle w:val="00Text"/>
        <w:numPr>
          <w:ilvl w:val="0"/>
          <w:numId w:val="52"/>
        </w:numPr>
        <w:rPr>
          <w:b/>
          <w:bCs/>
          <w:i/>
          <w:iCs/>
        </w:rPr>
      </w:pPr>
      <w:r w:rsidRPr="00001BCA">
        <w:rPr>
          <w:b/>
          <w:bCs/>
          <w:i/>
          <w:iCs/>
        </w:rPr>
        <w:t>The UE assumes the QCL-TypeA RS is in the BWP/CC where the TCI state is applied.</w:t>
      </w:r>
    </w:p>
    <w:p w14:paraId="0AD4A543" w14:textId="77777777" w:rsidR="008C3C7D" w:rsidRPr="00001BCA" w:rsidRDefault="008C3C7D" w:rsidP="008C3C7D">
      <w:pPr>
        <w:pStyle w:val="00Text"/>
        <w:numPr>
          <w:ilvl w:val="0"/>
          <w:numId w:val="52"/>
        </w:numPr>
        <w:rPr>
          <w:b/>
          <w:bCs/>
          <w:i/>
          <w:iCs/>
        </w:rPr>
      </w:pPr>
      <w:r w:rsidRPr="00001BCA">
        <w:rPr>
          <w:b/>
          <w:bCs/>
          <w:i/>
          <w:iCs/>
        </w:rPr>
        <w:t>The UE assumes the QCL-TypeD RS is in the BWP/CC where the TCI state is configured if BWP/CC ID is not provided in TCI state configuration. Otherwise, the UE follows the provided BWP/CC ID.</w:t>
      </w:r>
    </w:p>
    <w:p w14:paraId="1AD4C2D3" w14:textId="77777777" w:rsidR="008C3C7D" w:rsidRDefault="008C3C7D" w:rsidP="008C3C7D">
      <w:pPr>
        <w:pStyle w:val="000proposal"/>
      </w:pPr>
      <w:r>
        <w:t>Proposal 8: Adopt Alt1 for determining the first slot and Y symbols.</w:t>
      </w:r>
    </w:p>
    <w:p w14:paraId="6F42D711" w14:textId="77777777" w:rsidR="008C3C7D" w:rsidRPr="00E73F44" w:rsidRDefault="008C3C7D" w:rsidP="008C3C7D">
      <w:pPr>
        <w:pStyle w:val="000proposal"/>
      </w:pPr>
      <w:r w:rsidRPr="00E73F44">
        <w:t xml:space="preserve">Proposal </w:t>
      </w:r>
      <w:r>
        <w:t>9</w:t>
      </w:r>
      <w:r w:rsidRPr="00E73F44">
        <w:t xml:space="preserve">: The gNB indicates one Y value = </w:t>
      </w:r>
      <m:oMath>
        <m:sSub>
          <m:sSubPr>
            <m:ctrlPr>
              <w:rPr>
                <w:rFonts w:ascii="Cambria Math" w:hAnsi="Cambria Math"/>
                <w:i w:val="0"/>
                <w:iCs w:val="0"/>
              </w:rPr>
            </m:ctrlPr>
          </m:sSubPr>
          <m:e>
            <m:r>
              <m:rPr>
                <m:sty m:val="bi"/>
              </m:rPr>
              <w:rPr>
                <w:rFonts w:ascii="Cambria Math" w:hAnsi="Cambria Math"/>
              </w:rPr>
              <m:t>Y</m:t>
            </m:r>
          </m:e>
          <m:sub>
            <m:r>
              <m:rPr>
                <m:sty m:val="bi"/>
              </m:rPr>
              <w:rPr>
                <w:rFonts w:ascii="Cambria Math" w:hAnsi="Cambria Math"/>
              </w:rPr>
              <m:t>0</m:t>
            </m:r>
          </m:sub>
        </m:sSub>
      </m:oMath>
      <w:r w:rsidRPr="00E73F44">
        <w:t xml:space="preserve">  for SCS = 15KHz and the UE can determine the Y value for each SCS as: </w:t>
      </w:r>
      <m:oMath>
        <m:sSup>
          <m:sSupPr>
            <m:ctrlPr>
              <w:rPr>
                <w:rFonts w:ascii="Cambria Math" w:hAnsi="Cambria Math"/>
              </w:rPr>
            </m:ctrlPr>
          </m:sSupPr>
          <m:e>
            <m:r>
              <m:rPr>
                <m:sty m:val="bi"/>
              </m:rPr>
              <w:rPr>
                <w:rFonts w:ascii="Cambria Math" w:hAnsi="Cambria Math"/>
              </w:rPr>
              <m:t>2</m:t>
            </m:r>
          </m:e>
          <m:sup>
            <m:r>
              <m:rPr>
                <m:sty m:val="bi"/>
              </m:rPr>
              <w:rPr>
                <w:rFonts w:ascii="Cambria Math" w:hAnsi="Cambria Math"/>
              </w:rPr>
              <m:t>μ</m:t>
            </m:r>
          </m:sup>
        </m:sSup>
        <m:sSub>
          <m:sSubPr>
            <m:ctrlPr>
              <w:rPr>
                <w:rFonts w:ascii="Cambria Math" w:hAnsi="Cambria Math"/>
                <w:i w:val="0"/>
                <w:iCs w:val="0"/>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 xml:space="preserve"> </m:t>
        </m:r>
      </m:oMath>
      <w:r w:rsidRPr="00001BCA">
        <w:rPr>
          <w:iCs w:val="0"/>
        </w:rPr>
        <w:t xml:space="preserve"> with </w:t>
      </w:r>
      <m:oMath>
        <m:r>
          <m:rPr>
            <m:sty m:val="bi"/>
          </m:rPr>
          <w:rPr>
            <w:rFonts w:ascii="Cambria Math" w:hAnsi="Cambria Math"/>
          </w:rPr>
          <m:t>μ=0,1,2,3</m:t>
        </m:r>
      </m:oMath>
    </w:p>
    <w:p w14:paraId="72418CC7" w14:textId="77777777" w:rsidR="008C3C7D" w:rsidRDefault="008C3C7D" w:rsidP="008C3C7D">
      <w:pPr>
        <w:pStyle w:val="000proposal"/>
      </w:pPr>
      <w:r>
        <w:t>Proposal 10: When the gap between the last symbol of beam indication DCI and the determined first slot does not meet the UE capability, the UE starts to apply the indicated TCI state in the first slot that can satisfy the UE capability.</w:t>
      </w:r>
    </w:p>
    <w:p w14:paraId="57C293D2" w14:textId="77777777" w:rsidR="008C3C7D" w:rsidRDefault="008C3C7D" w:rsidP="008C3C7D">
      <w:pPr>
        <w:pStyle w:val="000proposal"/>
      </w:pPr>
      <w:r>
        <w:t>Proposal 11: For DCI format 1_1 and 1_2 with PDSCH assignment indicating TCI state, the acknowledgement to the TCI state update is the ACK of the PDSCH.</w:t>
      </w:r>
    </w:p>
    <w:p w14:paraId="5EADBDEC" w14:textId="77777777" w:rsidR="008C3C7D" w:rsidRDefault="008C3C7D" w:rsidP="008C3C7D">
      <w:pPr>
        <w:pStyle w:val="000proposal"/>
      </w:pPr>
      <w:r>
        <w:t>Proposal 12: Single application time of beam indication is applied</w:t>
      </w:r>
    </w:p>
    <w:p w14:paraId="4A5BF062" w14:textId="77777777" w:rsidR="008C3C7D" w:rsidRDefault="008C3C7D" w:rsidP="008C3C7D">
      <w:pPr>
        <w:pStyle w:val="000proposal"/>
      </w:pPr>
      <w:r>
        <w:t xml:space="preserve">Proposal 13: The indicated DL TCI and UL TCI in inter-cell beam management shall be associated with the same physical cell ID. </w:t>
      </w:r>
    </w:p>
    <w:p w14:paraId="4421BDC9" w14:textId="77777777" w:rsidR="008C3C7D" w:rsidRPr="00312048" w:rsidRDefault="008C3C7D" w:rsidP="008C3C7D">
      <w:pPr>
        <w:spacing w:before="120" w:after="120" w:line="264" w:lineRule="auto"/>
        <w:jc w:val="both"/>
        <w:rPr>
          <w:rFonts w:eastAsia="SimSun"/>
          <w:b/>
          <w:bCs/>
          <w:i/>
          <w:iCs/>
          <w:sz w:val="22"/>
          <w:lang w:eastAsia="zh-CN"/>
        </w:rPr>
      </w:pPr>
      <w:r w:rsidRPr="00312048">
        <w:rPr>
          <w:rFonts w:eastAsia="SimSun"/>
          <w:b/>
          <w:bCs/>
          <w:i/>
          <w:iCs/>
          <w:sz w:val="22"/>
          <w:lang w:eastAsia="zh-CN"/>
        </w:rPr>
        <w:t>Proposal 14: The UE can report one of the following in UE feature:</w:t>
      </w:r>
    </w:p>
    <w:p w14:paraId="5D7AAE38" w14:textId="77777777" w:rsidR="008C3C7D" w:rsidRPr="00312048" w:rsidRDefault="008C3C7D" w:rsidP="008C3C7D">
      <w:pPr>
        <w:numPr>
          <w:ilvl w:val="0"/>
          <w:numId w:val="58"/>
        </w:numPr>
        <w:spacing w:before="120" w:after="120" w:line="264" w:lineRule="auto"/>
        <w:jc w:val="both"/>
        <w:rPr>
          <w:rFonts w:eastAsia="SimSun"/>
          <w:b/>
          <w:bCs/>
          <w:i/>
          <w:iCs/>
          <w:sz w:val="22"/>
          <w:lang w:eastAsia="zh-CN"/>
        </w:rPr>
      </w:pPr>
      <w:r w:rsidRPr="00312048">
        <w:rPr>
          <w:rFonts w:eastAsia="SimSun"/>
          <w:b/>
          <w:bCs/>
          <w:i/>
          <w:iCs/>
          <w:sz w:val="22"/>
          <w:lang w:eastAsia="zh-CN"/>
        </w:rPr>
        <w:t>All the activated TCI states are associated with the same PCID.</w:t>
      </w:r>
    </w:p>
    <w:p w14:paraId="467A9141" w14:textId="77777777" w:rsidR="008C3C7D" w:rsidRPr="00312048" w:rsidRDefault="008C3C7D" w:rsidP="008C3C7D">
      <w:pPr>
        <w:pStyle w:val="ListParagraph"/>
        <w:numPr>
          <w:ilvl w:val="0"/>
          <w:numId w:val="65"/>
        </w:numPr>
        <w:ind w:leftChars="0"/>
        <w:contextualSpacing/>
        <w:rPr>
          <w:szCs w:val="28"/>
        </w:rPr>
      </w:pPr>
      <w:r w:rsidRPr="00312048">
        <w:rPr>
          <w:b/>
          <w:bCs/>
          <w:i/>
          <w:iCs/>
          <w:szCs w:val="28"/>
        </w:rPr>
        <w:t>The activated TCI states can be associated with either the PCID of serving cell and another different PCID</w:t>
      </w:r>
    </w:p>
    <w:p w14:paraId="67234E91" w14:textId="77777777" w:rsidR="008C3C7D" w:rsidRPr="00001BCA" w:rsidRDefault="008C3C7D" w:rsidP="008C3C7D">
      <w:pPr>
        <w:pStyle w:val="00Text"/>
        <w:rPr>
          <w:b/>
          <w:bCs/>
          <w:i/>
          <w:iCs/>
        </w:rPr>
      </w:pPr>
      <w:r w:rsidRPr="00001BCA">
        <w:rPr>
          <w:b/>
          <w:bCs/>
          <w:i/>
          <w:iCs/>
        </w:rPr>
        <w:t xml:space="preserve">Proposal </w:t>
      </w:r>
      <w:r>
        <w:rPr>
          <w:b/>
          <w:bCs/>
          <w:i/>
          <w:iCs/>
        </w:rPr>
        <w:t>15</w:t>
      </w:r>
      <w:r w:rsidRPr="00001BCA">
        <w:rPr>
          <w:b/>
          <w:bCs/>
          <w:i/>
          <w:iCs/>
        </w:rPr>
        <w:t>: In inter-cell beam management, the indicated TCI state associated with non-serving cell SSB shall not be applied to:</w:t>
      </w:r>
    </w:p>
    <w:p w14:paraId="5089F65A" w14:textId="77777777" w:rsidR="008C3C7D" w:rsidRPr="00001BCA" w:rsidRDefault="008C3C7D" w:rsidP="008C3C7D">
      <w:pPr>
        <w:pStyle w:val="00Text"/>
        <w:numPr>
          <w:ilvl w:val="0"/>
          <w:numId w:val="61"/>
        </w:numPr>
        <w:rPr>
          <w:b/>
          <w:bCs/>
          <w:i/>
          <w:iCs/>
        </w:rPr>
      </w:pPr>
      <w:r w:rsidRPr="00001BCA">
        <w:rPr>
          <w:b/>
          <w:bCs/>
          <w:i/>
          <w:iCs/>
        </w:rPr>
        <w:t>The PDCCH associated CORESET#0 and corresponding PDSCH.</w:t>
      </w:r>
    </w:p>
    <w:p w14:paraId="57BCC731" w14:textId="77777777" w:rsidR="008C3C7D" w:rsidRPr="00001BCA" w:rsidRDefault="008C3C7D" w:rsidP="008C3C7D">
      <w:pPr>
        <w:pStyle w:val="00Text"/>
        <w:numPr>
          <w:ilvl w:val="0"/>
          <w:numId w:val="61"/>
        </w:numPr>
        <w:rPr>
          <w:b/>
          <w:bCs/>
          <w:i/>
          <w:iCs/>
        </w:rPr>
      </w:pPr>
      <w:r w:rsidRPr="00001BCA">
        <w:rPr>
          <w:b/>
          <w:bCs/>
          <w:i/>
          <w:iCs/>
        </w:rPr>
        <w:t>The PDCCH in Type3-PDCCH CSS set and corresponding PDSCH in SCell.</w:t>
      </w:r>
    </w:p>
    <w:p w14:paraId="00327D3E" w14:textId="77777777" w:rsidR="008C3C7D" w:rsidRPr="00001BCA" w:rsidRDefault="008C3C7D" w:rsidP="008C3C7D">
      <w:pPr>
        <w:pStyle w:val="00Text"/>
        <w:rPr>
          <w:b/>
          <w:bCs/>
          <w:i/>
          <w:iCs/>
        </w:rPr>
      </w:pPr>
      <w:r w:rsidRPr="00001BCA">
        <w:rPr>
          <w:b/>
          <w:bCs/>
          <w:i/>
          <w:iCs/>
        </w:rPr>
        <w:t xml:space="preserve">Proposal </w:t>
      </w:r>
      <w:r>
        <w:rPr>
          <w:b/>
          <w:bCs/>
          <w:i/>
          <w:iCs/>
        </w:rPr>
        <w:t>16</w:t>
      </w:r>
      <w:r w:rsidRPr="00001BCA">
        <w:rPr>
          <w:b/>
          <w:bCs/>
          <w:i/>
          <w:iCs/>
        </w:rPr>
        <w:t xml:space="preserve">: </w:t>
      </w:r>
      <w:r w:rsidRPr="00001BCA">
        <w:rPr>
          <w:rFonts w:cs="Times"/>
          <w:b/>
          <w:bCs/>
          <w:i/>
          <w:iCs/>
          <w:szCs w:val="22"/>
        </w:rPr>
        <w:t>On Rel.17 L1-RSRP multi-beam measurement/reporting enhancements for inter-cell beam management and inter-cell mTRP, N</w:t>
      </w:r>
      <w:r w:rsidRPr="00001BCA">
        <w:rPr>
          <w:rFonts w:cs="Times"/>
          <w:b/>
          <w:bCs/>
          <w:i/>
          <w:iCs/>
          <w:szCs w:val="22"/>
          <w:vertAlign w:val="subscript"/>
        </w:rPr>
        <w:t>MAX</w:t>
      </w:r>
      <w:r w:rsidRPr="00001BCA">
        <w:rPr>
          <w:rStyle w:val="apple-converted-space"/>
          <w:rFonts w:cs="Times"/>
          <w:b/>
          <w:bCs/>
          <w:i/>
          <w:iCs/>
          <w:szCs w:val="22"/>
          <w:vertAlign w:val="subscript"/>
        </w:rPr>
        <w:t> </w:t>
      </w:r>
      <w:r w:rsidRPr="00001BCA">
        <w:rPr>
          <w:rFonts w:cs="Times"/>
          <w:b/>
          <w:bCs/>
          <w:i/>
          <w:iCs/>
          <w:szCs w:val="22"/>
        </w:rPr>
        <w:t>(the maximum number of RRC configured PCIs different from the serving cell for measurement/reporting) = 1.</w:t>
      </w:r>
    </w:p>
    <w:p w14:paraId="2BFB7038" w14:textId="77777777" w:rsidR="008C3C7D" w:rsidRPr="009161E5" w:rsidRDefault="008C3C7D" w:rsidP="008C3C7D">
      <w:pPr>
        <w:pStyle w:val="00Text"/>
      </w:pPr>
      <w:r w:rsidRPr="009161E5">
        <w:rPr>
          <w:b/>
          <w:bCs/>
          <w:i/>
          <w:iCs/>
        </w:rPr>
        <w:t>Proposal</w:t>
      </w:r>
      <w:r>
        <w:rPr>
          <w:b/>
          <w:bCs/>
          <w:i/>
          <w:iCs/>
        </w:rPr>
        <w:t xml:space="preserve"> 17</w:t>
      </w:r>
      <w:r w:rsidRPr="009161E5">
        <w:rPr>
          <w:b/>
          <w:bCs/>
          <w:i/>
          <w:iCs/>
        </w:rPr>
        <w:t>: Select Alt3</w:t>
      </w:r>
      <w:r>
        <w:rPr>
          <w:b/>
          <w:bCs/>
          <w:i/>
          <w:iCs/>
        </w:rPr>
        <w:t>, i.e.,</w:t>
      </w:r>
      <w:r w:rsidRPr="009161E5">
        <w:rPr>
          <w:b/>
          <w:bCs/>
          <w:i/>
          <w:iCs/>
        </w:rPr>
        <w:t xml:space="preserve"> in rel-17, even</w:t>
      </w:r>
      <w:r>
        <w:rPr>
          <w:rFonts w:hint="eastAsia"/>
          <w:b/>
          <w:bCs/>
          <w:i/>
          <w:iCs/>
        </w:rPr>
        <w:t>t</w:t>
      </w:r>
      <w:r w:rsidRPr="009161E5">
        <w:rPr>
          <w:b/>
          <w:bCs/>
          <w:i/>
          <w:iCs/>
        </w:rPr>
        <w:t>-driven beam reporting is not supported for inter-cell beam management and inter-cell mTRP</w:t>
      </w:r>
    </w:p>
    <w:p w14:paraId="680CCCC4" w14:textId="77777777" w:rsidR="008C3C7D" w:rsidRDefault="008C3C7D" w:rsidP="008C3C7D">
      <w:pPr>
        <w:pStyle w:val="000proposal"/>
      </w:pPr>
      <w:r>
        <w:t>Proposal 18: Support a scheme based on Scheme 2:</w:t>
      </w:r>
      <w:r>
        <w:tab/>
      </w:r>
    </w:p>
    <w:p w14:paraId="4E185AD0" w14:textId="77777777" w:rsidR="008C3C7D" w:rsidRDefault="008C3C7D" w:rsidP="008C3C7D">
      <w:pPr>
        <w:pStyle w:val="000proposal"/>
        <w:numPr>
          <w:ilvl w:val="0"/>
          <w:numId w:val="41"/>
        </w:numPr>
      </w:pPr>
      <w:r>
        <w:t>The UE can report a list of supported uplink transmission configurations {maximal number of SRS ports, codebook subset}</w:t>
      </w:r>
    </w:p>
    <w:p w14:paraId="1760AEB6" w14:textId="77777777" w:rsidR="008C3C7D" w:rsidRDefault="008C3C7D" w:rsidP="008C3C7D">
      <w:pPr>
        <w:pStyle w:val="000proposal"/>
        <w:numPr>
          <w:ilvl w:val="0"/>
          <w:numId w:val="41"/>
        </w:numPr>
      </w:pPr>
      <w:r>
        <w:t xml:space="preserve">The UE is configured with two SRS resource sets for CB-based PUSCH and each set is associated with a set of parameters of {number of antenna ports, coherence type of codebook subset}. </w:t>
      </w:r>
      <w:r>
        <w:rPr>
          <w:rFonts w:hint="eastAsia"/>
        </w:rPr>
        <w:t>The</w:t>
      </w:r>
      <w:r>
        <w:t xml:space="preserve"> UE </w:t>
      </w:r>
      <w:r>
        <w:rPr>
          <w:rFonts w:hint="eastAsia"/>
        </w:rPr>
        <w:t>selects</w:t>
      </w:r>
      <w:r>
        <w:t xml:space="preserve"> </w:t>
      </w:r>
      <w:r>
        <w:rPr>
          <w:rFonts w:hint="eastAsia"/>
        </w:rPr>
        <w:t>one</w:t>
      </w:r>
      <w:r>
        <w:t xml:space="preserve"> SRS resource set and reports that to the gNB.</w:t>
      </w:r>
    </w:p>
    <w:p w14:paraId="731B4B17" w14:textId="77777777" w:rsidR="008C3C7D" w:rsidRDefault="008C3C7D" w:rsidP="008C3C7D">
      <w:pPr>
        <w:pStyle w:val="000proposals"/>
        <w:rPr>
          <w:i/>
          <w:iCs w:val="0"/>
        </w:rPr>
      </w:pPr>
      <w:r>
        <w:rPr>
          <w:i/>
          <w:iCs w:val="0"/>
        </w:rPr>
        <w:t xml:space="preserve">Proposal 19: The reported N P-MPR values corresponds to N selected TCI states. </w:t>
      </w:r>
    </w:p>
    <w:p w14:paraId="791C9C6D" w14:textId="37E6F67C" w:rsidR="008C3C7D" w:rsidRDefault="008C3C7D" w:rsidP="008C3C7D">
      <w:pPr>
        <w:pStyle w:val="000proposals"/>
        <w:rPr>
          <w:i/>
          <w:iCs w:val="0"/>
        </w:rPr>
      </w:pPr>
      <w:r>
        <w:rPr>
          <w:i/>
          <w:iCs w:val="0"/>
        </w:rPr>
        <w:t xml:space="preserve">Proposal 20: In addition to P-MPR value, the UE also reports a virtual PHR corresponding to </w:t>
      </w:r>
      <w:r w:rsidR="00AC2CFE">
        <w:rPr>
          <w:i/>
          <w:iCs w:val="0"/>
        </w:rPr>
        <w:t>each</w:t>
      </w:r>
      <w:r>
        <w:rPr>
          <w:i/>
          <w:iCs w:val="0"/>
        </w:rPr>
        <w:t xml:space="preserve"> TCI state</w:t>
      </w:r>
    </w:p>
    <w:p w14:paraId="59A9F12A" w14:textId="77777777" w:rsidR="008C3C7D" w:rsidRPr="00795ADD" w:rsidRDefault="008C3C7D" w:rsidP="008C3C7D">
      <w:pPr>
        <w:pStyle w:val="000proposals"/>
        <w:rPr>
          <w:i/>
          <w:iCs w:val="0"/>
        </w:rPr>
      </w:pPr>
      <w:r w:rsidRPr="00795ADD">
        <w:rPr>
          <w:i/>
          <w:iCs w:val="0"/>
        </w:rPr>
        <w:lastRenderedPageBreak/>
        <w:t xml:space="preserve">Proposal </w:t>
      </w:r>
      <w:r>
        <w:rPr>
          <w:i/>
          <w:iCs w:val="0"/>
        </w:rPr>
        <w:t>21</w:t>
      </w:r>
      <w:r w:rsidRPr="00795ADD">
        <w:rPr>
          <w:i/>
          <w:iCs w:val="0"/>
        </w:rPr>
        <w:t xml:space="preserve">: </w:t>
      </w:r>
      <w:r>
        <w:rPr>
          <w:i/>
          <w:iCs w:val="0"/>
        </w:rPr>
        <w:t>Support UE-initiated beam selection.</w:t>
      </w:r>
      <w:r w:rsidRPr="00795ADD">
        <w:rPr>
          <w:i/>
          <w:iCs w:val="0"/>
        </w:rPr>
        <w:t xml:space="preserve">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3BB7E1D6" w:rsidR="00C8505E" w:rsidRDefault="00C8505E" w:rsidP="002328B0">
      <w:pPr>
        <w:pStyle w:val="05reference"/>
        <w:rPr>
          <w:szCs w:val="20"/>
          <w:lang w:val="it-IT"/>
        </w:rPr>
      </w:pPr>
      <w:r>
        <w:rPr>
          <w:szCs w:val="20"/>
          <w:lang w:val="it-IT"/>
        </w:rPr>
        <w:t>RP-</w:t>
      </w:r>
      <w:r w:rsidR="00D84359">
        <w:rPr>
          <w:szCs w:val="20"/>
          <w:lang w:val="it-IT"/>
        </w:rPr>
        <w:t xml:space="preserve">211586 Revised </w:t>
      </w:r>
      <w:r>
        <w:rPr>
          <w:szCs w:val="20"/>
          <w:lang w:val="it-IT"/>
        </w:rPr>
        <w:t>WID: Further ehancements on MIMO for NR</w:t>
      </w:r>
    </w:p>
    <w:p w14:paraId="185FA2D1" w14:textId="78CDB292" w:rsidR="00C80417" w:rsidRPr="00B948C3" w:rsidRDefault="00C80417" w:rsidP="00F00C7A">
      <w:pPr>
        <w:pStyle w:val="05reference"/>
        <w:rPr>
          <w:szCs w:val="20"/>
          <w:lang w:val="it-IT"/>
        </w:rPr>
      </w:pPr>
      <w:r w:rsidRPr="00B948C3">
        <w:rPr>
          <w:szCs w:val="20"/>
          <w:lang w:val="it-IT"/>
        </w:rPr>
        <w:t>R1-</w:t>
      </w:r>
      <w:r w:rsidR="002E35D2" w:rsidRPr="00B948C3">
        <w:rPr>
          <w:szCs w:val="20"/>
          <w:lang w:val="it-IT"/>
        </w:rPr>
        <w:t>210</w:t>
      </w:r>
      <w:r w:rsidR="003B1856">
        <w:rPr>
          <w:rFonts w:eastAsiaTheme="minorEastAsia"/>
          <w:szCs w:val="20"/>
          <w:lang w:val="it-IT" w:eastAsia="zh-CN"/>
        </w:rPr>
        <w:t>9045</w:t>
      </w:r>
      <w:r w:rsidR="002E35D2" w:rsidRPr="00B948C3">
        <w:rPr>
          <w:szCs w:val="20"/>
          <w:lang w:val="it-IT"/>
        </w:rPr>
        <w:t xml:space="preserve">  </w:t>
      </w:r>
      <w:r w:rsidRPr="00B948C3">
        <w:rPr>
          <w:szCs w:val="20"/>
          <w:lang w:val="it-IT"/>
        </w:rPr>
        <w:t xml:space="preserve">Discussion on </w:t>
      </w:r>
      <w:r w:rsidR="00261B95">
        <w:rPr>
          <w:szCs w:val="20"/>
          <w:lang w:val="it-IT"/>
        </w:rPr>
        <w:t>f</w:t>
      </w:r>
      <w:r w:rsidRPr="00B948C3">
        <w:rPr>
          <w:szCs w:val="20"/>
          <w:lang w:val="it-IT"/>
        </w:rPr>
        <w:t xml:space="preserve">urther </w:t>
      </w:r>
      <w:r w:rsidR="00261B95">
        <w:rPr>
          <w:szCs w:val="20"/>
          <w:lang w:val="it-IT"/>
        </w:rPr>
        <w:t>e</w:t>
      </w:r>
      <w:r w:rsidRPr="00B948C3">
        <w:rPr>
          <w:szCs w:val="20"/>
          <w:lang w:val="it-IT"/>
        </w:rPr>
        <w:t xml:space="preserve">nhancements for </w:t>
      </w:r>
      <w:r w:rsidR="00261B95">
        <w:rPr>
          <w:szCs w:val="20"/>
          <w:lang w:val="it-IT"/>
        </w:rPr>
        <w:t>m</w:t>
      </w:r>
      <w:r w:rsidRPr="00B948C3">
        <w:rPr>
          <w:szCs w:val="20"/>
          <w:lang w:val="it-IT"/>
        </w:rPr>
        <w:t>ulti-</w:t>
      </w:r>
      <w:r w:rsidR="00261B95">
        <w:rPr>
          <w:szCs w:val="20"/>
          <w:lang w:val="it-IT"/>
        </w:rPr>
        <w:t>b</w:t>
      </w:r>
      <w:r w:rsidRPr="00B948C3">
        <w:rPr>
          <w:szCs w:val="20"/>
          <w:lang w:val="it-IT"/>
        </w:rPr>
        <w:t xml:space="preserve">eam </w:t>
      </w:r>
      <w:r w:rsidR="00261B95">
        <w:rPr>
          <w:szCs w:val="20"/>
          <w:lang w:val="it-IT"/>
        </w:rPr>
        <w:t>o</w:t>
      </w:r>
      <w:r w:rsidRPr="00B948C3">
        <w:rPr>
          <w:szCs w:val="20"/>
          <w:lang w:val="it-IT"/>
        </w:rPr>
        <w:t xml:space="preserve">peration </w:t>
      </w:r>
      <w:r w:rsidR="002E35D2">
        <w:rPr>
          <w:szCs w:val="20"/>
          <w:lang w:val="it-IT"/>
        </w:rPr>
        <w:t xml:space="preserve"> </w:t>
      </w:r>
      <w:r w:rsidRPr="00B948C3">
        <w:rPr>
          <w:szCs w:val="20"/>
          <w:lang w:val="it-IT"/>
        </w:rPr>
        <w:t>OPPO</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AD06F" w14:textId="77777777" w:rsidR="00170238" w:rsidRDefault="00170238">
      <w:r>
        <w:separator/>
      </w:r>
    </w:p>
  </w:endnote>
  <w:endnote w:type="continuationSeparator" w:id="0">
    <w:p w14:paraId="5865971A" w14:textId="77777777" w:rsidR="00170238" w:rsidRDefault="0017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2E173" w14:textId="77777777" w:rsidR="00170238" w:rsidRDefault="00170238">
      <w:r>
        <w:separator/>
      </w:r>
    </w:p>
  </w:footnote>
  <w:footnote w:type="continuationSeparator" w:id="0">
    <w:p w14:paraId="401AAD44" w14:textId="77777777" w:rsidR="00170238" w:rsidRDefault="00170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3BD"/>
    <w:multiLevelType w:val="hybridMultilevel"/>
    <w:tmpl w:val="284C3528"/>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55EBC"/>
    <w:multiLevelType w:val="hybridMultilevel"/>
    <w:tmpl w:val="45345B88"/>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95FBB"/>
    <w:multiLevelType w:val="hybridMultilevel"/>
    <w:tmpl w:val="9BBE6E7E"/>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2"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F372F2C"/>
    <w:multiLevelType w:val="hybridMultilevel"/>
    <w:tmpl w:val="CF5CB6A0"/>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A91C17"/>
    <w:multiLevelType w:val="hybridMultilevel"/>
    <w:tmpl w:val="B3D441D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9FD1BCC"/>
    <w:multiLevelType w:val="hybridMultilevel"/>
    <w:tmpl w:val="26CA7526"/>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CE629B0"/>
    <w:multiLevelType w:val="hybridMultilevel"/>
    <w:tmpl w:val="DF542984"/>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99150F"/>
    <w:multiLevelType w:val="hybridMultilevel"/>
    <w:tmpl w:val="39C8310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9D0226"/>
    <w:multiLevelType w:val="hybridMultilevel"/>
    <w:tmpl w:val="306E3A2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7AC0E35"/>
    <w:multiLevelType w:val="hybridMultilevel"/>
    <w:tmpl w:val="5C98866E"/>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9181720"/>
    <w:multiLevelType w:val="hybridMultilevel"/>
    <w:tmpl w:val="B4CCA80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4290FC4"/>
    <w:multiLevelType w:val="hybridMultilevel"/>
    <w:tmpl w:val="5D4C872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7570C5B"/>
    <w:multiLevelType w:val="hybridMultilevel"/>
    <w:tmpl w:val="855EF57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9D66DA"/>
    <w:multiLevelType w:val="hybridMultilevel"/>
    <w:tmpl w:val="2848CC0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8C5759"/>
    <w:multiLevelType w:val="hybridMultilevel"/>
    <w:tmpl w:val="8F682ADE"/>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062C28"/>
    <w:multiLevelType w:val="hybridMultilevel"/>
    <w:tmpl w:val="623E6356"/>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8A1C14"/>
    <w:multiLevelType w:val="hybridMultilevel"/>
    <w:tmpl w:val="35B484BA"/>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F36D0F"/>
    <w:multiLevelType w:val="hybridMultilevel"/>
    <w:tmpl w:val="2E2E16B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3" w15:restartNumberingAfterBreak="0">
    <w:nsid w:val="7D811955"/>
    <w:multiLevelType w:val="hybridMultilevel"/>
    <w:tmpl w:val="100E2932"/>
    <w:lvl w:ilvl="0" w:tplc="ADEA92A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2"/>
  </w:num>
  <w:num w:numId="2">
    <w:abstractNumId w:val="19"/>
  </w:num>
  <w:num w:numId="3">
    <w:abstractNumId w:val="52"/>
  </w:num>
  <w:num w:numId="4">
    <w:abstractNumId w:val="34"/>
  </w:num>
  <w:num w:numId="5">
    <w:abstractNumId w:val="43"/>
  </w:num>
  <w:num w:numId="6">
    <w:abstractNumId w:val="29"/>
  </w:num>
  <w:num w:numId="7">
    <w:abstractNumId w:val="9"/>
  </w:num>
  <w:num w:numId="8">
    <w:abstractNumId w:val="4"/>
  </w:num>
  <w:num w:numId="9">
    <w:abstractNumId w:val="21"/>
  </w:num>
  <w:num w:numId="10">
    <w:abstractNumId w:val="60"/>
  </w:num>
  <w:num w:numId="11">
    <w:abstractNumId w:val="41"/>
  </w:num>
  <w:num w:numId="12">
    <w:abstractNumId w:val="21"/>
  </w:num>
  <w:num w:numId="13">
    <w:abstractNumId w:val="53"/>
  </w:num>
  <w:num w:numId="14">
    <w:abstractNumId w:val="55"/>
  </w:num>
  <w:num w:numId="15">
    <w:abstractNumId w:val="26"/>
  </w:num>
  <w:num w:numId="16">
    <w:abstractNumId w:val="32"/>
  </w:num>
  <w:num w:numId="17">
    <w:abstractNumId w:val="54"/>
  </w:num>
  <w:num w:numId="18">
    <w:abstractNumId w:val="48"/>
  </w:num>
  <w:num w:numId="19">
    <w:abstractNumId w:val="12"/>
  </w:num>
  <w:num w:numId="20">
    <w:abstractNumId w:val="7"/>
  </w:num>
  <w:num w:numId="21">
    <w:abstractNumId w:val="14"/>
  </w:num>
  <w:num w:numId="22">
    <w:abstractNumId w:val="63"/>
  </w:num>
  <w:num w:numId="23">
    <w:abstractNumId w:val="57"/>
  </w:num>
  <w:num w:numId="24">
    <w:abstractNumId w:val="24"/>
  </w:num>
  <w:num w:numId="25">
    <w:abstractNumId w:val="31"/>
  </w:num>
  <w:num w:numId="26">
    <w:abstractNumId w:val="20"/>
  </w:num>
  <w:num w:numId="27">
    <w:abstractNumId w:val="33"/>
  </w:num>
  <w:num w:numId="28">
    <w:abstractNumId w:val="45"/>
  </w:num>
  <w:num w:numId="29">
    <w:abstractNumId w:val="49"/>
  </w:num>
  <w:num w:numId="30">
    <w:abstractNumId w:val="46"/>
  </w:num>
  <w:num w:numId="31">
    <w:abstractNumId w:val="35"/>
  </w:num>
  <w:num w:numId="32">
    <w:abstractNumId w:val="10"/>
  </w:num>
  <w:num w:numId="33">
    <w:abstractNumId w:val="30"/>
  </w:num>
  <w:num w:numId="34">
    <w:abstractNumId w:val="38"/>
  </w:num>
  <w:num w:numId="35">
    <w:abstractNumId w:val="23"/>
  </w:num>
  <w:num w:numId="36">
    <w:abstractNumId w:val="36"/>
  </w:num>
  <w:num w:numId="37">
    <w:abstractNumId w:val="61"/>
  </w:num>
  <w:num w:numId="38">
    <w:abstractNumId w:val="6"/>
  </w:num>
  <w:num w:numId="39">
    <w:abstractNumId w:val="1"/>
  </w:num>
  <w:num w:numId="40">
    <w:abstractNumId w:val="39"/>
  </w:num>
  <w:num w:numId="41">
    <w:abstractNumId w:val="3"/>
  </w:num>
  <w:num w:numId="42">
    <w:abstractNumId w:val="28"/>
  </w:num>
  <w:num w:numId="43">
    <w:abstractNumId w:val="5"/>
  </w:num>
  <w:num w:numId="44">
    <w:abstractNumId w:val="50"/>
  </w:num>
  <w:num w:numId="45">
    <w:abstractNumId w:val="56"/>
  </w:num>
  <w:num w:numId="46">
    <w:abstractNumId w:val="59"/>
  </w:num>
  <w:num w:numId="47">
    <w:abstractNumId w:val="42"/>
  </w:num>
  <w:num w:numId="48">
    <w:abstractNumId w:val="51"/>
  </w:num>
  <w:num w:numId="49">
    <w:abstractNumId w:val="37"/>
  </w:num>
  <w:num w:numId="50">
    <w:abstractNumId w:val="11"/>
  </w:num>
  <w:num w:numId="51">
    <w:abstractNumId w:val="0"/>
  </w:num>
  <w:num w:numId="52">
    <w:abstractNumId w:val="16"/>
  </w:num>
  <w:num w:numId="53">
    <w:abstractNumId w:val="2"/>
  </w:num>
  <w:num w:numId="54">
    <w:abstractNumId w:val="15"/>
  </w:num>
  <w:num w:numId="55">
    <w:abstractNumId w:val="58"/>
  </w:num>
  <w:num w:numId="56">
    <w:abstractNumId w:val="8"/>
  </w:num>
  <w:num w:numId="57">
    <w:abstractNumId w:val="25"/>
  </w:num>
  <w:num w:numId="58">
    <w:abstractNumId w:val="22"/>
  </w:num>
  <w:num w:numId="59">
    <w:abstractNumId w:val="27"/>
  </w:num>
  <w:num w:numId="60">
    <w:abstractNumId w:val="40"/>
  </w:num>
  <w:num w:numId="61">
    <w:abstractNumId w:val="44"/>
  </w:num>
  <w:num w:numId="62">
    <w:abstractNumId w:val="17"/>
  </w:num>
  <w:num w:numId="63">
    <w:abstractNumId w:val="13"/>
  </w:num>
  <w:num w:numId="64">
    <w:abstractNumId w:val="18"/>
  </w:num>
  <w:num w:numId="65">
    <w:abstractNumId w:val="4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CA"/>
    <w:rsid w:val="000024B3"/>
    <w:rsid w:val="00002775"/>
    <w:rsid w:val="00005D12"/>
    <w:rsid w:val="00005D51"/>
    <w:rsid w:val="00007A3D"/>
    <w:rsid w:val="0001145F"/>
    <w:rsid w:val="00014144"/>
    <w:rsid w:val="000146F7"/>
    <w:rsid w:val="000208E3"/>
    <w:rsid w:val="00020ECF"/>
    <w:rsid w:val="000223D1"/>
    <w:rsid w:val="00023537"/>
    <w:rsid w:val="00025836"/>
    <w:rsid w:val="0002753A"/>
    <w:rsid w:val="000305B5"/>
    <w:rsid w:val="00031B46"/>
    <w:rsid w:val="00032955"/>
    <w:rsid w:val="00036C04"/>
    <w:rsid w:val="000401F4"/>
    <w:rsid w:val="00040D68"/>
    <w:rsid w:val="00040D82"/>
    <w:rsid w:val="0004170C"/>
    <w:rsid w:val="000432BE"/>
    <w:rsid w:val="00044738"/>
    <w:rsid w:val="0004689C"/>
    <w:rsid w:val="0004722F"/>
    <w:rsid w:val="0005036D"/>
    <w:rsid w:val="00050EF6"/>
    <w:rsid w:val="000529AF"/>
    <w:rsid w:val="00052A3E"/>
    <w:rsid w:val="00054D5F"/>
    <w:rsid w:val="00055DAC"/>
    <w:rsid w:val="00057449"/>
    <w:rsid w:val="00064276"/>
    <w:rsid w:val="00065932"/>
    <w:rsid w:val="00066217"/>
    <w:rsid w:val="00067335"/>
    <w:rsid w:val="00072170"/>
    <w:rsid w:val="0007593E"/>
    <w:rsid w:val="00075E10"/>
    <w:rsid w:val="00075E63"/>
    <w:rsid w:val="0008231D"/>
    <w:rsid w:val="000823CD"/>
    <w:rsid w:val="00085AAA"/>
    <w:rsid w:val="000939D7"/>
    <w:rsid w:val="00094E4E"/>
    <w:rsid w:val="000958D5"/>
    <w:rsid w:val="00096D59"/>
    <w:rsid w:val="000971A4"/>
    <w:rsid w:val="000A0B71"/>
    <w:rsid w:val="000A4372"/>
    <w:rsid w:val="000A7AE5"/>
    <w:rsid w:val="000B07E4"/>
    <w:rsid w:val="000B5510"/>
    <w:rsid w:val="000B5E34"/>
    <w:rsid w:val="000B6612"/>
    <w:rsid w:val="000C0A7B"/>
    <w:rsid w:val="000C1ECC"/>
    <w:rsid w:val="000C215F"/>
    <w:rsid w:val="000C49CF"/>
    <w:rsid w:val="000C4C34"/>
    <w:rsid w:val="000D3AF4"/>
    <w:rsid w:val="000D4D1E"/>
    <w:rsid w:val="000D546A"/>
    <w:rsid w:val="000D569A"/>
    <w:rsid w:val="000D5CFD"/>
    <w:rsid w:val="000D66CD"/>
    <w:rsid w:val="000D6C00"/>
    <w:rsid w:val="000D6CCE"/>
    <w:rsid w:val="000E33AA"/>
    <w:rsid w:val="000E514A"/>
    <w:rsid w:val="000E608E"/>
    <w:rsid w:val="000E6672"/>
    <w:rsid w:val="000E6BFC"/>
    <w:rsid w:val="000E6F81"/>
    <w:rsid w:val="000F0690"/>
    <w:rsid w:val="000F10E7"/>
    <w:rsid w:val="000F4980"/>
    <w:rsid w:val="000F4BE3"/>
    <w:rsid w:val="000F5BBA"/>
    <w:rsid w:val="000F6109"/>
    <w:rsid w:val="000F66F6"/>
    <w:rsid w:val="000F7011"/>
    <w:rsid w:val="000F7493"/>
    <w:rsid w:val="00100902"/>
    <w:rsid w:val="001125A3"/>
    <w:rsid w:val="0011387A"/>
    <w:rsid w:val="00115C6C"/>
    <w:rsid w:val="00115D50"/>
    <w:rsid w:val="001205A8"/>
    <w:rsid w:val="001243EA"/>
    <w:rsid w:val="00127EF8"/>
    <w:rsid w:val="001346E0"/>
    <w:rsid w:val="00134E8E"/>
    <w:rsid w:val="0013638F"/>
    <w:rsid w:val="00136B37"/>
    <w:rsid w:val="0014084D"/>
    <w:rsid w:val="00140F62"/>
    <w:rsid w:val="001422E9"/>
    <w:rsid w:val="00142A73"/>
    <w:rsid w:val="00144DC6"/>
    <w:rsid w:val="00145778"/>
    <w:rsid w:val="001466E5"/>
    <w:rsid w:val="00146785"/>
    <w:rsid w:val="00147227"/>
    <w:rsid w:val="0015020D"/>
    <w:rsid w:val="001502CA"/>
    <w:rsid w:val="0015168E"/>
    <w:rsid w:val="001521B9"/>
    <w:rsid w:val="001522BE"/>
    <w:rsid w:val="00153FD2"/>
    <w:rsid w:val="00155D90"/>
    <w:rsid w:val="00162411"/>
    <w:rsid w:val="00170238"/>
    <w:rsid w:val="00171FCE"/>
    <w:rsid w:val="00172393"/>
    <w:rsid w:val="00173DC8"/>
    <w:rsid w:val="00174DEF"/>
    <w:rsid w:val="00174EF0"/>
    <w:rsid w:val="00175BB6"/>
    <w:rsid w:val="0017679D"/>
    <w:rsid w:val="001809A9"/>
    <w:rsid w:val="001821C0"/>
    <w:rsid w:val="0018284E"/>
    <w:rsid w:val="0018469D"/>
    <w:rsid w:val="001864AC"/>
    <w:rsid w:val="00187000"/>
    <w:rsid w:val="00191F67"/>
    <w:rsid w:val="00192259"/>
    <w:rsid w:val="00193464"/>
    <w:rsid w:val="00194DDE"/>
    <w:rsid w:val="00195373"/>
    <w:rsid w:val="00197A6A"/>
    <w:rsid w:val="00197FFE"/>
    <w:rsid w:val="001A1C90"/>
    <w:rsid w:val="001A3F99"/>
    <w:rsid w:val="001A45FC"/>
    <w:rsid w:val="001A4BAA"/>
    <w:rsid w:val="001A5584"/>
    <w:rsid w:val="001A6B37"/>
    <w:rsid w:val="001B07EA"/>
    <w:rsid w:val="001B0AAA"/>
    <w:rsid w:val="001B0B07"/>
    <w:rsid w:val="001B524F"/>
    <w:rsid w:val="001B796B"/>
    <w:rsid w:val="001C0EA0"/>
    <w:rsid w:val="001C2CCA"/>
    <w:rsid w:val="001C2E25"/>
    <w:rsid w:val="001C4F3E"/>
    <w:rsid w:val="001C5B0A"/>
    <w:rsid w:val="001C5D17"/>
    <w:rsid w:val="001D016C"/>
    <w:rsid w:val="001D0B4D"/>
    <w:rsid w:val="001D229C"/>
    <w:rsid w:val="001D2925"/>
    <w:rsid w:val="001D659F"/>
    <w:rsid w:val="001D7F51"/>
    <w:rsid w:val="001E349D"/>
    <w:rsid w:val="001E34E2"/>
    <w:rsid w:val="001E59C5"/>
    <w:rsid w:val="001E70FE"/>
    <w:rsid w:val="001F3DF9"/>
    <w:rsid w:val="001F45D7"/>
    <w:rsid w:val="001F4B67"/>
    <w:rsid w:val="001F64D3"/>
    <w:rsid w:val="001F75D8"/>
    <w:rsid w:val="002021F5"/>
    <w:rsid w:val="002025C8"/>
    <w:rsid w:val="0020488B"/>
    <w:rsid w:val="00210CEA"/>
    <w:rsid w:val="00213C98"/>
    <w:rsid w:val="00216824"/>
    <w:rsid w:val="00216CDC"/>
    <w:rsid w:val="00217532"/>
    <w:rsid w:val="00224471"/>
    <w:rsid w:val="00224ADF"/>
    <w:rsid w:val="002328B0"/>
    <w:rsid w:val="002336C1"/>
    <w:rsid w:val="00235B6C"/>
    <w:rsid w:val="00235FC9"/>
    <w:rsid w:val="00243FA1"/>
    <w:rsid w:val="00244DAD"/>
    <w:rsid w:val="00244E30"/>
    <w:rsid w:val="00246D26"/>
    <w:rsid w:val="00253D4B"/>
    <w:rsid w:val="00256423"/>
    <w:rsid w:val="00256F78"/>
    <w:rsid w:val="00257516"/>
    <w:rsid w:val="00261B95"/>
    <w:rsid w:val="00264572"/>
    <w:rsid w:val="00264704"/>
    <w:rsid w:val="002651AF"/>
    <w:rsid w:val="00265E0A"/>
    <w:rsid w:val="00266751"/>
    <w:rsid w:val="0027047C"/>
    <w:rsid w:val="00271EBE"/>
    <w:rsid w:val="00274CE7"/>
    <w:rsid w:val="00276093"/>
    <w:rsid w:val="0028085F"/>
    <w:rsid w:val="00282455"/>
    <w:rsid w:val="002825A9"/>
    <w:rsid w:val="00282AE3"/>
    <w:rsid w:val="00282C00"/>
    <w:rsid w:val="002854A6"/>
    <w:rsid w:val="002877FA"/>
    <w:rsid w:val="002914F6"/>
    <w:rsid w:val="00292CF4"/>
    <w:rsid w:val="00293D77"/>
    <w:rsid w:val="00294100"/>
    <w:rsid w:val="00294538"/>
    <w:rsid w:val="002A0D61"/>
    <w:rsid w:val="002A517E"/>
    <w:rsid w:val="002A6566"/>
    <w:rsid w:val="002B717D"/>
    <w:rsid w:val="002B71A4"/>
    <w:rsid w:val="002C4DCC"/>
    <w:rsid w:val="002C670F"/>
    <w:rsid w:val="002C75F3"/>
    <w:rsid w:val="002D1F8A"/>
    <w:rsid w:val="002D2AC8"/>
    <w:rsid w:val="002E0083"/>
    <w:rsid w:val="002E0E2D"/>
    <w:rsid w:val="002E1185"/>
    <w:rsid w:val="002E35D2"/>
    <w:rsid w:val="002F2899"/>
    <w:rsid w:val="002F5E03"/>
    <w:rsid w:val="002F7548"/>
    <w:rsid w:val="00300C9F"/>
    <w:rsid w:val="003070DC"/>
    <w:rsid w:val="00312C9F"/>
    <w:rsid w:val="00315E54"/>
    <w:rsid w:val="00316BC6"/>
    <w:rsid w:val="00321731"/>
    <w:rsid w:val="003218CE"/>
    <w:rsid w:val="0032198F"/>
    <w:rsid w:val="003229F0"/>
    <w:rsid w:val="00327ABE"/>
    <w:rsid w:val="003333BA"/>
    <w:rsid w:val="00336329"/>
    <w:rsid w:val="00336739"/>
    <w:rsid w:val="00336752"/>
    <w:rsid w:val="003370C7"/>
    <w:rsid w:val="003417EF"/>
    <w:rsid w:val="00344E0F"/>
    <w:rsid w:val="00345366"/>
    <w:rsid w:val="0034546C"/>
    <w:rsid w:val="00346A10"/>
    <w:rsid w:val="00353831"/>
    <w:rsid w:val="00354578"/>
    <w:rsid w:val="003560AF"/>
    <w:rsid w:val="003560C0"/>
    <w:rsid w:val="003606FD"/>
    <w:rsid w:val="003627C5"/>
    <w:rsid w:val="00362B55"/>
    <w:rsid w:val="0036440A"/>
    <w:rsid w:val="00366F4B"/>
    <w:rsid w:val="003676B8"/>
    <w:rsid w:val="0037083B"/>
    <w:rsid w:val="00373E4B"/>
    <w:rsid w:val="00374F23"/>
    <w:rsid w:val="003845A5"/>
    <w:rsid w:val="00384EEB"/>
    <w:rsid w:val="00394634"/>
    <w:rsid w:val="00395AFD"/>
    <w:rsid w:val="003A33FE"/>
    <w:rsid w:val="003A60CA"/>
    <w:rsid w:val="003B1605"/>
    <w:rsid w:val="003B1856"/>
    <w:rsid w:val="003B33EB"/>
    <w:rsid w:val="003B522C"/>
    <w:rsid w:val="003C22BE"/>
    <w:rsid w:val="003C290B"/>
    <w:rsid w:val="003C2E5C"/>
    <w:rsid w:val="003C5D56"/>
    <w:rsid w:val="003C6F44"/>
    <w:rsid w:val="003D709F"/>
    <w:rsid w:val="003D78A0"/>
    <w:rsid w:val="003E11C2"/>
    <w:rsid w:val="003E2598"/>
    <w:rsid w:val="003E59EF"/>
    <w:rsid w:val="003E6533"/>
    <w:rsid w:val="003E68B0"/>
    <w:rsid w:val="003E7CC5"/>
    <w:rsid w:val="003F36B1"/>
    <w:rsid w:val="003F3AD7"/>
    <w:rsid w:val="003F79FC"/>
    <w:rsid w:val="0040060A"/>
    <w:rsid w:val="0040078E"/>
    <w:rsid w:val="00400D8D"/>
    <w:rsid w:val="00400DBE"/>
    <w:rsid w:val="00411817"/>
    <w:rsid w:val="00414A27"/>
    <w:rsid w:val="004157F0"/>
    <w:rsid w:val="004167B4"/>
    <w:rsid w:val="00416940"/>
    <w:rsid w:val="0041757D"/>
    <w:rsid w:val="00424A04"/>
    <w:rsid w:val="004277EF"/>
    <w:rsid w:val="00427938"/>
    <w:rsid w:val="00430970"/>
    <w:rsid w:val="00432350"/>
    <w:rsid w:val="00432EA4"/>
    <w:rsid w:val="00435084"/>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54FD5"/>
    <w:rsid w:val="004613B9"/>
    <w:rsid w:val="00461818"/>
    <w:rsid w:val="00462787"/>
    <w:rsid w:val="00463426"/>
    <w:rsid w:val="004656B7"/>
    <w:rsid w:val="004724EA"/>
    <w:rsid w:val="00481805"/>
    <w:rsid w:val="00482190"/>
    <w:rsid w:val="00490E23"/>
    <w:rsid w:val="00492234"/>
    <w:rsid w:val="00493CDA"/>
    <w:rsid w:val="00495569"/>
    <w:rsid w:val="0049601E"/>
    <w:rsid w:val="00497AFF"/>
    <w:rsid w:val="004A040F"/>
    <w:rsid w:val="004A2207"/>
    <w:rsid w:val="004A26D4"/>
    <w:rsid w:val="004A71E8"/>
    <w:rsid w:val="004B1E6B"/>
    <w:rsid w:val="004B4018"/>
    <w:rsid w:val="004B78F8"/>
    <w:rsid w:val="004C02D2"/>
    <w:rsid w:val="004C5A8F"/>
    <w:rsid w:val="004C6D4A"/>
    <w:rsid w:val="004D0D0E"/>
    <w:rsid w:val="004D6FD7"/>
    <w:rsid w:val="004E2051"/>
    <w:rsid w:val="004E5035"/>
    <w:rsid w:val="004E71B6"/>
    <w:rsid w:val="004F08BA"/>
    <w:rsid w:val="004F1C5C"/>
    <w:rsid w:val="004F373D"/>
    <w:rsid w:val="004F48F0"/>
    <w:rsid w:val="004F5BE6"/>
    <w:rsid w:val="004F7DA9"/>
    <w:rsid w:val="005100E9"/>
    <w:rsid w:val="005105AE"/>
    <w:rsid w:val="0051236D"/>
    <w:rsid w:val="005158C2"/>
    <w:rsid w:val="00522799"/>
    <w:rsid w:val="00524C09"/>
    <w:rsid w:val="005261A8"/>
    <w:rsid w:val="00527D26"/>
    <w:rsid w:val="00532173"/>
    <w:rsid w:val="005328A4"/>
    <w:rsid w:val="0053328A"/>
    <w:rsid w:val="005350B8"/>
    <w:rsid w:val="005372EB"/>
    <w:rsid w:val="0054041F"/>
    <w:rsid w:val="00540D9B"/>
    <w:rsid w:val="005429A1"/>
    <w:rsid w:val="00542DBB"/>
    <w:rsid w:val="0054622D"/>
    <w:rsid w:val="00547137"/>
    <w:rsid w:val="00547A6B"/>
    <w:rsid w:val="00553285"/>
    <w:rsid w:val="00556079"/>
    <w:rsid w:val="0055641F"/>
    <w:rsid w:val="00556940"/>
    <w:rsid w:val="00556BB9"/>
    <w:rsid w:val="00557AAC"/>
    <w:rsid w:val="00567357"/>
    <w:rsid w:val="005675DA"/>
    <w:rsid w:val="005713E4"/>
    <w:rsid w:val="00575398"/>
    <w:rsid w:val="00575608"/>
    <w:rsid w:val="00575C84"/>
    <w:rsid w:val="00576532"/>
    <w:rsid w:val="0058641F"/>
    <w:rsid w:val="00587D9F"/>
    <w:rsid w:val="0059274C"/>
    <w:rsid w:val="005A09CE"/>
    <w:rsid w:val="005A16E1"/>
    <w:rsid w:val="005A2867"/>
    <w:rsid w:val="005A2A02"/>
    <w:rsid w:val="005A2B2B"/>
    <w:rsid w:val="005A4F2A"/>
    <w:rsid w:val="005B2826"/>
    <w:rsid w:val="005B5682"/>
    <w:rsid w:val="005B6F08"/>
    <w:rsid w:val="005B73EA"/>
    <w:rsid w:val="005C3C00"/>
    <w:rsid w:val="005C4934"/>
    <w:rsid w:val="005C5534"/>
    <w:rsid w:val="005D0FFD"/>
    <w:rsid w:val="005D1101"/>
    <w:rsid w:val="005D2437"/>
    <w:rsid w:val="005D3B1F"/>
    <w:rsid w:val="005D3DB5"/>
    <w:rsid w:val="005D5DDE"/>
    <w:rsid w:val="005E190D"/>
    <w:rsid w:val="005F1D23"/>
    <w:rsid w:val="005F3783"/>
    <w:rsid w:val="005F3EE3"/>
    <w:rsid w:val="005F4A5A"/>
    <w:rsid w:val="005F649D"/>
    <w:rsid w:val="00600399"/>
    <w:rsid w:val="00600475"/>
    <w:rsid w:val="00606BE1"/>
    <w:rsid w:val="006074FF"/>
    <w:rsid w:val="00612B75"/>
    <w:rsid w:val="00612DF0"/>
    <w:rsid w:val="0061366B"/>
    <w:rsid w:val="006139B3"/>
    <w:rsid w:val="00614D0C"/>
    <w:rsid w:val="006157FC"/>
    <w:rsid w:val="0061590C"/>
    <w:rsid w:val="0062128F"/>
    <w:rsid w:val="00625750"/>
    <w:rsid w:val="00626112"/>
    <w:rsid w:val="0062655C"/>
    <w:rsid w:val="006277F6"/>
    <w:rsid w:val="0062789D"/>
    <w:rsid w:val="00630B3E"/>
    <w:rsid w:val="00630FE7"/>
    <w:rsid w:val="00635687"/>
    <w:rsid w:val="00635805"/>
    <w:rsid w:val="00636AEE"/>
    <w:rsid w:val="00636CD2"/>
    <w:rsid w:val="00640DF0"/>
    <w:rsid w:val="00640F13"/>
    <w:rsid w:val="00642BDF"/>
    <w:rsid w:val="006448B4"/>
    <w:rsid w:val="00646B40"/>
    <w:rsid w:val="00654F2B"/>
    <w:rsid w:val="00656F8E"/>
    <w:rsid w:val="00660578"/>
    <w:rsid w:val="00661180"/>
    <w:rsid w:val="006614CF"/>
    <w:rsid w:val="00662B6F"/>
    <w:rsid w:val="00663F2F"/>
    <w:rsid w:val="00664D5D"/>
    <w:rsid w:val="00664D78"/>
    <w:rsid w:val="00674191"/>
    <w:rsid w:val="0067427A"/>
    <w:rsid w:val="00674937"/>
    <w:rsid w:val="006778B5"/>
    <w:rsid w:val="0068568A"/>
    <w:rsid w:val="00686109"/>
    <w:rsid w:val="00691442"/>
    <w:rsid w:val="00691773"/>
    <w:rsid w:val="00694194"/>
    <w:rsid w:val="0069493E"/>
    <w:rsid w:val="0069644B"/>
    <w:rsid w:val="006A16ED"/>
    <w:rsid w:val="006A297F"/>
    <w:rsid w:val="006A3087"/>
    <w:rsid w:val="006A468E"/>
    <w:rsid w:val="006A5C1B"/>
    <w:rsid w:val="006A6E75"/>
    <w:rsid w:val="006B0921"/>
    <w:rsid w:val="006B0E04"/>
    <w:rsid w:val="006B3ED2"/>
    <w:rsid w:val="006B55C7"/>
    <w:rsid w:val="006B6981"/>
    <w:rsid w:val="006B72A2"/>
    <w:rsid w:val="006B77E7"/>
    <w:rsid w:val="006C0DCF"/>
    <w:rsid w:val="006C120F"/>
    <w:rsid w:val="006C15F8"/>
    <w:rsid w:val="006C1DEE"/>
    <w:rsid w:val="006C3AEC"/>
    <w:rsid w:val="006C7828"/>
    <w:rsid w:val="006D0968"/>
    <w:rsid w:val="006D44F3"/>
    <w:rsid w:val="006D4655"/>
    <w:rsid w:val="006D5AEF"/>
    <w:rsid w:val="006D7C0A"/>
    <w:rsid w:val="006E0D5F"/>
    <w:rsid w:val="006F05A0"/>
    <w:rsid w:val="006F2513"/>
    <w:rsid w:val="006F28B6"/>
    <w:rsid w:val="006F6BA7"/>
    <w:rsid w:val="006F6D28"/>
    <w:rsid w:val="00701B0E"/>
    <w:rsid w:val="007102CF"/>
    <w:rsid w:val="0071034F"/>
    <w:rsid w:val="00712835"/>
    <w:rsid w:val="00716AC8"/>
    <w:rsid w:val="007207DE"/>
    <w:rsid w:val="007211E0"/>
    <w:rsid w:val="007232C8"/>
    <w:rsid w:val="00723DE9"/>
    <w:rsid w:val="0072462A"/>
    <w:rsid w:val="007265DC"/>
    <w:rsid w:val="00732DF0"/>
    <w:rsid w:val="007342C9"/>
    <w:rsid w:val="00742C3A"/>
    <w:rsid w:val="007435DB"/>
    <w:rsid w:val="00744683"/>
    <w:rsid w:val="0074521E"/>
    <w:rsid w:val="00746CF3"/>
    <w:rsid w:val="00747D5C"/>
    <w:rsid w:val="00751DEB"/>
    <w:rsid w:val="00752231"/>
    <w:rsid w:val="00754921"/>
    <w:rsid w:val="00756550"/>
    <w:rsid w:val="00764137"/>
    <w:rsid w:val="007704A9"/>
    <w:rsid w:val="007704E0"/>
    <w:rsid w:val="00771F68"/>
    <w:rsid w:val="00774122"/>
    <w:rsid w:val="00774356"/>
    <w:rsid w:val="0077632B"/>
    <w:rsid w:val="0078189D"/>
    <w:rsid w:val="0078463D"/>
    <w:rsid w:val="007848D6"/>
    <w:rsid w:val="007868EF"/>
    <w:rsid w:val="00787E52"/>
    <w:rsid w:val="00795ADD"/>
    <w:rsid w:val="007979C9"/>
    <w:rsid w:val="007A2AD5"/>
    <w:rsid w:val="007A4CB7"/>
    <w:rsid w:val="007A7659"/>
    <w:rsid w:val="007B017F"/>
    <w:rsid w:val="007B0735"/>
    <w:rsid w:val="007B07D4"/>
    <w:rsid w:val="007B1A8A"/>
    <w:rsid w:val="007B5C54"/>
    <w:rsid w:val="007B5F8B"/>
    <w:rsid w:val="007B63DC"/>
    <w:rsid w:val="007B70A7"/>
    <w:rsid w:val="007B7F6B"/>
    <w:rsid w:val="007C1686"/>
    <w:rsid w:val="007C4536"/>
    <w:rsid w:val="007C7102"/>
    <w:rsid w:val="007D0A9F"/>
    <w:rsid w:val="007D52C2"/>
    <w:rsid w:val="007D62AC"/>
    <w:rsid w:val="007D7CF3"/>
    <w:rsid w:val="007E0349"/>
    <w:rsid w:val="007E3F24"/>
    <w:rsid w:val="007E47EE"/>
    <w:rsid w:val="007E4943"/>
    <w:rsid w:val="007E5D1D"/>
    <w:rsid w:val="007E72FA"/>
    <w:rsid w:val="007E7A18"/>
    <w:rsid w:val="007F024B"/>
    <w:rsid w:val="007F0B12"/>
    <w:rsid w:val="007F3AD5"/>
    <w:rsid w:val="00801370"/>
    <w:rsid w:val="00805710"/>
    <w:rsid w:val="00807FDB"/>
    <w:rsid w:val="008119EF"/>
    <w:rsid w:val="00812585"/>
    <w:rsid w:val="00812A1F"/>
    <w:rsid w:val="00820AEF"/>
    <w:rsid w:val="008220EC"/>
    <w:rsid w:val="00822546"/>
    <w:rsid w:val="00824D23"/>
    <w:rsid w:val="0082790F"/>
    <w:rsid w:val="00827960"/>
    <w:rsid w:val="00833136"/>
    <w:rsid w:val="00833D9E"/>
    <w:rsid w:val="008345FC"/>
    <w:rsid w:val="008346A6"/>
    <w:rsid w:val="00840AE6"/>
    <w:rsid w:val="0084333A"/>
    <w:rsid w:val="00843CF2"/>
    <w:rsid w:val="00845C94"/>
    <w:rsid w:val="00846421"/>
    <w:rsid w:val="00847C55"/>
    <w:rsid w:val="00847F47"/>
    <w:rsid w:val="00854BFA"/>
    <w:rsid w:val="008561CC"/>
    <w:rsid w:val="00857D45"/>
    <w:rsid w:val="00861600"/>
    <w:rsid w:val="00861BBD"/>
    <w:rsid w:val="00865E0F"/>
    <w:rsid w:val="00874D33"/>
    <w:rsid w:val="00875115"/>
    <w:rsid w:val="0087786D"/>
    <w:rsid w:val="0087797C"/>
    <w:rsid w:val="00882742"/>
    <w:rsid w:val="008831B4"/>
    <w:rsid w:val="00894320"/>
    <w:rsid w:val="008A24AB"/>
    <w:rsid w:val="008A2EB2"/>
    <w:rsid w:val="008A60EC"/>
    <w:rsid w:val="008A6E04"/>
    <w:rsid w:val="008A79F9"/>
    <w:rsid w:val="008A7C56"/>
    <w:rsid w:val="008B5AF2"/>
    <w:rsid w:val="008B661C"/>
    <w:rsid w:val="008B67F0"/>
    <w:rsid w:val="008C144B"/>
    <w:rsid w:val="008C15D7"/>
    <w:rsid w:val="008C3C7D"/>
    <w:rsid w:val="008C5CAD"/>
    <w:rsid w:val="008D09BF"/>
    <w:rsid w:val="008D2EDA"/>
    <w:rsid w:val="008D5B9C"/>
    <w:rsid w:val="008E0F18"/>
    <w:rsid w:val="008E1419"/>
    <w:rsid w:val="008E1FD4"/>
    <w:rsid w:val="008E5BE8"/>
    <w:rsid w:val="008F00CA"/>
    <w:rsid w:val="008F13D3"/>
    <w:rsid w:val="008F1D76"/>
    <w:rsid w:val="008F2C86"/>
    <w:rsid w:val="008F41BA"/>
    <w:rsid w:val="00900C94"/>
    <w:rsid w:val="0090122F"/>
    <w:rsid w:val="00901383"/>
    <w:rsid w:val="00901622"/>
    <w:rsid w:val="00903F4E"/>
    <w:rsid w:val="009040F1"/>
    <w:rsid w:val="00904933"/>
    <w:rsid w:val="00904C54"/>
    <w:rsid w:val="00905270"/>
    <w:rsid w:val="00907D6F"/>
    <w:rsid w:val="00913122"/>
    <w:rsid w:val="009132E1"/>
    <w:rsid w:val="00913B68"/>
    <w:rsid w:val="009161E5"/>
    <w:rsid w:val="0092127B"/>
    <w:rsid w:val="0092378B"/>
    <w:rsid w:val="0092519C"/>
    <w:rsid w:val="00925672"/>
    <w:rsid w:val="00926EF1"/>
    <w:rsid w:val="009323F7"/>
    <w:rsid w:val="009355ED"/>
    <w:rsid w:val="0094294A"/>
    <w:rsid w:val="00943C69"/>
    <w:rsid w:val="00943F65"/>
    <w:rsid w:val="00944452"/>
    <w:rsid w:val="00944BA6"/>
    <w:rsid w:val="0094516A"/>
    <w:rsid w:val="00950287"/>
    <w:rsid w:val="00953386"/>
    <w:rsid w:val="00953767"/>
    <w:rsid w:val="009539EF"/>
    <w:rsid w:val="00954BE2"/>
    <w:rsid w:val="00957EFC"/>
    <w:rsid w:val="00960E6F"/>
    <w:rsid w:val="00960EF3"/>
    <w:rsid w:val="00961F39"/>
    <w:rsid w:val="00962DD7"/>
    <w:rsid w:val="00963678"/>
    <w:rsid w:val="009678A0"/>
    <w:rsid w:val="00967F0A"/>
    <w:rsid w:val="00970FAD"/>
    <w:rsid w:val="009719B6"/>
    <w:rsid w:val="00973293"/>
    <w:rsid w:val="0097575D"/>
    <w:rsid w:val="00976068"/>
    <w:rsid w:val="0097752D"/>
    <w:rsid w:val="009826AB"/>
    <w:rsid w:val="009861B8"/>
    <w:rsid w:val="009917A1"/>
    <w:rsid w:val="009940A0"/>
    <w:rsid w:val="00994211"/>
    <w:rsid w:val="009A5B4B"/>
    <w:rsid w:val="009A6097"/>
    <w:rsid w:val="009B0EF0"/>
    <w:rsid w:val="009B2043"/>
    <w:rsid w:val="009B3C49"/>
    <w:rsid w:val="009C0237"/>
    <w:rsid w:val="009C1AC4"/>
    <w:rsid w:val="009C1DCE"/>
    <w:rsid w:val="009C5100"/>
    <w:rsid w:val="009E240D"/>
    <w:rsid w:val="009E5BDD"/>
    <w:rsid w:val="009E7068"/>
    <w:rsid w:val="009E7757"/>
    <w:rsid w:val="009F0DBD"/>
    <w:rsid w:val="009F1DB9"/>
    <w:rsid w:val="009F3E9B"/>
    <w:rsid w:val="009F68A1"/>
    <w:rsid w:val="009F6CD5"/>
    <w:rsid w:val="00A00090"/>
    <w:rsid w:val="00A01389"/>
    <w:rsid w:val="00A017B8"/>
    <w:rsid w:val="00A11E17"/>
    <w:rsid w:val="00A11EA2"/>
    <w:rsid w:val="00A11FC0"/>
    <w:rsid w:val="00A148BB"/>
    <w:rsid w:val="00A15C77"/>
    <w:rsid w:val="00A16CBA"/>
    <w:rsid w:val="00A16EB4"/>
    <w:rsid w:val="00A217D0"/>
    <w:rsid w:val="00A21818"/>
    <w:rsid w:val="00A243E6"/>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4700"/>
    <w:rsid w:val="00A72987"/>
    <w:rsid w:val="00A72B75"/>
    <w:rsid w:val="00A77025"/>
    <w:rsid w:val="00A80106"/>
    <w:rsid w:val="00A8130C"/>
    <w:rsid w:val="00A81411"/>
    <w:rsid w:val="00A816F5"/>
    <w:rsid w:val="00A822B5"/>
    <w:rsid w:val="00A82349"/>
    <w:rsid w:val="00A91EA7"/>
    <w:rsid w:val="00A92CCB"/>
    <w:rsid w:val="00A92E59"/>
    <w:rsid w:val="00A955B0"/>
    <w:rsid w:val="00A95651"/>
    <w:rsid w:val="00A96017"/>
    <w:rsid w:val="00A964CD"/>
    <w:rsid w:val="00A979F1"/>
    <w:rsid w:val="00AA2497"/>
    <w:rsid w:val="00AA3B73"/>
    <w:rsid w:val="00AA53EF"/>
    <w:rsid w:val="00AA6CB5"/>
    <w:rsid w:val="00AA724C"/>
    <w:rsid w:val="00AA7B68"/>
    <w:rsid w:val="00AB0969"/>
    <w:rsid w:val="00AB13FB"/>
    <w:rsid w:val="00AB163E"/>
    <w:rsid w:val="00AB3ACF"/>
    <w:rsid w:val="00AB4D68"/>
    <w:rsid w:val="00AB6FDF"/>
    <w:rsid w:val="00AC1A70"/>
    <w:rsid w:val="00AC2CFE"/>
    <w:rsid w:val="00AC5286"/>
    <w:rsid w:val="00AC5A0C"/>
    <w:rsid w:val="00AC6794"/>
    <w:rsid w:val="00AC6F4A"/>
    <w:rsid w:val="00AC7794"/>
    <w:rsid w:val="00AD07E0"/>
    <w:rsid w:val="00AD0C84"/>
    <w:rsid w:val="00AD3067"/>
    <w:rsid w:val="00AD516E"/>
    <w:rsid w:val="00AD57A5"/>
    <w:rsid w:val="00AD61A1"/>
    <w:rsid w:val="00AD693F"/>
    <w:rsid w:val="00AD7A83"/>
    <w:rsid w:val="00AE07A0"/>
    <w:rsid w:val="00AE0E19"/>
    <w:rsid w:val="00AE103A"/>
    <w:rsid w:val="00AE23A6"/>
    <w:rsid w:val="00AE2DA0"/>
    <w:rsid w:val="00AE300B"/>
    <w:rsid w:val="00AE32BC"/>
    <w:rsid w:val="00AE62BC"/>
    <w:rsid w:val="00AF36D4"/>
    <w:rsid w:val="00AF37D1"/>
    <w:rsid w:val="00AF545D"/>
    <w:rsid w:val="00AF61BE"/>
    <w:rsid w:val="00B00B5B"/>
    <w:rsid w:val="00B02981"/>
    <w:rsid w:val="00B02D29"/>
    <w:rsid w:val="00B06AB6"/>
    <w:rsid w:val="00B1003A"/>
    <w:rsid w:val="00B1447C"/>
    <w:rsid w:val="00B164F7"/>
    <w:rsid w:val="00B2111F"/>
    <w:rsid w:val="00B2117B"/>
    <w:rsid w:val="00B215B0"/>
    <w:rsid w:val="00B21CE2"/>
    <w:rsid w:val="00B2371A"/>
    <w:rsid w:val="00B242AB"/>
    <w:rsid w:val="00B24F68"/>
    <w:rsid w:val="00B2685F"/>
    <w:rsid w:val="00B33BF4"/>
    <w:rsid w:val="00B3617B"/>
    <w:rsid w:val="00B369F1"/>
    <w:rsid w:val="00B37B2F"/>
    <w:rsid w:val="00B37EEC"/>
    <w:rsid w:val="00B434F2"/>
    <w:rsid w:val="00B44A82"/>
    <w:rsid w:val="00B47418"/>
    <w:rsid w:val="00B47F9C"/>
    <w:rsid w:val="00B50BD8"/>
    <w:rsid w:val="00B52602"/>
    <w:rsid w:val="00B56213"/>
    <w:rsid w:val="00B57810"/>
    <w:rsid w:val="00B60400"/>
    <w:rsid w:val="00B60F85"/>
    <w:rsid w:val="00B6217B"/>
    <w:rsid w:val="00B645FD"/>
    <w:rsid w:val="00B70D0D"/>
    <w:rsid w:val="00B71542"/>
    <w:rsid w:val="00B74B9C"/>
    <w:rsid w:val="00B774DC"/>
    <w:rsid w:val="00B77761"/>
    <w:rsid w:val="00B81822"/>
    <w:rsid w:val="00B820EF"/>
    <w:rsid w:val="00B8210D"/>
    <w:rsid w:val="00B8297C"/>
    <w:rsid w:val="00B84A75"/>
    <w:rsid w:val="00B9067F"/>
    <w:rsid w:val="00B9181D"/>
    <w:rsid w:val="00B948C3"/>
    <w:rsid w:val="00BB1AFB"/>
    <w:rsid w:val="00BB376B"/>
    <w:rsid w:val="00BB3C60"/>
    <w:rsid w:val="00BC3FED"/>
    <w:rsid w:val="00BC61B5"/>
    <w:rsid w:val="00BD0689"/>
    <w:rsid w:val="00BD20F2"/>
    <w:rsid w:val="00BD5216"/>
    <w:rsid w:val="00BE3467"/>
    <w:rsid w:val="00BE7A93"/>
    <w:rsid w:val="00BF3168"/>
    <w:rsid w:val="00BF7E43"/>
    <w:rsid w:val="00C013B0"/>
    <w:rsid w:val="00C01943"/>
    <w:rsid w:val="00C02368"/>
    <w:rsid w:val="00C02C30"/>
    <w:rsid w:val="00C02E04"/>
    <w:rsid w:val="00C0490C"/>
    <w:rsid w:val="00C04D8B"/>
    <w:rsid w:val="00C067FC"/>
    <w:rsid w:val="00C137AD"/>
    <w:rsid w:val="00C14EE0"/>
    <w:rsid w:val="00C171D5"/>
    <w:rsid w:val="00C17CE4"/>
    <w:rsid w:val="00C20964"/>
    <w:rsid w:val="00C20FCE"/>
    <w:rsid w:val="00C214DE"/>
    <w:rsid w:val="00C40635"/>
    <w:rsid w:val="00C47BC8"/>
    <w:rsid w:val="00C47E0E"/>
    <w:rsid w:val="00C50951"/>
    <w:rsid w:val="00C5235A"/>
    <w:rsid w:val="00C53CFE"/>
    <w:rsid w:val="00C558CD"/>
    <w:rsid w:val="00C55B7E"/>
    <w:rsid w:val="00C56F43"/>
    <w:rsid w:val="00C5701A"/>
    <w:rsid w:val="00C63F21"/>
    <w:rsid w:val="00C644F8"/>
    <w:rsid w:val="00C64AB1"/>
    <w:rsid w:val="00C7064C"/>
    <w:rsid w:val="00C73573"/>
    <w:rsid w:val="00C744C8"/>
    <w:rsid w:val="00C74736"/>
    <w:rsid w:val="00C75F20"/>
    <w:rsid w:val="00C76C6D"/>
    <w:rsid w:val="00C76D90"/>
    <w:rsid w:val="00C77171"/>
    <w:rsid w:val="00C77B31"/>
    <w:rsid w:val="00C80417"/>
    <w:rsid w:val="00C81DC7"/>
    <w:rsid w:val="00C82759"/>
    <w:rsid w:val="00C8505E"/>
    <w:rsid w:val="00C858B7"/>
    <w:rsid w:val="00C86E61"/>
    <w:rsid w:val="00C878A6"/>
    <w:rsid w:val="00C90CBF"/>
    <w:rsid w:val="00C93E54"/>
    <w:rsid w:val="00C93ED6"/>
    <w:rsid w:val="00C9409C"/>
    <w:rsid w:val="00C97A8E"/>
    <w:rsid w:val="00CA18E7"/>
    <w:rsid w:val="00CA1FB4"/>
    <w:rsid w:val="00CA4000"/>
    <w:rsid w:val="00CA56FB"/>
    <w:rsid w:val="00CA5A43"/>
    <w:rsid w:val="00CA6C69"/>
    <w:rsid w:val="00CB04C6"/>
    <w:rsid w:val="00CB7679"/>
    <w:rsid w:val="00CC4FB7"/>
    <w:rsid w:val="00CC6044"/>
    <w:rsid w:val="00CD171E"/>
    <w:rsid w:val="00CD3381"/>
    <w:rsid w:val="00CE01DB"/>
    <w:rsid w:val="00CE12AB"/>
    <w:rsid w:val="00CE1761"/>
    <w:rsid w:val="00CE1CBA"/>
    <w:rsid w:val="00CF0607"/>
    <w:rsid w:val="00CF0BEC"/>
    <w:rsid w:val="00CF1473"/>
    <w:rsid w:val="00CF3C99"/>
    <w:rsid w:val="00CF4457"/>
    <w:rsid w:val="00CF4DC1"/>
    <w:rsid w:val="00CF688E"/>
    <w:rsid w:val="00CF6AC8"/>
    <w:rsid w:val="00D0069B"/>
    <w:rsid w:val="00D02709"/>
    <w:rsid w:val="00D03EB9"/>
    <w:rsid w:val="00D04806"/>
    <w:rsid w:val="00D05C35"/>
    <w:rsid w:val="00D0658E"/>
    <w:rsid w:val="00D1006B"/>
    <w:rsid w:val="00D148C9"/>
    <w:rsid w:val="00D17102"/>
    <w:rsid w:val="00D24BAA"/>
    <w:rsid w:val="00D329C5"/>
    <w:rsid w:val="00D336A3"/>
    <w:rsid w:val="00D33BAB"/>
    <w:rsid w:val="00D345E8"/>
    <w:rsid w:val="00D42AEA"/>
    <w:rsid w:val="00D43A1F"/>
    <w:rsid w:val="00D44D84"/>
    <w:rsid w:val="00D501F0"/>
    <w:rsid w:val="00D50D8C"/>
    <w:rsid w:val="00D519A8"/>
    <w:rsid w:val="00D51D31"/>
    <w:rsid w:val="00D5241E"/>
    <w:rsid w:val="00D526E8"/>
    <w:rsid w:val="00D547FB"/>
    <w:rsid w:val="00D56FC7"/>
    <w:rsid w:val="00D603BE"/>
    <w:rsid w:val="00D613C4"/>
    <w:rsid w:val="00D618D8"/>
    <w:rsid w:val="00D61B20"/>
    <w:rsid w:val="00D61D3A"/>
    <w:rsid w:val="00D627F9"/>
    <w:rsid w:val="00D62E8B"/>
    <w:rsid w:val="00D6518E"/>
    <w:rsid w:val="00D66441"/>
    <w:rsid w:val="00D67637"/>
    <w:rsid w:val="00D676A2"/>
    <w:rsid w:val="00D72C80"/>
    <w:rsid w:val="00D740A6"/>
    <w:rsid w:val="00D758FB"/>
    <w:rsid w:val="00D8067A"/>
    <w:rsid w:val="00D821CF"/>
    <w:rsid w:val="00D84359"/>
    <w:rsid w:val="00D84CE3"/>
    <w:rsid w:val="00D85D12"/>
    <w:rsid w:val="00D8674A"/>
    <w:rsid w:val="00D867D7"/>
    <w:rsid w:val="00D90EE8"/>
    <w:rsid w:val="00D91E7C"/>
    <w:rsid w:val="00D95C9D"/>
    <w:rsid w:val="00D9632B"/>
    <w:rsid w:val="00DA47AB"/>
    <w:rsid w:val="00DB2CCF"/>
    <w:rsid w:val="00DB3826"/>
    <w:rsid w:val="00DB67C3"/>
    <w:rsid w:val="00DB7A6C"/>
    <w:rsid w:val="00DC46F3"/>
    <w:rsid w:val="00DC47D0"/>
    <w:rsid w:val="00DC5485"/>
    <w:rsid w:val="00DC5BF4"/>
    <w:rsid w:val="00DD0624"/>
    <w:rsid w:val="00DD267E"/>
    <w:rsid w:val="00DD28EF"/>
    <w:rsid w:val="00DD3E2E"/>
    <w:rsid w:val="00DD5F89"/>
    <w:rsid w:val="00DD79AA"/>
    <w:rsid w:val="00DE09A4"/>
    <w:rsid w:val="00DE107B"/>
    <w:rsid w:val="00DE609D"/>
    <w:rsid w:val="00DE623E"/>
    <w:rsid w:val="00DE62F8"/>
    <w:rsid w:val="00DE7BE6"/>
    <w:rsid w:val="00DF1CCA"/>
    <w:rsid w:val="00DF4DA3"/>
    <w:rsid w:val="00DF4F8F"/>
    <w:rsid w:val="00DF72BA"/>
    <w:rsid w:val="00E01A4F"/>
    <w:rsid w:val="00E02AB0"/>
    <w:rsid w:val="00E02BFE"/>
    <w:rsid w:val="00E0329B"/>
    <w:rsid w:val="00E03326"/>
    <w:rsid w:val="00E03449"/>
    <w:rsid w:val="00E0571D"/>
    <w:rsid w:val="00E06648"/>
    <w:rsid w:val="00E11CEE"/>
    <w:rsid w:val="00E131D1"/>
    <w:rsid w:val="00E13624"/>
    <w:rsid w:val="00E1683D"/>
    <w:rsid w:val="00E17EB8"/>
    <w:rsid w:val="00E200FA"/>
    <w:rsid w:val="00E2321F"/>
    <w:rsid w:val="00E2326E"/>
    <w:rsid w:val="00E237B2"/>
    <w:rsid w:val="00E238AE"/>
    <w:rsid w:val="00E250FE"/>
    <w:rsid w:val="00E26758"/>
    <w:rsid w:val="00E26E66"/>
    <w:rsid w:val="00E318C6"/>
    <w:rsid w:val="00E374CE"/>
    <w:rsid w:val="00E42FE8"/>
    <w:rsid w:val="00E43DB0"/>
    <w:rsid w:val="00E441BE"/>
    <w:rsid w:val="00E4484B"/>
    <w:rsid w:val="00E44FBA"/>
    <w:rsid w:val="00E451B9"/>
    <w:rsid w:val="00E457EE"/>
    <w:rsid w:val="00E46293"/>
    <w:rsid w:val="00E46658"/>
    <w:rsid w:val="00E52385"/>
    <w:rsid w:val="00E52423"/>
    <w:rsid w:val="00E52DA2"/>
    <w:rsid w:val="00E5469D"/>
    <w:rsid w:val="00E61BDD"/>
    <w:rsid w:val="00E62029"/>
    <w:rsid w:val="00E629A4"/>
    <w:rsid w:val="00E6344A"/>
    <w:rsid w:val="00E66BC4"/>
    <w:rsid w:val="00E712D1"/>
    <w:rsid w:val="00E7244B"/>
    <w:rsid w:val="00E73F44"/>
    <w:rsid w:val="00E81D14"/>
    <w:rsid w:val="00E828DE"/>
    <w:rsid w:val="00E9008E"/>
    <w:rsid w:val="00E92A0D"/>
    <w:rsid w:val="00E9321E"/>
    <w:rsid w:val="00E94059"/>
    <w:rsid w:val="00E952D2"/>
    <w:rsid w:val="00EA50D3"/>
    <w:rsid w:val="00EB378D"/>
    <w:rsid w:val="00EB3FD4"/>
    <w:rsid w:val="00EB5DD1"/>
    <w:rsid w:val="00EB739A"/>
    <w:rsid w:val="00EB7EAB"/>
    <w:rsid w:val="00EC09F5"/>
    <w:rsid w:val="00EC15BA"/>
    <w:rsid w:val="00EC3EA4"/>
    <w:rsid w:val="00EC57EC"/>
    <w:rsid w:val="00EC700E"/>
    <w:rsid w:val="00EC7574"/>
    <w:rsid w:val="00ED1100"/>
    <w:rsid w:val="00ED24C7"/>
    <w:rsid w:val="00ED2D09"/>
    <w:rsid w:val="00ED542F"/>
    <w:rsid w:val="00ED553D"/>
    <w:rsid w:val="00ED67A1"/>
    <w:rsid w:val="00EE55B6"/>
    <w:rsid w:val="00EE6A34"/>
    <w:rsid w:val="00EE7F34"/>
    <w:rsid w:val="00EF3BEF"/>
    <w:rsid w:val="00EF4E6F"/>
    <w:rsid w:val="00EF5DAB"/>
    <w:rsid w:val="00EF63D5"/>
    <w:rsid w:val="00F00586"/>
    <w:rsid w:val="00F01C02"/>
    <w:rsid w:val="00F107E2"/>
    <w:rsid w:val="00F10E43"/>
    <w:rsid w:val="00F12921"/>
    <w:rsid w:val="00F12AA3"/>
    <w:rsid w:val="00F1508F"/>
    <w:rsid w:val="00F15C2D"/>
    <w:rsid w:val="00F172D7"/>
    <w:rsid w:val="00F21B33"/>
    <w:rsid w:val="00F25651"/>
    <w:rsid w:val="00F25A73"/>
    <w:rsid w:val="00F27140"/>
    <w:rsid w:val="00F27461"/>
    <w:rsid w:val="00F275F4"/>
    <w:rsid w:val="00F30D21"/>
    <w:rsid w:val="00F316D9"/>
    <w:rsid w:val="00F31B7A"/>
    <w:rsid w:val="00F32214"/>
    <w:rsid w:val="00F346A0"/>
    <w:rsid w:val="00F42E04"/>
    <w:rsid w:val="00F437EA"/>
    <w:rsid w:val="00F535D6"/>
    <w:rsid w:val="00F538F8"/>
    <w:rsid w:val="00F55AA2"/>
    <w:rsid w:val="00F57F1B"/>
    <w:rsid w:val="00F61801"/>
    <w:rsid w:val="00F61F07"/>
    <w:rsid w:val="00F61F8D"/>
    <w:rsid w:val="00F62827"/>
    <w:rsid w:val="00F63E54"/>
    <w:rsid w:val="00F65FEA"/>
    <w:rsid w:val="00F70BD0"/>
    <w:rsid w:val="00F72100"/>
    <w:rsid w:val="00F74E28"/>
    <w:rsid w:val="00F75389"/>
    <w:rsid w:val="00F755A4"/>
    <w:rsid w:val="00F818B3"/>
    <w:rsid w:val="00F83C57"/>
    <w:rsid w:val="00F8466C"/>
    <w:rsid w:val="00F86E1D"/>
    <w:rsid w:val="00F903F2"/>
    <w:rsid w:val="00F907EA"/>
    <w:rsid w:val="00F915EA"/>
    <w:rsid w:val="00F9498B"/>
    <w:rsid w:val="00F97FC2"/>
    <w:rsid w:val="00FA3B9B"/>
    <w:rsid w:val="00FA7F1C"/>
    <w:rsid w:val="00FB1E82"/>
    <w:rsid w:val="00FB22DC"/>
    <w:rsid w:val="00FB550F"/>
    <w:rsid w:val="00FB57D6"/>
    <w:rsid w:val="00FB64D2"/>
    <w:rsid w:val="00FB6EF1"/>
    <w:rsid w:val="00FC2153"/>
    <w:rsid w:val="00FC52A3"/>
    <w:rsid w:val="00FC72D0"/>
    <w:rsid w:val="00FD5020"/>
    <w:rsid w:val="00FD5FD5"/>
    <w:rsid w:val="00FE195E"/>
    <w:rsid w:val="00FE5E75"/>
    <w:rsid w:val="00FE5ED2"/>
    <w:rsid w:val="00FE750A"/>
    <w:rsid w:val="00FF0FD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styleId="NormalWeb">
    <w:name w:val="Normal (Web)"/>
    <w:basedOn w:val="Normal"/>
    <w:uiPriority w:val="99"/>
    <w:unhideWhenUsed/>
    <w:qFormat/>
    <w:rsid w:val="00CB04C6"/>
    <w:pPr>
      <w:spacing w:before="100" w:beforeAutospacing="1" w:after="100" w:afterAutospacing="1"/>
    </w:pPr>
    <w:rPr>
      <w:rFonts w:eastAsia="Calibri"/>
      <w:sz w:val="24"/>
    </w:rPr>
  </w:style>
  <w:style w:type="character" w:customStyle="1" w:styleId="msoins0">
    <w:name w:val="msoins"/>
    <w:basedOn w:val="DefaultParagraphFont"/>
    <w:rsid w:val="00191F67"/>
  </w:style>
  <w:style w:type="paragraph" w:customStyle="1" w:styleId="xxxmsonormal">
    <w:name w:val="x_xxmsonormal"/>
    <w:basedOn w:val="Normal"/>
    <w:uiPriority w:val="99"/>
    <w:rsid w:val="001F64D3"/>
    <w:rPr>
      <w:rFonts w:eastAsia="Malgun Gothic"/>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6087</Words>
  <Characters>34697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2021-09-30T03:29:00Z</dcterms:modified>
</cp:coreProperties>
</file>