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D5871F" w14:textId="68DA92D7" w:rsidR="00464458" w:rsidRPr="00464458" w:rsidRDefault="00464458" w:rsidP="00464458">
      <w:pPr>
        <w:tabs>
          <w:tab w:val="right" w:pos="9216"/>
        </w:tabs>
        <w:spacing w:after="0"/>
        <w:jc w:val="left"/>
        <w:rPr>
          <w:rFonts w:ascii="Arial" w:hAnsi="Arial" w:cs="Arial"/>
          <w:b/>
          <w:lang w:eastAsia="zh-CN"/>
        </w:rPr>
      </w:pPr>
      <w:r w:rsidRPr="00464458">
        <w:rPr>
          <w:rFonts w:ascii="Arial" w:hAnsi="Arial" w:cs="Arial"/>
          <w:b/>
          <w:noProof/>
          <w:lang w:eastAsia="zh-CN"/>
        </w:rPr>
        <mc:AlternateContent>
          <mc:Choice Requires="wps">
            <w:drawing>
              <wp:anchor distT="0" distB="0" distL="114300" distR="114300" simplePos="0" relativeHeight="251659264" behindDoc="0" locked="1" layoutInCell="1" allowOverlap="1" wp14:anchorId="05EDA1B8" wp14:editId="0861C96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B877FF"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464458">
        <w:rPr>
          <w:rFonts w:ascii="Arial" w:hAnsi="Arial" w:cs="Arial"/>
          <w:b/>
          <w:lang w:eastAsia="zh-CN"/>
        </w:rPr>
        <w:t>3GPP TSG RAN WG1 Meeting #10</w:t>
      </w:r>
      <w:r w:rsidR="00494811">
        <w:rPr>
          <w:rFonts w:ascii="Arial" w:hAnsi="Arial" w:cs="Arial"/>
          <w:b/>
          <w:lang w:eastAsia="zh-CN"/>
        </w:rPr>
        <w:t>6</w:t>
      </w:r>
      <w:r w:rsidR="00A57BFF">
        <w:rPr>
          <w:rFonts w:ascii="Arial" w:hAnsi="Arial" w:cs="Arial"/>
          <w:b/>
          <w:lang w:eastAsia="zh-CN"/>
        </w:rPr>
        <w:t>bis</w:t>
      </w:r>
      <w:r w:rsidRPr="00464458">
        <w:rPr>
          <w:rFonts w:ascii="Arial" w:hAnsi="Arial" w:cs="Arial"/>
          <w:b/>
          <w:lang w:eastAsia="zh-CN"/>
        </w:rPr>
        <w:t>-e</w:t>
      </w:r>
      <w:r w:rsidRPr="00464458">
        <w:rPr>
          <w:rFonts w:ascii="Arial" w:hAnsi="Arial" w:cs="Arial"/>
          <w:b/>
          <w:lang w:eastAsia="zh-CN"/>
        </w:rPr>
        <w:tab/>
        <w:t>R1-21</w:t>
      </w:r>
      <w:r w:rsidR="00612000">
        <w:rPr>
          <w:rFonts w:ascii="Arial" w:hAnsi="Arial" w:cs="Arial"/>
          <w:b/>
          <w:lang w:eastAsia="zh-CN"/>
        </w:rPr>
        <w:t>0</w:t>
      </w:r>
      <w:r w:rsidR="00997B57">
        <w:rPr>
          <w:rFonts w:ascii="Arial" w:hAnsi="Arial" w:cs="Arial"/>
          <w:b/>
          <w:lang w:eastAsia="zh-CN"/>
        </w:rPr>
        <w:t>8783</w:t>
      </w:r>
    </w:p>
    <w:p w14:paraId="15AD769F" w14:textId="5BAAFA07" w:rsidR="00464458" w:rsidRPr="00464458" w:rsidRDefault="00464458" w:rsidP="00464458">
      <w:pPr>
        <w:spacing w:after="60"/>
        <w:ind w:left="1555" w:hanging="1555"/>
        <w:jc w:val="left"/>
        <w:rPr>
          <w:rFonts w:ascii="Arial" w:hAnsi="Arial" w:cs="Arial"/>
          <w:b/>
          <w:lang w:eastAsia="zh-CN"/>
        </w:rPr>
      </w:pPr>
      <w:r w:rsidRPr="00464458">
        <w:rPr>
          <w:rFonts w:ascii="Arial" w:hAnsi="Arial" w:cs="Arial"/>
          <w:b/>
          <w:lang w:eastAsia="zh-CN"/>
        </w:rPr>
        <w:t xml:space="preserve">e-Meeting, </w:t>
      </w:r>
      <w:r w:rsidR="00997B57">
        <w:rPr>
          <w:rFonts w:ascii="Arial" w:hAnsi="Arial" w:cs="Arial"/>
          <w:b/>
          <w:noProof/>
          <w:kern w:val="2"/>
          <w:lang w:eastAsia="zh-CN"/>
        </w:rPr>
        <w:t>October</w:t>
      </w:r>
      <w:r w:rsidR="00997B57" w:rsidRPr="002314FC">
        <w:rPr>
          <w:rFonts w:ascii="Arial" w:hAnsi="Arial" w:cs="Arial"/>
          <w:b/>
          <w:noProof/>
          <w:kern w:val="2"/>
          <w:lang w:eastAsia="zh-CN"/>
        </w:rPr>
        <w:t xml:space="preserve"> </w:t>
      </w:r>
      <w:r w:rsidR="00997B57">
        <w:rPr>
          <w:rFonts w:ascii="Arial" w:hAnsi="Arial" w:cs="Arial"/>
          <w:b/>
          <w:noProof/>
          <w:kern w:val="2"/>
          <w:lang w:eastAsia="zh-CN"/>
        </w:rPr>
        <w:t>11</w:t>
      </w:r>
      <w:r w:rsidR="00997B57" w:rsidRPr="002314FC">
        <w:rPr>
          <w:rFonts w:ascii="Arial" w:hAnsi="Arial" w:cs="Arial"/>
          <w:b/>
          <w:noProof/>
          <w:kern w:val="2"/>
          <w:lang w:eastAsia="zh-CN"/>
        </w:rPr>
        <w:t xml:space="preserve">th – </w:t>
      </w:r>
      <w:r w:rsidR="00997B57">
        <w:rPr>
          <w:rFonts w:ascii="Arial" w:hAnsi="Arial" w:cs="Arial"/>
          <w:b/>
          <w:noProof/>
          <w:kern w:val="2"/>
          <w:lang w:eastAsia="zh-CN"/>
        </w:rPr>
        <w:t>19</w:t>
      </w:r>
      <w:r w:rsidR="00997B57" w:rsidRPr="002314FC">
        <w:rPr>
          <w:rFonts w:ascii="Arial" w:hAnsi="Arial" w:cs="Arial"/>
          <w:b/>
          <w:noProof/>
          <w:kern w:val="2"/>
          <w:lang w:eastAsia="zh-CN"/>
        </w:rPr>
        <w:t>th, 2021</w:t>
      </w:r>
    </w:p>
    <w:p w14:paraId="7826937B" w14:textId="54EF7B32"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B64AEF">
        <w:rPr>
          <w:rFonts w:ascii="Arial" w:hAnsi="Arial" w:cs="Arial"/>
          <w:b/>
          <w:lang w:eastAsia="zh-CN"/>
        </w:rPr>
        <w:t>8.2.</w:t>
      </w:r>
      <w:r w:rsidR="000E0B5E">
        <w:rPr>
          <w:rFonts w:ascii="Arial" w:hAnsi="Arial" w:cs="Arial"/>
          <w:b/>
          <w:lang w:eastAsia="zh-CN"/>
        </w:rPr>
        <w:t>2</w:t>
      </w:r>
    </w:p>
    <w:p w14:paraId="7AF4C819" w14:textId="565BC48B"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430D72">
        <w:rPr>
          <w:rFonts w:ascii="Arial" w:hAnsi="Arial" w:cs="Arial"/>
          <w:b/>
          <w:bCs/>
          <w:caps/>
          <w:szCs w:val="24"/>
          <w:shd w:val="clear" w:color="auto" w:fill="FFFFFF"/>
        </w:rPr>
        <w:t>Futurewei</w:t>
      </w:r>
    </w:p>
    <w:p w14:paraId="747ACFDE" w14:textId="25D3BEF5" w:rsidR="00AC0B98"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997B57" w:rsidRPr="00997B57">
        <w:rPr>
          <w:rFonts w:ascii="Arial" w:hAnsi="Arial" w:cs="Arial"/>
          <w:b/>
          <w:lang w:eastAsia="zh-CN"/>
        </w:rPr>
        <w:t>PDCCH monitoring enhancements</w:t>
      </w:r>
    </w:p>
    <w:p w14:paraId="62BCD72B" w14:textId="1D8AE4DE"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1304ACB0" w:rsidR="009C0564" w:rsidRDefault="009C0564">
      <w:pPr>
        <w:pStyle w:val="Heading1"/>
        <w:rPr>
          <w:rFonts w:cs="Arial"/>
        </w:rPr>
      </w:pPr>
      <w:bookmarkStart w:id="0" w:name="_Ref124589705"/>
      <w:bookmarkStart w:id="1" w:name="_Ref129681862"/>
      <w:r w:rsidRPr="00D74B92">
        <w:rPr>
          <w:rFonts w:cs="Arial"/>
        </w:rPr>
        <w:t>Introduction</w:t>
      </w:r>
      <w:bookmarkEnd w:id="0"/>
      <w:bookmarkEnd w:id="1"/>
    </w:p>
    <w:p w14:paraId="386FCA83" w14:textId="4CA1BD16" w:rsidR="004D0B3E" w:rsidRDefault="00531C1A" w:rsidP="00182F43">
      <w:pPr>
        <w:spacing w:after="0"/>
        <w:rPr>
          <w:bCs/>
        </w:rPr>
      </w:pPr>
      <w:r>
        <w:rPr>
          <w:bCs/>
        </w:rPr>
        <w:t xml:space="preserve">In RAN # 90 the extensions to </w:t>
      </w:r>
      <w:r w:rsidR="00182F43">
        <w:rPr>
          <w:bCs/>
        </w:rPr>
        <w:t xml:space="preserve">WI </w:t>
      </w:r>
      <w:r>
        <w:rPr>
          <w:bCs/>
        </w:rPr>
        <w:t>[1] for</w:t>
      </w:r>
      <w:r w:rsidR="00182F43">
        <w:rPr>
          <w:bCs/>
        </w:rPr>
        <w:t xml:space="preserve"> NR operation up to 71GHz </w:t>
      </w:r>
      <w:r>
        <w:rPr>
          <w:bCs/>
        </w:rPr>
        <w:t>were approved. According to [1</w:t>
      </w:r>
      <w:r w:rsidR="009136BE">
        <w:rPr>
          <w:bCs/>
        </w:rPr>
        <w:t>] RAN1 should define:</w:t>
      </w:r>
    </w:p>
    <w:p w14:paraId="55C545F8" w14:textId="722E61C4" w:rsidR="009136BE" w:rsidRPr="009136BE" w:rsidRDefault="009136BE" w:rsidP="009136BE">
      <w:pPr>
        <w:spacing w:before="120"/>
        <w:rPr>
          <w:rFonts w:eastAsia="Times New Roman"/>
          <w:i/>
          <w:iCs/>
          <w:lang w:val="x-none" w:eastAsia="ja-JP"/>
        </w:rPr>
      </w:pPr>
      <w:r>
        <w:rPr>
          <w:rFonts w:eastAsia="Times New Roman"/>
          <w:i/>
          <w:iCs/>
          <w:sz w:val="20"/>
          <w:szCs w:val="20"/>
          <w:lang w:eastAsia="ja-JP"/>
        </w:rPr>
        <w:t>“</w:t>
      </w:r>
      <w:r w:rsidRPr="009136BE">
        <w:rPr>
          <w:rFonts w:eastAsia="Times New Roman"/>
          <w:i/>
          <w:iCs/>
          <w:lang w:val="x-none" w:eastAsia="ja-JP"/>
        </w:rPr>
        <w:t>Physical layer procedure(s) including [RAN1]:</w:t>
      </w:r>
    </w:p>
    <w:p w14:paraId="3568AD8D" w14:textId="0E071276" w:rsidR="00124B12" w:rsidRPr="0054657B" w:rsidRDefault="002674BF" w:rsidP="002D721F">
      <w:pPr>
        <w:pStyle w:val="B1"/>
        <w:numPr>
          <w:ilvl w:val="0"/>
          <w:numId w:val="32"/>
        </w:numPr>
        <w:overflowPunct w:val="0"/>
        <w:autoSpaceDE w:val="0"/>
        <w:autoSpaceDN w:val="0"/>
        <w:adjustRightInd w:val="0"/>
        <w:spacing w:before="180"/>
        <w:rPr>
          <w:i/>
          <w:iCs/>
          <w:sz w:val="22"/>
          <w:szCs w:val="22"/>
          <w:lang w:eastAsia="ja-JP"/>
        </w:rPr>
      </w:pPr>
      <w:bookmarkStart w:id="2" w:name="_Hlk58595024"/>
      <w:r w:rsidRPr="002674BF">
        <w:rPr>
          <w:i/>
          <w:iCs/>
          <w:sz w:val="22"/>
          <w:szCs w:val="22"/>
          <w:lang w:eastAsia="ja-JP"/>
        </w:rPr>
        <w:t>Support enhancement to PDCCH monitoring, including blind detection/CCE budget, and multi-slot span monitoring, potential limitation to UE PDCCH configuration and capability related to PDCCH monitoring.</w:t>
      </w:r>
      <w:bookmarkEnd w:id="2"/>
    </w:p>
    <w:p w14:paraId="59AA62A8" w14:textId="74B41150" w:rsidR="0007306E" w:rsidRDefault="0007306E" w:rsidP="0007306E">
      <w:pPr>
        <w:pStyle w:val="Heading1"/>
      </w:pPr>
      <w:r>
        <w:t>RAN1</w:t>
      </w:r>
      <w:r w:rsidR="00F24D98">
        <w:t>#10</w:t>
      </w:r>
      <w:r w:rsidR="00032D70">
        <w:t>6</w:t>
      </w:r>
      <w:r w:rsidR="00F24D98">
        <w:t>-e</w:t>
      </w:r>
      <w:r>
        <w:t xml:space="preserve"> Agreements</w:t>
      </w:r>
    </w:p>
    <w:p w14:paraId="5749BAFC" w14:textId="67EAD2F8" w:rsidR="00032D70" w:rsidRDefault="0099702A" w:rsidP="0099702A">
      <w:pPr>
        <w:rPr>
          <w:bCs/>
        </w:rPr>
      </w:pPr>
      <w:bookmarkStart w:id="3" w:name="_Hlk69545768"/>
      <w:r>
        <w:rPr>
          <w:bCs/>
        </w:rPr>
        <w:t>For beyond 52.6GHz to 71GHz band and higher SCS (480/960 kHz), the RAN1 agreed to reduce power consumption by increasing the span of PDCCH monitoring to a larger duration than the slot</w:t>
      </w:r>
      <w:r w:rsidR="00041C55">
        <w:rPr>
          <w:bCs/>
        </w:rPr>
        <w:t>.</w:t>
      </w:r>
    </w:p>
    <w:p w14:paraId="3892C470" w14:textId="74C352BB" w:rsidR="0099702A" w:rsidRDefault="00BE25CC" w:rsidP="0099702A">
      <w:pPr>
        <w:rPr>
          <w:bCs/>
        </w:rPr>
      </w:pPr>
      <w:r>
        <w:rPr>
          <w:bCs/>
        </w:rPr>
        <w:t>A f</w:t>
      </w:r>
      <w:r w:rsidR="0099702A">
        <w:rPr>
          <w:bCs/>
        </w:rPr>
        <w:t>ew specific solutions were agreed for further discussion, where the selection is presented in the following agreement reached in RAN1 #10</w:t>
      </w:r>
      <w:r w:rsidR="00032D70">
        <w:rPr>
          <w:bCs/>
        </w:rPr>
        <w:t>6</w:t>
      </w:r>
      <w:r w:rsidR="0099702A">
        <w:rPr>
          <w:bCs/>
        </w:rPr>
        <w:t>-e [</w:t>
      </w:r>
      <w:r w:rsidR="0026360D">
        <w:rPr>
          <w:bCs/>
        </w:rPr>
        <w:t xml:space="preserve"> </w:t>
      </w:r>
      <w:r w:rsidR="00A814B5">
        <w:rPr>
          <w:bCs/>
        </w:rPr>
        <w:t>2</w:t>
      </w:r>
      <w:r w:rsidR="0099702A">
        <w:rPr>
          <w:bCs/>
        </w:rPr>
        <w:t>]:</w:t>
      </w:r>
    </w:p>
    <w:p w14:paraId="6C2F234E" w14:textId="1C472F96" w:rsidR="00041C55" w:rsidRDefault="00032D70" w:rsidP="00041C55">
      <w:pPr>
        <w:rPr>
          <w:lang w:val="en-GB" w:eastAsia="zh-CN"/>
        </w:rPr>
      </w:pPr>
      <w:r>
        <w:rPr>
          <w:lang w:eastAsia="zh-CN"/>
        </w:rPr>
        <w:t xml:space="preserve"> </w:t>
      </w:r>
      <w:r w:rsidR="00041C55">
        <w:rPr>
          <w:lang w:val="en-GB" w:eastAsia="zh-CN"/>
        </w:rPr>
        <w:t>During RAN1#104bis-e</w:t>
      </w:r>
      <w:r w:rsidR="00A814B5">
        <w:rPr>
          <w:lang w:val="en-GB" w:eastAsia="zh-CN"/>
        </w:rPr>
        <w:t xml:space="preserve"> [3]</w:t>
      </w:r>
      <w:r w:rsidR="00041C55">
        <w:rPr>
          <w:lang w:val="en-GB" w:eastAsia="zh-CN"/>
        </w:rPr>
        <w:t>, the following refinement of the alternatives has been agreed:</w:t>
      </w:r>
    </w:p>
    <w:tbl>
      <w:tblPr>
        <w:tblStyle w:val="TableGrid"/>
        <w:tblW w:w="0" w:type="auto"/>
        <w:tblLook w:val="04A0" w:firstRow="1" w:lastRow="0" w:firstColumn="1" w:lastColumn="0" w:noHBand="0" w:noVBand="1"/>
      </w:tblPr>
      <w:tblGrid>
        <w:gridCol w:w="9307"/>
      </w:tblGrid>
      <w:tr w:rsidR="00041C55" w14:paraId="69DDF53F" w14:textId="77777777" w:rsidTr="00A26894">
        <w:tc>
          <w:tcPr>
            <w:tcW w:w="13944" w:type="dxa"/>
          </w:tcPr>
          <w:p w14:paraId="676A613E" w14:textId="77777777" w:rsidR="00041C55" w:rsidRDefault="00041C55" w:rsidP="00041C55">
            <w:pPr>
              <w:pStyle w:val="ListParagraph"/>
              <w:widowControl/>
              <w:numPr>
                <w:ilvl w:val="0"/>
                <w:numId w:val="31"/>
              </w:numPr>
              <w:snapToGrid w:val="0"/>
              <w:spacing w:after="0"/>
              <w:contextualSpacing w:val="0"/>
            </w:pPr>
            <w:bookmarkStart w:id="4" w:name="_Hlk80806434"/>
            <w:r>
              <w:t xml:space="preserve">Alt 1: Use a fixed pattern of slot groups as the baseline to define the new capability. </w:t>
            </w:r>
          </w:p>
          <w:p w14:paraId="772175BD" w14:textId="77777777" w:rsidR="00041C55" w:rsidRDefault="00041C55" w:rsidP="00041C55">
            <w:pPr>
              <w:pStyle w:val="ListParagraph"/>
              <w:widowControl/>
              <w:numPr>
                <w:ilvl w:val="1"/>
                <w:numId w:val="31"/>
              </w:numPr>
              <w:snapToGrid w:val="0"/>
              <w:spacing w:after="0"/>
              <w:contextualSpacing w:val="0"/>
            </w:pPr>
            <w:r>
              <w:t>Each slot group consists of X slots</w:t>
            </w:r>
          </w:p>
          <w:p w14:paraId="59AEDB47" w14:textId="77777777" w:rsidR="00041C55" w:rsidRDefault="00041C55" w:rsidP="00041C55">
            <w:pPr>
              <w:pStyle w:val="ListParagraph"/>
              <w:widowControl/>
              <w:numPr>
                <w:ilvl w:val="1"/>
                <w:numId w:val="31"/>
              </w:numPr>
              <w:snapToGrid w:val="0"/>
              <w:spacing w:after="0"/>
              <w:contextualSpacing w:val="0"/>
            </w:pPr>
            <w:r>
              <w:t>Slot groups are consecutive and non-overlapping</w:t>
            </w:r>
          </w:p>
          <w:p w14:paraId="241F2A4E" w14:textId="77777777" w:rsidR="00041C55" w:rsidRDefault="00041C55" w:rsidP="00041C55">
            <w:pPr>
              <w:pStyle w:val="ListParagraph"/>
              <w:widowControl/>
              <w:numPr>
                <w:ilvl w:val="1"/>
                <w:numId w:val="31"/>
              </w:numPr>
              <w:snapToGrid w:val="0"/>
              <w:spacing w:after="0"/>
              <w:contextualSpacing w:val="0"/>
            </w:pPr>
            <w:r>
              <w:t>The capability indicates the BD/CCE budget within Y consecutive [symbols or slots] in each slot group separately</w:t>
            </w:r>
          </w:p>
          <w:p w14:paraId="5AA6C14F" w14:textId="77777777" w:rsidR="00041C55" w:rsidRDefault="00041C55" w:rsidP="00041C55">
            <w:pPr>
              <w:pStyle w:val="ListParagraph"/>
              <w:widowControl/>
              <w:numPr>
                <w:ilvl w:val="1"/>
                <w:numId w:val="31"/>
              </w:numPr>
              <w:snapToGrid w:val="0"/>
              <w:spacing w:after="0"/>
              <w:contextualSpacing w:val="0"/>
            </w:pPr>
            <w:r>
              <w:t xml:space="preserve">FFS: Supported values/constraints of X and Y, </w:t>
            </w:r>
            <w:proofErr w:type="gramStart"/>
            <w:r>
              <w:t>e.g.</w:t>
            </w:r>
            <w:proofErr w:type="gramEnd"/>
            <w:r>
              <w:t xml:space="preserve"> Y&lt;=X, Y=X</w:t>
            </w:r>
          </w:p>
          <w:p w14:paraId="4A52DEC5" w14:textId="77777777" w:rsidR="00041C55" w:rsidRDefault="00041C55" w:rsidP="00041C55">
            <w:pPr>
              <w:pStyle w:val="ListParagraph"/>
              <w:widowControl/>
              <w:numPr>
                <w:ilvl w:val="1"/>
                <w:numId w:val="31"/>
              </w:numPr>
              <w:snapToGrid w:val="0"/>
              <w:spacing w:after="0"/>
              <w:contextualSpacing w:val="0"/>
            </w:pPr>
            <w:r>
              <w:t xml:space="preserve">FFS: Restrictions on location of the Y [symbols or slots] within a slot group, </w:t>
            </w:r>
            <w:proofErr w:type="gramStart"/>
            <w:r>
              <w:t>e.g.</w:t>
            </w:r>
            <w:proofErr w:type="gramEnd"/>
            <w:r>
              <w:t xml:space="preserve"> the Y [symbols or slots] always start at the first slot within a slot group</w:t>
            </w:r>
          </w:p>
          <w:p w14:paraId="68391B0F" w14:textId="77777777" w:rsidR="00041C55" w:rsidRDefault="00041C55" w:rsidP="00041C55">
            <w:pPr>
              <w:pStyle w:val="ListParagraph"/>
              <w:widowControl/>
              <w:numPr>
                <w:ilvl w:val="1"/>
                <w:numId w:val="31"/>
              </w:numPr>
              <w:snapToGrid w:val="0"/>
              <w:spacing w:after="0"/>
              <w:contextualSpacing w:val="0"/>
            </w:pPr>
            <w:r>
              <w:t>FFS: Further definition of capabilities</w:t>
            </w:r>
          </w:p>
          <w:p w14:paraId="71CFF313" w14:textId="77777777" w:rsidR="00041C55" w:rsidRDefault="00041C55" w:rsidP="00041C55">
            <w:pPr>
              <w:pStyle w:val="ListParagraph"/>
              <w:widowControl/>
              <w:numPr>
                <w:ilvl w:val="0"/>
                <w:numId w:val="31"/>
              </w:numPr>
              <w:snapToGrid w:val="0"/>
              <w:spacing w:after="0"/>
              <w:contextualSpacing w:val="0"/>
            </w:pPr>
            <w:r>
              <w:t>Alt 2: Use an (X, Y) span as the baseline to define the new capability</w:t>
            </w:r>
          </w:p>
          <w:p w14:paraId="51AD1DEE" w14:textId="77777777" w:rsidR="00041C55" w:rsidRDefault="00041C55" w:rsidP="00041C55">
            <w:pPr>
              <w:pStyle w:val="ListParagraph"/>
              <w:widowControl/>
              <w:numPr>
                <w:ilvl w:val="1"/>
                <w:numId w:val="31"/>
              </w:numPr>
              <w:snapToGrid w:val="0"/>
              <w:spacing w:after="0"/>
              <w:contextualSpacing w:val="0"/>
            </w:pPr>
            <w:r>
              <w:t xml:space="preserve">X is the minimum </w:t>
            </w:r>
            <w:r>
              <w:rPr>
                <w:rFonts w:eastAsia="Times New Roman"/>
              </w:rPr>
              <w:t>time separation between the start of two consecutive spans</w:t>
            </w:r>
          </w:p>
          <w:p w14:paraId="79622161" w14:textId="77777777" w:rsidR="00041C55" w:rsidRDefault="00041C55" w:rsidP="00041C55">
            <w:pPr>
              <w:pStyle w:val="ListParagraph"/>
              <w:widowControl/>
              <w:numPr>
                <w:ilvl w:val="1"/>
                <w:numId w:val="31"/>
              </w:numPr>
              <w:snapToGrid w:val="0"/>
              <w:spacing w:after="0"/>
              <w:contextualSpacing w:val="0"/>
            </w:pPr>
            <w:r>
              <w:t xml:space="preserve">The capability indicates the BD/CCE budget within a span of at most Y consecutive [symbols or slots] </w:t>
            </w:r>
          </w:p>
          <w:p w14:paraId="44A771FC" w14:textId="77777777" w:rsidR="00041C55" w:rsidRDefault="00041C55" w:rsidP="00041C55">
            <w:pPr>
              <w:pStyle w:val="ListParagraph"/>
              <w:widowControl/>
              <w:numPr>
                <w:ilvl w:val="1"/>
                <w:numId w:val="31"/>
              </w:numPr>
              <w:snapToGrid w:val="0"/>
              <w:spacing w:after="0"/>
              <w:contextualSpacing w:val="0"/>
            </w:pPr>
            <w:r>
              <w:t>Y &lt;= X</w:t>
            </w:r>
          </w:p>
          <w:p w14:paraId="66CCB22D" w14:textId="77777777" w:rsidR="00041C55" w:rsidRDefault="00041C55" w:rsidP="00041C55">
            <w:pPr>
              <w:pStyle w:val="ListParagraph"/>
              <w:widowControl/>
              <w:numPr>
                <w:ilvl w:val="1"/>
                <w:numId w:val="31"/>
              </w:numPr>
              <w:snapToGrid w:val="0"/>
              <w:spacing w:after="0"/>
              <w:contextualSpacing w:val="0"/>
            </w:pPr>
            <w:r>
              <w:t xml:space="preserve">FFS: Exact values of X and Y and units in which they are defined (e.g., symbols, slots), including cases where a span is longer than one slot or crosses a slot boundary. </w:t>
            </w:r>
          </w:p>
          <w:p w14:paraId="55DC5C30" w14:textId="77777777" w:rsidR="00041C55" w:rsidRDefault="00041C55" w:rsidP="00041C55">
            <w:pPr>
              <w:pStyle w:val="ListParagraph"/>
              <w:widowControl/>
              <w:numPr>
                <w:ilvl w:val="1"/>
                <w:numId w:val="31"/>
              </w:numPr>
              <w:snapToGrid w:val="0"/>
              <w:spacing w:after="0"/>
              <w:contextualSpacing w:val="0"/>
            </w:pPr>
            <w:r>
              <w:t xml:space="preserve">FFS: What is a span pattern, how it is defined and whether it is supported. If it is supported, whether number of slots within which the span pattern is repeated is needed, and if needed, the value of the number of slots. </w:t>
            </w:r>
          </w:p>
          <w:p w14:paraId="01C9703D" w14:textId="77777777" w:rsidR="00041C55" w:rsidRDefault="00041C55" w:rsidP="00041C55">
            <w:pPr>
              <w:pStyle w:val="ListParagraph"/>
              <w:widowControl/>
              <w:numPr>
                <w:ilvl w:val="1"/>
                <w:numId w:val="31"/>
              </w:numPr>
              <w:snapToGrid w:val="0"/>
              <w:spacing w:after="0"/>
              <w:contextualSpacing w:val="0"/>
            </w:pPr>
            <w:r>
              <w:t>FFS: Further definition of capabilities</w:t>
            </w:r>
          </w:p>
          <w:p w14:paraId="27E37CA0" w14:textId="77777777" w:rsidR="00041C55" w:rsidRDefault="00041C55" w:rsidP="00041C55">
            <w:pPr>
              <w:pStyle w:val="ListParagraph"/>
              <w:widowControl/>
              <w:numPr>
                <w:ilvl w:val="0"/>
                <w:numId w:val="31"/>
              </w:numPr>
              <w:snapToGrid w:val="0"/>
              <w:spacing w:after="0"/>
              <w:contextualSpacing w:val="0"/>
            </w:pPr>
            <w:r>
              <w:t xml:space="preserve">Alt 3: Use a sliding window of X slots as the baseline to define the new capability. </w:t>
            </w:r>
          </w:p>
          <w:p w14:paraId="5D30BCE6" w14:textId="77777777" w:rsidR="00041C55" w:rsidRDefault="00041C55" w:rsidP="00041C55">
            <w:pPr>
              <w:pStyle w:val="ListParagraph"/>
              <w:widowControl/>
              <w:numPr>
                <w:ilvl w:val="1"/>
                <w:numId w:val="31"/>
              </w:numPr>
              <w:snapToGrid w:val="0"/>
              <w:spacing w:after="0"/>
              <w:contextualSpacing w:val="0"/>
            </w:pPr>
            <w:r>
              <w:t>The capability indicates the BD/CCE budget within the sliding window</w:t>
            </w:r>
          </w:p>
          <w:p w14:paraId="31CBABEE" w14:textId="77777777" w:rsidR="00041C55" w:rsidRDefault="00041C55" w:rsidP="00041C55">
            <w:pPr>
              <w:pStyle w:val="ListParagraph"/>
              <w:widowControl/>
              <w:numPr>
                <w:ilvl w:val="1"/>
                <w:numId w:val="31"/>
              </w:numPr>
              <w:snapToGrid w:val="0"/>
              <w:spacing w:after="0"/>
              <w:contextualSpacing w:val="0"/>
            </w:pPr>
            <w:r>
              <w:t xml:space="preserve"> The sliding unit of the sliding window is [1] slot.</w:t>
            </w:r>
          </w:p>
          <w:p w14:paraId="6D8FA446" w14:textId="77777777" w:rsidR="00041C55" w:rsidRDefault="00041C55" w:rsidP="00041C55">
            <w:pPr>
              <w:pStyle w:val="ListParagraph"/>
              <w:widowControl/>
              <w:numPr>
                <w:ilvl w:val="1"/>
                <w:numId w:val="31"/>
              </w:numPr>
              <w:snapToGrid w:val="0"/>
              <w:spacing w:after="0"/>
              <w:contextualSpacing w:val="0"/>
            </w:pPr>
            <w:r>
              <w:t>FFS: Further definition of capabilities</w:t>
            </w:r>
          </w:p>
          <w:p w14:paraId="3A9DF0F7" w14:textId="77777777" w:rsidR="00041C55" w:rsidRDefault="00041C55" w:rsidP="00041C55">
            <w:pPr>
              <w:pStyle w:val="ListParagraph"/>
              <w:widowControl/>
              <w:numPr>
                <w:ilvl w:val="0"/>
                <w:numId w:val="31"/>
              </w:numPr>
              <w:snapToGrid w:val="0"/>
              <w:spacing w:after="0"/>
              <w:contextualSpacing w:val="0"/>
            </w:pPr>
            <w:r>
              <w:t>Specific numbers for X, Y may depend on UE capability and gNB configuration</w:t>
            </w:r>
          </w:p>
          <w:p w14:paraId="5831FDFC" w14:textId="77777777" w:rsidR="00041C55" w:rsidRDefault="00041C55" w:rsidP="00041C55">
            <w:pPr>
              <w:pStyle w:val="ListParagraph"/>
              <w:widowControl/>
              <w:numPr>
                <w:ilvl w:val="1"/>
                <w:numId w:val="31"/>
              </w:numPr>
              <w:snapToGrid w:val="0"/>
              <w:spacing w:after="0"/>
              <w:contextualSpacing w:val="0"/>
            </w:pPr>
            <w:r>
              <w:lastRenderedPageBreak/>
              <w:t xml:space="preserve">Examples: </w:t>
            </w:r>
          </w:p>
          <w:p w14:paraId="10E9869D" w14:textId="77777777" w:rsidR="00041C55" w:rsidRDefault="00041C55" w:rsidP="00041C55">
            <w:pPr>
              <w:pStyle w:val="ListParagraph"/>
              <w:widowControl/>
              <w:numPr>
                <w:ilvl w:val="2"/>
                <w:numId w:val="31"/>
              </w:numPr>
              <w:snapToGrid w:val="0"/>
              <w:spacing w:after="0"/>
              <w:contextualSpacing w:val="0"/>
            </w:pPr>
            <w:r>
              <w:t>X = [4] slots for 480 kHz SCS and X = [8] slots for 960 kHz SCS</w:t>
            </w:r>
          </w:p>
        </w:tc>
      </w:tr>
      <w:bookmarkEnd w:id="4"/>
    </w:tbl>
    <w:p w14:paraId="67D8D427" w14:textId="03166548" w:rsidR="0069751A" w:rsidRDefault="0069751A" w:rsidP="0069751A">
      <w:pPr>
        <w:rPr>
          <w:lang w:eastAsia="zh-CN"/>
        </w:rPr>
      </w:pPr>
    </w:p>
    <w:p w14:paraId="3DD0B153" w14:textId="3191CE90" w:rsidR="00032D70" w:rsidRDefault="00041C55" w:rsidP="0069751A">
      <w:pPr>
        <w:rPr>
          <w:lang w:eastAsia="zh-CN"/>
        </w:rPr>
      </w:pPr>
      <w:r>
        <w:rPr>
          <w:lang w:eastAsia="zh-CN"/>
        </w:rPr>
        <w:t>In RAN1#106 the Alt1 was further refined:</w:t>
      </w:r>
    </w:p>
    <w:p w14:paraId="3FD58E5B" w14:textId="77777777" w:rsidR="00041C55" w:rsidRDefault="00041C55" w:rsidP="00041C55">
      <w:pPr>
        <w:rPr>
          <w:sz w:val="20"/>
          <w:szCs w:val="24"/>
          <w:lang w:eastAsia="x-none"/>
        </w:rPr>
      </w:pPr>
      <w:r>
        <w:rPr>
          <w:highlight w:val="green"/>
          <w:lang w:eastAsia="x-none"/>
        </w:rPr>
        <w:t>Agreement:</w:t>
      </w:r>
    </w:p>
    <w:p w14:paraId="7EC31837" w14:textId="77777777" w:rsidR="00041C55" w:rsidRDefault="00041C55" w:rsidP="00041C55">
      <w:pPr>
        <w:rPr>
          <w:lang w:eastAsia="x-none"/>
        </w:rPr>
      </w:pPr>
      <w:r>
        <w:rPr>
          <w:lang w:eastAsia="x-none"/>
        </w:rPr>
        <w:t>Revise prior agreement including modifications to Alt. 1 as follows:</w:t>
      </w:r>
    </w:p>
    <w:p w14:paraId="1D84EA0C" w14:textId="77777777" w:rsidR="00041C55" w:rsidRDefault="00041C55" w:rsidP="00041C55">
      <w:pPr>
        <w:pStyle w:val="ListParagraph"/>
        <w:numPr>
          <w:ilvl w:val="0"/>
          <w:numId w:val="40"/>
        </w:numPr>
        <w:snapToGrid w:val="0"/>
        <w:spacing w:after="0" w:line="256" w:lineRule="auto"/>
        <w:contextualSpacing w:val="0"/>
        <w:rPr>
          <w:lang w:eastAsia="x-none"/>
        </w:rPr>
      </w:pPr>
      <w:r>
        <w:t xml:space="preserve">Alt. 1: Use a fixed pattern of slot groups as the baseline to define the new capability. </w:t>
      </w:r>
    </w:p>
    <w:p w14:paraId="0F138FC6" w14:textId="77777777" w:rsidR="00041C55" w:rsidRDefault="00041C55" w:rsidP="00041C55">
      <w:pPr>
        <w:pStyle w:val="ListParagraph"/>
        <w:numPr>
          <w:ilvl w:val="1"/>
          <w:numId w:val="40"/>
        </w:numPr>
        <w:snapToGrid w:val="0"/>
        <w:spacing w:after="0" w:line="256" w:lineRule="auto"/>
        <w:contextualSpacing w:val="0"/>
      </w:pPr>
      <w:r>
        <w:t>Each slot group consists of X slots</w:t>
      </w:r>
    </w:p>
    <w:p w14:paraId="7C7F685B" w14:textId="77777777" w:rsidR="00041C55" w:rsidRDefault="00041C55" w:rsidP="00041C55">
      <w:pPr>
        <w:pStyle w:val="ListParagraph"/>
        <w:numPr>
          <w:ilvl w:val="1"/>
          <w:numId w:val="40"/>
        </w:numPr>
        <w:snapToGrid w:val="0"/>
        <w:spacing w:after="0" w:line="256" w:lineRule="auto"/>
        <w:contextualSpacing w:val="0"/>
      </w:pPr>
      <w:r>
        <w:t>Slot groups are consecutive and non-overlapping</w:t>
      </w:r>
    </w:p>
    <w:p w14:paraId="3ED36B90" w14:textId="77777777" w:rsidR="00041C55" w:rsidRDefault="00041C55" w:rsidP="00041C55">
      <w:pPr>
        <w:pStyle w:val="ListParagraph"/>
        <w:numPr>
          <w:ilvl w:val="1"/>
          <w:numId w:val="40"/>
        </w:numPr>
        <w:snapToGrid w:val="0"/>
        <w:spacing w:after="0" w:line="256" w:lineRule="auto"/>
        <w:contextualSpacing w:val="0"/>
      </w:pPr>
      <w:r>
        <w:t>The capability indicates the BD/CCE budget</w:t>
      </w:r>
      <w:r>
        <w:rPr>
          <w:color w:val="FF0000"/>
        </w:rPr>
        <w:t xml:space="preserve"> </w:t>
      </w:r>
      <w:r>
        <w:t xml:space="preserve">within Y consecutive slots in each slot group </w:t>
      </w:r>
      <w:r>
        <w:rPr>
          <w:strike/>
          <w:color w:val="FF0000"/>
        </w:rPr>
        <w:t>separately</w:t>
      </w:r>
    </w:p>
    <w:p w14:paraId="4FD23A92" w14:textId="77777777" w:rsidR="00041C55" w:rsidRDefault="00041C55" w:rsidP="00041C55">
      <w:pPr>
        <w:pStyle w:val="ListParagraph"/>
        <w:numPr>
          <w:ilvl w:val="2"/>
          <w:numId w:val="40"/>
        </w:numPr>
        <w:snapToGrid w:val="0"/>
        <w:spacing w:after="0" w:line="256" w:lineRule="auto"/>
        <w:contextualSpacing w:val="0"/>
      </w:pPr>
      <w:r>
        <w:rPr>
          <w:color w:val="FF0000"/>
        </w:rPr>
        <w:t>The location of the Y slots within the X slots is maintained across different slot groups</w:t>
      </w:r>
    </w:p>
    <w:p w14:paraId="4F1DC2E9" w14:textId="77777777" w:rsidR="00041C55" w:rsidRDefault="00041C55" w:rsidP="00041C55">
      <w:pPr>
        <w:pStyle w:val="ListParagraph"/>
        <w:numPr>
          <w:ilvl w:val="1"/>
          <w:numId w:val="40"/>
        </w:numPr>
        <w:snapToGrid w:val="0"/>
        <w:spacing w:after="0" w:line="256" w:lineRule="auto"/>
        <w:contextualSpacing w:val="0"/>
      </w:pPr>
      <w:r>
        <w:t>Further discuss down-selection of Y within 1&lt;=Y&lt;=X/2 (both in units of slot) when X&gt;1</w:t>
      </w:r>
    </w:p>
    <w:p w14:paraId="43CB569C" w14:textId="77777777" w:rsidR="00041C55" w:rsidRDefault="00041C55" w:rsidP="00041C55">
      <w:pPr>
        <w:pStyle w:val="ListParagraph"/>
        <w:numPr>
          <w:ilvl w:val="1"/>
          <w:numId w:val="40"/>
        </w:numPr>
        <w:snapToGrid w:val="0"/>
        <w:spacing w:after="0" w:line="256" w:lineRule="auto"/>
        <w:contextualSpacing w:val="0"/>
        <w:rPr>
          <w:strike/>
        </w:rPr>
      </w:pPr>
      <w:r>
        <w:rPr>
          <w:strike/>
        </w:rPr>
        <w:t xml:space="preserve">FFS: Restrictions on location of the Y slots within a slot group, </w:t>
      </w:r>
      <w:proofErr w:type="gramStart"/>
      <w:r>
        <w:rPr>
          <w:strike/>
        </w:rPr>
        <w:t>e.g.</w:t>
      </w:r>
      <w:proofErr w:type="gramEnd"/>
      <w:r>
        <w:rPr>
          <w:strike/>
        </w:rPr>
        <w:t xml:space="preserve"> the Y slots always start at the first slot within a slot group</w:t>
      </w:r>
    </w:p>
    <w:p w14:paraId="6AC68313" w14:textId="77777777" w:rsidR="00041C55" w:rsidRDefault="00041C55" w:rsidP="00041C55">
      <w:pPr>
        <w:pStyle w:val="ListParagraph"/>
        <w:numPr>
          <w:ilvl w:val="1"/>
          <w:numId w:val="40"/>
        </w:numPr>
        <w:snapToGrid w:val="0"/>
        <w:spacing w:after="0" w:line="256" w:lineRule="auto"/>
        <w:contextualSpacing w:val="0"/>
      </w:pPr>
      <w:r>
        <w:t>FFS: Further definition of capabilities</w:t>
      </w:r>
    </w:p>
    <w:p w14:paraId="5C9F5906" w14:textId="77777777" w:rsidR="00041C55" w:rsidRDefault="00041C55" w:rsidP="00041C55">
      <w:pPr>
        <w:pStyle w:val="ListParagraph"/>
        <w:numPr>
          <w:ilvl w:val="0"/>
          <w:numId w:val="40"/>
        </w:numPr>
        <w:snapToGrid w:val="0"/>
        <w:spacing w:after="0" w:line="256" w:lineRule="auto"/>
        <w:contextualSpacing w:val="0"/>
        <w:rPr>
          <w:color w:val="FF0000"/>
        </w:rPr>
      </w:pPr>
      <w:r>
        <w:rPr>
          <w:color w:val="FF0000"/>
        </w:rPr>
        <w:t>FFS: The following issues for the search space configuration discussion</w:t>
      </w:r>
    </w:p>
    <w:p w14:paraId="68273563" w14:textId="77777777" w:rsidR="00041C55" w:rsidRDefault="00041C55" w:rsidP="00041C55">
      <w:pPr>
        <w:pStyle w:val="ListParagraph"/>
        <w:numPr>
          <w:ilvl w:val="1"/>
          <w:numId w:val="40"/>
        </w:numPr>
        <w:snapToGrid w:val="0"/>
        <w:spacing w:after="0" w:line="256" w:lineRule="auto"/>
        <w:contextualSpacing w:val="0"/>
        <w:rPr>
          <w:color w:val="FF0000"/>
        </w:rPr>
      </w:pPr>
      <w:r>
        <w:rPr>
          <w:color w:val="FF0000"/>
        </w:rPr>
        <w:t>Whether a slot group is aligned with a slot boundary</w:t>
      </w:r>
    </w:p>
    <w:p w14:paraId="4337FA9F" w14:textId="77777777" w:rsidR="00041C55" w:rsidRDefault="00041C55" w:rsidP="00041C55">
      <w:pPr>
        <w:pStyle w:val="ListParagraph"/>
        <w:numPr>
          <w:ilvl w:val="1"/>
          <w:numId w:val="40"/>
        </w:numPr>
        <w:snapToGrid w:val="0"/>
        <w:spacing w:after="0" w:line="256" w:lineRule="auto"/>
        <w:contextualSpacing w:val="0"/>
        <w:rPr>
          <w:color w:val="FF0000"/>
        </w:rPr>
      </w:pPr>
      <w:r>
        <w:rPr>
          <w:color w:val="FF0000"/>
        </w:rPr>
        <w:t xml:space="preserve">Restrictions on location of the Y slots within a slot group, </w:t>
      </w:r>
      <w:proofErr w:type="gramStart"/>
      <w:r>
        <w:rPr>
          <w:color w:val="FF0000"/>
        </w:rPr>
        <w:t>e.g.</w:t>
      </w:r>
      <w:proofErr w:type="gramEnd"/>
      <w:r>
        <w:rPr>
          <w:color w:val="FF0000"/>
        </w:rPr>
        <w:t xml:space="preserve"> whether to restrict the location of a SS to be within the first Y slots within a slot group</w:t>
      </w:r>
    </w:p>
    <w:p w14:paraId="55966F91" w14:textId="77777777" w:rsidR="00041C55" w:rsidRDefault="00041C55" w:rsidP="00041C55">
      <w:pPr>
        <w:numPr>
          <w:ilvl w:val="0"/>
          <w:numId w:val="41"/>
        </w:numPr>
        <w:autoSpaceDE/>
        <w:autoSpaceDN/>
        <w:adjustRightInd/>
        <w:snapToGrid/>
        <w:spacing w:after="0"/>
        <w:jc w:val="left"/>
        <w:rPr>
          <w:lang w:eastAsia="zh-CN"/>
        </w:rPr>
      </w:pPr>
      <w:r>
        <w:rPr>
          <w:lang w:eastAsia="zh-CN"/>
        </w:rPr>
        <w:t>FFS: What the UE capability defines for monitoring within the Y slots</w:t>
      </w:r>
    </w:p>
    <w:p w14:paraId="41AE2E46" w14:textId="77777777" w:rsidR="00041C55" w:rsidRDefault="00041C55" w:rsidP="0069751A">
      <w:pPr>
        <w:rPr>
          <w:lang w:eastAsia="zh-CN"/>
        </w:rPr>
      </w:pPr>
    </w:p>
    <w:p w14:paraId="1A079C47" w14:textId="77777777" w:rsidR="00041C55" w:rsidRDefault="00041C55" w:rsidP="00041C55">
      <w:pPr>
        <w:rPr>
          <w:sz w:val="20"/>
          <w:szCs w:val="24"/>
          <w:lang w:eastAsia="x-none"/>
        </w:rPr>
      </w:pPr>
      <w:r>
        <w:rPr>
          <w:highlight w:val="green"/>
          <w:lang w:eastAsia="x-none"/>
        </w:rPr>
        <w:t>Agreement:</w:t>
      </w:r>
    </w:p>
    <w:p w14:paraId="31031D1F" w14:textId="77777777" w:rsidR="00041C55" w:rsidRDefault="00041C55" w:rsidP="00041C55">
      <w:pPr>
        <w:rPr>
          <w:lang w:eastAsia="zh-CN"/>
        </w:rPr>
      </w:pPr>
      <w:r>
        <w:rPr>
          <w:lang w:eastAsia="zh-CN"/>
        </w:rPr>
        <w:t>For reporting the multi-slot PDCCH monitoring capability, at least the following values are supported:</w:t>
      </w:r>
    </w:p>
    <w:p w14:paraId="5F80F31F" w14:textId="77777777" w:rsidR="00041C55" w:rsidRDefault="00041C55" w:rsidP="00041C55">
      <w:pPr>
        <w:pStyle w:val="ListParagraph"/>
        <w:numPr>
          <w:ilvl w:val="0"/>
          <w:numId w:val="42"/>
        </w:numPr>
        <w:snapToGrid w:val="0"/>
        <w:spacing w:after="0" w:line="256" w:lineRule="auto"/>
        <w:contextualSpacing w:val="0"/>
        <w:rPr>
          <w:lang w:eastAsia="zh-CN"/>
        </w:rPr>
      </w:pPr>
      <w:r>
        <w:rPr>
          <w:lang w:eastAsia="zh-CN"/>
        </w:rPr>
        <w:t>X=4 slots for SCS 480 kHz</w:t>
      </w:r>
    </w:p>
    <w:p w14:paraId="70FBC353" w14:textId="77777777" w:rsidR="00041C55" w:rsidRDefault="00041C55" w:rsidP="00041C55">
      <w:pPr>
        <w:pStyle w:val="ListParagraph"/>
        <w:numPr>
          <w:ilvl w:val="0"/>
          <w:numId w:val="42"/>
        </w:numPr>
        <w:snapToGrid w:val="0"/>
        <w:spacing w:after="0" w:line="256" w:lineRule="auto"/>
        <w:contextualSpacing w:val="0"/>
        <w:rPr>
          <w:lang w:eastAsia="zh-CN"/>
        </w:rPr>
      </w:pPr>
      <w:r>
        <w:rPr>
          <w:lang w:eastAsia="zh-CN"/>
        </w:rPr>
        <w:t>X=8 slots for SCS 960 kHz</w:t>
      </w:r>
    </w:p>
    <w:p w14:paraId="235C2409" w14:textId="2A65C23F" w:rsidR="00032D70" w:rsidRDefault="00032D70" w:rsidP="0069751A">
      <w:pPr>
        <w:rPr>
          <w:lang w:eastAsia="zh-CN"/>
        </w:rPr>
      </w:pPr>
    </w:p>
    <w:bookmarkEnd w:id="3"/>
    <w:p w14:paraId="679FFFF4" w14:textId="3E6D65FD" w:rsidR="00AA75FE" w:rsidRDefault="002674BF" w:rsidP="0099702A">
      <w:pPr>
        <w:pStyle w:val="Heading1"/>
      </w:pPr>
      <w:r>
        <w:t>Discussion</w:t>
      </w:r>
    </w:p>
    <w:p w14:paraId="0A8E8B87" w14:textId="141F4064" w:rsidR="00C90FA1" w:rsidRDefault="006448A9" w:rsidP="006448A9">
      <w:r>
        <w:t>During RAN1#106 discussions, most companies showed either direct support or ready to compromise for the Alt 1 [</w:t>
      </w:r>
      <w:r w:rsidR="008310F6">
        <w:t xml:space="preserve">4, </w:t>
      </w:r>
      <w:r>
        <w:t xml:space="preserve">R1-2108559]. </w:t>
      </w:r>
    </w:p>
    <w:p w14:paraId="09A2FFFD" w14:textId="16E52A8F" w:rsidR="006448A9" w:rsidRDefault="006448A9" w:rsidP="006448A9">
      <w:r>
        <w:t xml:space="preserve">The main reason for the support of Alt 1 is its simplicity, while the support of Alt 2 was mainly justified by its flexibility on the SS configuration. </w:t>
      </w:r>
      <w:r w:rsidR="00924A00">
        <w:t>The</w:t>
      </w:r>
      <w:r>
        <w:t xml:space="preserve"> argument against Alt 1 was the possible </w:t>
      </w:r>
      <w:r w:rsidR="00924A00">
        <w:t>back-to-back configuration of SS, which would require Y &lt;&lt;X, which would limit the scheduling flexibility.</w:t>
      </w:r>
      <w:r w:rsidR="00C90FA1">
        <w:t xml:space="preserve"> However, it was noted that when Y length is about X/2 length the benefit of Alt 2 is marginal. Moreover, Alt 2 would require additional discussions for multi-cell BD/CCE calculation for aligned and non-align span. Another drawback of Alt 2 was that would require </w:t>
      </w:r>
      <w:r w:rsidR="00C90FA1" w:rsidRPr="00C90FA1">
        <w:t>PDCCH processing load checking according to several different delineations of monitoring occasion groups, which practically lead to a sliding window approach as in Alt 3.</w:t>
      </w:r>
      <w:r w:rsidR="00C90FA1">
        <w:t xml:space="preserve"> The discussions around Alt-1 led to the multiple updates to Alt 1 as presented in the agreement above.</w:t>
      </w:r>
    </w:p>
    <w:p w14:paraId="5755095B" w14:textId="50A9C590" w:rsidR="002922E2" w:rsidRDefault="00C90FA1" w:rsidP="006448A9">
      <w:r>
        <w:t xml:space="preserve">Given the pros and cons presented and the latest updates of Alt 1 </w:t>
      </w:r>
      <w:r w:rsidR="002B24BA">
        <w:t xml:space="preserve">and the fact the vast majority supports it, </w:t>
      </w:r>
      <w:r>
        <w:t>we pr</w:t>
      </w:r>
      <w:r w:rsidR="002B24BA">
        <w:t>opose</w:t>
      </w:r>
      <w:r>
        <w:t xml:space="preserve"> that this alternative is </w:t>
      </w:r>
      <w:r w:rsidR="002B24BA">
        <w:t>selected,</w:t>
      </w:r>
      <w:r>
        <w:t xml:space="preserve"> and group moves </w:t>
      </w:r>
      <w:r w:rsidR="002B24BA">
        <w:t>to solving the remaining</w:t>
      </w:r>
      <w:r>
        <w:t xml:space="preserve"> </w:t>
      </w:r>
      <w:r w:rsidR="002922E2">
        <w:t xml:space="preserve">dependent </w:t>
      </w:r>
      <w:r>
        <w:t>open issues</w:t>
      </w:r>
      <w:r w:rsidR="002922E2">
        <w:t>.</w:t>
      </w:r>
    </w:p>
    <w:p w14:paraId="7DCAC852" w14:textId="17E42A6F" w:rsidR="00C90FA1" w:rsidRPr="002922E2" w:rsidRDefault="002922E2" w:rsidP="006448A9">
      <w:pPr>
        <w:rPr>
          <w:b/>
          <w:bCs/>
        </w:rPr>
      </w:pPr>
      <w:r w:rsidRPr="002922E2">
        <w:rPr>
          <w:b/>
          <w:bCs/>
        </w:rPr>
        <w:t>Proposal</w:t>
      </w:r>
      <w:r w:rsidR="005F0F4E">
        <w:rPr>
          <w:b/>
          <w:bCs/>
        </w:rPr>
        <w:t xml:space="preserve"> 1</w:t>
      </w:r>
      <w:r w:rsidRPr="002922E2">
        <w:rPr>
          <w:b/>
          <w:bCs/>
        </w:rPr>
        <w:t>:  For PDCCH monitoring enhancement adopt Alt-1.</w:t>
      </w:r>
      <w:r w:rsidR="00C90FA1" w:rsidRPr="002922E2">
        <w:rPr>
          <w:b/>
          <w:bCs/>
        </w:rPr>
        <w:t xml:space="preserve"> </w:t>
      </w:r>
    </w:p>
    <w:p w14:paraId="2A2EEEF0" w14:textId="7216EB88" w:rsidR="006448A9" w:rsidRDefault="002B24BA" w:rsidP="006448A9">
      <w:r>
        <w:t xml:space="preserve">One remaining issue to be decided is if the X slot group is aligned or not at the slot boundary.  We think that a natural extension of the existing slot based PDCCH monitoring is that the X group of slots is aligned with the slot boundary. </w:t>
      </w:r>
      <w:r w:rsidR="00990EE5">
        <w:t xml:space="preserve"> </w:t>
      </w:r>
    </w:p>
    <w:p w14:paraId="7456C793" w14:textId="5D55C596" w:rsidR="00990EE5" w:rsidRPr="00990EE5" w:rsidRDefault="00990EE5" w:rsidP="006448A9">
      <w:pPr>
        <w:rPr>
          <w:b/>
          <w:bCs/>
        </w:rPr>
      </w:pPr>
      <w:r w:rsidRPr="00990EE5">
        <w:rPr>
          <w:b/>
          <w:bCs/>
        </w:rPr>
        <w:lastRenderedPageBreak/>
        <w:t>Proposal</w:t>
      </w:r>
      <w:r w:rsidR="005F0F4E">
        <w:rPr>
          <w:b/>
          <w:bCs/>
        </w:rPr>
        <w:t xml:space="preserve"> 2</w:t>
      </w:r>
      <w:r w:rsidRPr="00990EE5">
        <w:rPr>
          <w:b/>
          <w:bCs/>
        </w:rPr>
        <w:t>: The X slot group for monitoring PDCCH is aligned with slot boundary.</w:t>
      </w:r>
    </w:p>
    <w:p w14:paraId="1FC5CC88" w14:textId="3E5620C6" w:rsidR="00990EE5" w:rsidRDefault="00990EE5" w:rsidP="006448A9">
      <w:r>
        <w:t xml:space="preserve">If the Alt 1 is considered as an extension of slot-based monitoring it is preferred that slot-based monitoring (X=1 slot and Y = 3 symbols) be a particular case of Alt 1, and Alt 1 be just a </w:t>
      </w:r>
      <w:r w:rsidR="0076240E">
        <w:t>scaled-up</w:t>
      </w:r>
      <w:r>
        <w:t xml:space="preserve"> version of the slot based PDCCH monitoring. Therefore, we propose that Y span to be always at the beginning of X slot group. </w:t>
      </w:r>
    </w:p>
    <w:p w14:paraId="0D113FE8" w14:textId="4FA7CC14" w:rsidR="00990EE5" w:rsidRPr="00990EE5" w:rsidRDefault="00990EE5" w:rsidP="006448A9">
      <w:pPr>
        <w:rPr>
          <w:b/>
          <w:bCs/>
        </w:rPr>
      </w:pPr>
      <w:r w:rsidRPr="00990EE5">
        <w:rPr>
          <w:b/>
          <w:bCs/>
        </w:rPr>
        <w:t>Proposal</w:t>
      </w:r>
      <w:r w:rsidR="005F0F4E">
        <w:rPr>
          <w:b/>
          <w:bCs/>
        </w:rPr>
        <w:t xml:space="preserve"> 3</w:t>
      </w:r>
      <w:r w:rsidRPr="00990EE5">
        <w:rPr>
          <w:b/>
          <w:bCs/>
        </w:rPr>
        <w:t>: The Y span slots always start at the first slot within a</w:t>
      </w:r>
      <w:r w:rsidR="00903A3F">
        <w:rPr>
          <w:b/>
          <w:bCs/>
        </w:rPr>
        <w:t xml:space="preserve"> X</w:t>
      </w:r>
      <w:r w:rsidRPr="00990EE5">
        <w:rPr>
          <w:b/>
          <w:bCs/>
        </w:rPr>
        <w:t xml:space="preserve"> slot group.</w:t>
      </w:r>
    </w:p>
    <w:p w14:paraId="3F0FC345" w14:textId="65846360" w:rsidR="00D31BCF" w:rsidRDefault="006561FB" w:rsidP="00476D88">
      <w:r>
        <w:t xml:space="preserve">During RAN1 discussions, it was proposed that UE should support multiple values for X such as for 480kHz SCS X = {1,2,4} slots, for 960kHz SCS X = {1,2,4,8} slots.   However, the consensus was not reached. One of the main objections was against the support of X=1 (per slot monitoring). </w:t>
      </w:r>
      <w:r w:rsidR="00FB534F">
        <w:t>We see the value X=1 just as another option for UE capability monitoring, which can be reported by UE and may or may not be used by gNB for configuration of PDCCH monitoring.</w:t>
      </w:r>
      <w:r w:rsidR="001735DA">
        <w:t xml:space="preserve"> Thus, it should be allowed. If X=1 slot, based on the Alt 1, Y =X and the SS location are not restricted and there is no power saving provided by this scheme.  Therefore, in our opinion, if </w:t>
      </w:r>
      <w:r w:rsidR="00F03599">
        <w:t>X=1 is supported, Y length less than one slot should be supported.</w:t>
      </w:r>
      <w:r w:rsidR="001735DA">
        <w:t xml:space="preserve"> </w:t>
      </w:r>
    </w:p>
    <w:p w14:paraId="43D9CF80" w14:textId="6BBCCEF6" w:rsidR="00FB534F" w:rsidRPr="00FB534F" w:rsidRDefault="00FB534F" w:rsidP="00FB534F">
      <w:pPr>
        <w:rPr>
          <w:b/>
          <w:bCs/>
          <w:lang w:val="en-GB" w:eastAsia="zh-CN"/>
        </w:rPr>
      </w:pPr>
      <w:r w:rsidRPr="00FB534F">
        <w:rPr>
          <w:b/>
          <w:bCs/>
        </w:rPr>
        <w:t>Proposal</w:t>
      </w:r>
      <w:r w:rsidR="005F0F4E">
        <w:rPr>
          <w:b/>
          <w:bCs/>
        </w:rPr>
        <w:t xml:space="preserve"> 4</w:t>
      </w:r>
      <w:r w:rsidRPr="00FB534F">
        <w:rPr>
          <w:b/>
          <w:bCs/>
        </w:rPr>
        <w:t xml:space="preserve">: For UE </w:t>
      </w:r>
      <w:r w:rsidRPr="00FB534F">
        <w:rPr>
          <w:b/>
          <w:bCs/>
          <w:lang w:val="en-GB" w:eastAsia="zh-CN"/>
        </w:rPr>
        <w:t>reporting the multi-slot PDCCH monitoring capability the following values are supported:</w:t>
      </w:r>
    </w:p>
    <w:p w14:paraId="549313D2" w14:textId="6F775B22" w:rsidR="00FB534F" w:rsidRPr="00FB534F" w:rsidRDefault="00FB534F" w:rsidP="00FB534F">
      <w:pPr>
        <w:pStyle w:val="ListParagraph"/>
        <w:numPr>
          <w:ilvl w:val="0"/>
          <w:numId w:val="41"/>
        </w:numPr>
        <w:rPr>
          <w:b/>
          <w:bCs/>
        </w:rPr>
      </w:pPr>
      <w:r w:rsidRPr="00FB534F">
        <w:rPr>
          <w:b/>
          <w:bCs/>
        </w:rPr>
        <w:t>For SCS 480 kHz, X= {</w:t>
      </w:r>
      <w:r w:rsidR="00F03599">
        <w:rPr>
          <w:b/>
          <w:bCs/>
        </w:rPr>
        <w:t>1,</w:t>
      </w:r>
      <w:r w:rsidRPr="00FB534F">
        <w:rPr>
          <w:b/>
          <w:bCs/>
        </w:rPr>
        <w:t>2,4} slots</w:t>
      </w:r>
    </w:p>
    <w:p w14:paraId="51E2902F" w14:textId="77777777" w:rsidR="00F03599" w:rsidRDefault="00FB534F" w:rsidP="00476D88">
      <w:pPr>
        <w:pStyle w:val="ListParagraph"/>
        <w:numPr>
          <w:ilvl w:val="0"/>
          <w:numId w:val="41"/>
        </w:numPr>
        <w:rPr>
          <w:b/>
          <w:bCs/>
        </w:rPr>
      </w:pPr>
      <w:r w:rsidRPr="00FB534F">
        <w:rPr>
          <w:b/>
          <w:bCs/>
        </w:rPr>
        <w:t xml:space="preserve">For SCS 960 kHz, X = </w:t>
      </w:r>
      <w:r w:rsidR="001735DA">
        <w:rPr>
          <w:b/>
          <w:bCs/>
        </w:rPr>
        <w:t>{</w:t>
      </w:r>
      <w:r w:rsidRPr="00FB534F">
        <w:rPr>
          <w:b/>
          <w:bCs/>
        </w:rPr>
        <w:t>1,2,4,8} slots</w:t>
      </w:r>
    </w:p>
    <w:p w14:paraId="37E9B7E3" w14:textId="42A5ABFE" w:rsidR="00FB534F" w:rsidRPr="00F03599" w:rsidRDefault="00F03599" w:rsidP="00F03599">
      <w:pPr>
        <w:rPr>
          <w:b/>
          <w:bCs/>
        </w:rPr>
      </w:pPr>
      <w:r w:rsidRPr="00F03599">
        <w:rPr>
          <w:b/>
          <w:bCs/>
        </w:rPr>
        <w:t>Proposal</w:t>
      </w:r>
      <w:r w:rsidR="005F0F4E">
        <w:rPr>
          <w:b/>
          <w:bCs/>
        </w:rPr>
        <w:t xml:space="preserve"> 5</w:t>
      </w:r>
      <w:r w:rsidRPr="00F03599">
        <w:rPr>
          <w:b/>
          <w:bCs/>
        </w:rPr>
        <w:t xml:space="preserve">: The support of X=1 slot </w:t>
      </w:r>
      <w:proofErr w:type="gramStart"/>
      <w:r w:rsidR="00080BEB" w:rsidRPr="00F03599">
        <w:rPr>
          <w:b/>
          <w:bCs/>
        </w:rPr>
        <w:t>mandate</w:t>
      </w:r>
      <w:r w:rsidR="00BE25CC">
        <w:rPr>
          <w:b/>
          <w:bCs/>
        </w:rPr>
        <w:t>s</w:t>
      </w:r>
      <w:proofErr w:type="gramEnd"/>
      <w:r w:rsidRPr="00F03599">
        <w:rPr>
          <w:b/>
          <w:bCs/>
        </w:rPr>
        <w:t xml:space="preserve"> Y=3 symbols support. </w:t>
      </w:r>
    </w:p>
    <w:p w14:paraId="6EDF9DF1" w14:textId="021B2E5C" w:rsidR="004D0A21" w:rsidRDefault="004D0A21" w:rsidP="0099702A">
      <w:pPr>
        <w:pStyle w:val="Heading2"/>
      </w:pPr>
      <w:r>
        <w:t>Overbooking</w:t>
      </w:r>
    </w:p>
    <w:p w14:paraId="67CE2782" w14:textId="08136A21" w:rsidR="00EE1C27" w:rsidRPr="00080BEB" w:rsidRDefault="00EE1C27" w:rsidP="00EE1C27">
      <w:pPr>
        <w:rPr>
          <w:bCs/>
        </w:rPr>
      </w:pPr>
      <w:r w:rsidRPr="00EE1C27">
        <w:rPr>
          <w:bCs/>
        </w:rPr>
        <w:t xml:space="preserve">A </w:t>
      </w:r>
      <w:r w:rsidR="00080BEB">
        <w:rPr>
          <w:bCs/>
        </w:rPr>
        <w:t>gNB</w:t>
      </w:r>
      <w:r w:rsidRPr="00EE1C27">
        <w:rPr>
          <w:bCs/>
        </w:rPr>
        <w:t xml:space="preserve"> can configure the UE with several PDCCH candidates/CCEs per slot that exceeds the UE capability, which is referred to as overbooking</w:t>
      </w:r>
      <w:r>
        <w:rPr>
          <w:bCs/>
        </w:rPr>
        <w:t xml:space="preserve">. </w:t>
      </w:r>
      <w:r w:rsidR="004E5D67">
        <w:rPr>
          <w:bCs/>
        </w:rPr>
        <w:t>As specified in TS 38.213 “</w:t>
      </w:r>
      <w:r w:rsidR="004E5D67" w:rsidRPr="004E5D67">
        <w:rPr>
          <w:bCs/>
        </w:rPr>
        <w:t>A UE does not expect to be configured CSS sets that result to corresponding total, or per scheduled cell, numbers of monitored PDCCH candidates and non-overlapped CCEs per slot or per span that exceed the corresponding maximum numbers per slot or per span, respectively.</w:t>
      </w:r>
      <w:r w:rsidR="004E5D67">
        <w:rPr>
          <w:bCs/>
        </w:rPr>
        <w:t>”</w:t>
      </w:r>
      <w:r w:rsidR="00080BEB">
        <w:rPr>
          <w:bCs/>
        </w:rPr>
        <w:t xml:space="preserve">  </w:t>
      </w:r>
      <w:r w:rsidR="001E4468">
        <w:rPr>
          <w:bCs/>
        </w:rPr>
        <w:t>In Rel 15 the monitoring capability is defined per slot, in Rel 16 the monitoring capability per span is added</w:t>
      </w:r>
      <w:r w:rsidR="00080BEB">
        <w:rPr>
          <w:bCs/>
        </w:rPr>
        <w:t>, where the span length ls shorter than a slot</w:t>
      </w:r>
      <w:r w:rsidR="001E4468">
        <w:rPr>
          <w:bCs/>
        </w:rPr>
        <w:t xml:space="preserve">. The monitoring capability is defined by </w:t>
      </w:r>
      <w:r w:rsidR="001E4468">
        <w:rPr>
          <w:i/>
        </w:rPr>
        <w:t>m</w:t>
      </w:r>
      <w:r w:rsidR="001E4468" w:rsidRPr="007D5B32">
        <w:rPr>
          <w:i/>
        </w:rPr>
        <w:t>onitoringCapabilityConfig</w:t>
      </w:r>
      <w:r w:rsidR="001E4468">
        <w:rPr>
          <w:i/>
        </w:rPr>
        <w:t xml:space="preserve"> </w:t>
      </w:r>
      <w:r w:rsidR="001E4468" w:rsidRPr="001E4468">
        <w:rPr>
          <w:iCs/>
        </w:rPr>
        <w:t>for a serving cell.</w:t>
      </w:r>
    </w:p>
    <w:p w14:paraId="36280AB7" w14:textId="7D71F44B" w:rsidR="004E5D67" w:rsidRDefault="004E5D67" w:rsidP="00EE1C27">
      <w:pPr>
        <w:rPr>
          <w:iCs/>
        </w:rPr>
      </w:pPr>
      <w:r>
        <w:rPr>
          <w:iCs/>
        </w:rPr>
        <w:t xml:space="preserve">For multi-slot PDCCH monitoring it is expected that UE maps the PDCCH candidates using the </w:t>
      </w:r>
      <w:r w:rsidR="00080BEB">
        <w:rPr>
          <w:iCs/>
        </w:rPr>
        <w:t>Y span</w:t>
      </w:r>
      <w:r>
        <w:rPr>
          <w:iCs/>
        </w:rPr>
        <w:t>, where the span may be larger than one slot.</w:t>
      </w:r>
      <w:r w:rsidR="00080BEB">
        <w:rPr>
          <w:iCs/>
        </w:rPr>
        <w:t xml:space="preserve"> Reusing the existing approach for overbooking rules is a natural choice.</w:t>
      </w:r>
    </w:p>
    <w:p w14:paraId="4CA891C1" w14:textId="77C31A11" w:rsidR="0099702A" w:rsidRDefault="0099702A" w:rsidP="00EE1C27">
      <w:pPr>
        <w:rPr>
          <w:b/>
          <w:bCs/>
          <w:iCs/>
        </w:rPr>
      </w:pPr>
      <w:r w:rsidRPr="0099702A">
        <w:rPr>
          <w:b/>
          <w:bCs/>
          <w:iCs/>
        </w:rPr>
        <w:t>Proposal</w:t>
      </w:r>
      <w:r w:rsidR="005F0F4E">
        <w:rPr>
          <w:b/>
          <w:bCs/>
          <w:iCs/>
        </w:rPr>
        <w:t xml:space="preserve"> 6</w:t>
      </w:r>
      <w:r w:rsidRPr="0099702A">
        <w:rPr>
          <w:b/>
          <w:bCs/>
          <w:iCs/>
        </w:rPr>
        <w:t xml:space="preserve">: Reuse the Rel-15/16 overbooking rules when </w:t>
      </w:r>
      <w:r w:rsidRPr="0099702A">
        <w:rPr>
          <w:b/>
          <w:bCs/>
        </w:rPr>
        <w:t>PDCCH candidates/CCEs exceeds either of the UE processing limits</w:t>
      </w:r>
      <w:r w:rsidRPr="0099702A">
        <w:rPr>
          <w:b/>
          <w:bCs/>
          <w:iCs/>
        </w:rPr>
        <w:t xml:space="preserve"> per span.</w:t>
      </w:r>
    </w:p>
    <w:p w14:paraId="09E05993" w14:textId="34B9E1FD" w:rsidR="004D0A21" w:rsidRDefault="004D0A21" w:rsidP="0099702A">
      <w:pPr>
        <w:pStyle w:val="Heading2"/>
      </w:pPr>
      <w:r>
        <w:t>Search Space configuration</w:t>
      </w:r>
    </w:p>
    <w:p w14:paraId="18E1ECC5" w14:textId="07C37950" w:rsidR="00694DFF" w:rsidRDefault="00D028FF" w:rsidP="00694DFF">
      <w:r>
        <w:rPr>
          <w:bCs/>
        </w:rPr>
        <w:t>The time pattern for monitoring PDCCH is configured to a UE by means of search space (SS) sets: common SS (CSS), and UE specific SS (USS). A UE can be configured up to 10 SS sets for each up to four BWPs in a serving cell. The SS set configuration indicates SS type, DCI format(s), monitoring occasions</w:t>
      </w:r>
      <w:r w:rsidR="00C3397A">
        <w:rPr>
          <w:bCs/>
        </w:rPr>
        <w:t xml:space="preserve"> and the number of PDCCH candidates for each aggregation level (AL) in the SS set. </w:t>
      </w:r>
      <w:r w:rsidR="00E20112">
        <w:rPr>
          <w:bCs/>
        </w:rPr>
        <w:t xml:space="preserve">A search space </w:t>
      </w:r>
      <w:r w:rsidR="00C4617E">
        <w:rPr>
          <w:bCs/>
        </w:rPr>
        <w:t>is</w:t>
      </w:r>
      <w:r w:rsidR="00E20112">
        <w:rPr>
          <w:bCs/>
        </w:rPr>
        <w:t xml:space="preserve"> associated with only one CORESET</w:t>
      </w:r>
      <w:r w:rsidR="00C4617E">
        <w:rPr>
          <w:bCs/>
        </w:rPr>
        <w:t xml:space="preserve">. </w:t>
      </w:r>
      <w:r w:rsidR="00694DFF" w:rsidRPr="00694DFF">
        <w:rPr>
          <w:bCs/>
        </w:rPr>
        <w:t>A control-resource set consists of</w:t>
      </w:r>
      <w:r w:rsidR="00694DFF">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sidR="00694DFF">
        <w:t xml:space="preserve"> </w:t>
      </w:r>
      <w:r w:rsidR="00694DFF" w:rsidRPr="00694DFF">
        <w:rPr>
          <w:bCs/>
        </w:rPr>
        <w:t>resource blocks in the frequency domain and</w:t>
      </w:r>
      <w:r w:rsidR="00694DFF">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1,2,3</m:t>
            </m:r>
          </m:e>
        </m:d>
      </m:oMath>
      <w:r w:rsidR="00694DFF">
        <w:t xml:space="preserve"> </w:t>
      </w:r>
      <w:r w:rsidR="00694DFF" w:rsidRPr="00694DFF">
        <w:rPr>
          <w:bCs/>
        </w:rPr>
        <w:t>symbols in the time domain</w:t>
      </w:r>
      <w:r w:rsidR="00694DFF">
        <w:t>.</w:t>
      </w:r>
      <w:r w:rsidR="00FD3E64">
        <w:t xml:space="preserve"> </w:t>
      </w:r>
      <w:r w:rsidR="00FD3E64" w:rsidRPr="00FD3E64">
        <w:t>A UE monitors a set of PDCCH candidates in one or more CORESETs on the active DL BWP</w:t>
      </w:r>
      <w:r w:rsidR="00FD3E64">
        <w:t xml:space="preserve">. </w:t>
      </w:r>
    </w:p>
    <w:p w14:paraId="1A45D7B2" w14:textId="2E450574" w:rsidR="00E20112" w:rsidRDefault="00C4617E" w:rsidP="00476D88">
      <w:pPr>
        <w:rPr>
          <w:bCs/>
        </w:rPr>
      </w:pPr>
      <w:r>
        <w:rPr>
          <w:bCs/>
        </w:rPr>
        <w:t>The UE determines what slots to monitor based on the duration, periodicity and offset provided by higher layers.</w:t>
      </w:r>
      <w:r w:rsidRPr="00C4617E">
        <w:rPr>
          <w:bCs/>
        </w:rPr>
        <w:t xml:space="preserve"> </w:t>
      </w:r>
      <w:r w:rsidRPr="00026E8A">
        <w:rPr>
          <w:bCs/>
        </w:rPr>
        <w:t>TS 38.331 defines the SearchSpace IE</w:t>
      </w:r>
      <w:r>
        <w:rPr>
          <w:bCs/>
        </w:rPr>
        <w:t>.</w:t>
      </w:r>
    </w:p>
    <w:p w14:paraId="732FA515" w14:textId="77777777" w:rsidR="00C4617E" w:rsidRPr="00026E8A" w:rsidRDefault="00C4617E" w:rsidP="00C4617E">
      <w:pPr>
        <w:pStyle w:val="ListParagraph"/>
        <w:numPr>
          <w:ilvl w:val="0"/>
          <w:numId w:val="38"/>
        </w:numPr>
        <w:rPr>
          <w:bCs/>
        </w:rPr>
      </w:pPr>
      <w:r w:rsidRPr="00053E48">
        <w:rPr>
          <w:bCs/>
          <w:i/>
          <w:iCs/>
        </w:rPr>
        <w:t>duration</w:t>
      </w:r>
      <w:r w:rsidRPr="00026E8A">
        <w:rPr>
          <w:bCs/>
        </w:rPr>
        <w:t xml:space="preserve"> is the number of consecutive slots that a SearchSpace lasts </w:t>
      </w:r>
      <w:proofErr w:type="gramStart"/>
      <w:r w:rsidRPr="00026E8A">
        <w:rPr>
          <w:bCs/>
        </w:rPr>
        <w:t>in</w:t>
      </w:r>
      <w:proofErr w:type="gramEnd"/>
      <w:r w:rsidRPr="00026E8A">
        <w:rPr>
          <w:bCs/>
        </w:rPr>
        <w:t xml:space="preserve"> every occasion, i.e., upon every period as given in the </w:t>
      </w:r>
      <w:r>
        <w:rPr>
          <w:bCs/>
        </w:rPr>
        <w:t>SlotP</w:t>
      </w:r>
      <w:r w:rsidRPr="00026E8A">
        <w:rPr>
          <w:bCs/>
        </w:rPr>
        <w:t>eriodicityAndOffset.</w:t>
      </w:r>
    </w:p>
    <w:p w14:paraId="05DD1DBA" w14:textId="77777777" w:rsidR="00C4617E" w:rsidRDefault="00C4617E" w:rsidP="00C4617E">
      <w:pPr>
        <w:pStyle w:val="ListParagraph"/>
        <w:numPr>
          <w:ilvl w:val="0"/>
          <w:numId w:val="38"/>
        </w:numPr>
        <w:rPr>
          <w:bCs/>
        </w:rPr>
      </w:pPr>
      <w:r w:rsidRPr="00053E48">
        <w:rPr>
          <w:bCs/>
          <w:i/>
          <w:iCs/>
        </w:rPr>
        <w:t>monitoringSlotPeriodicityAndOffset</w:t>
      </w:r>
      <w:r>
        <w:rPr>
          <w:bCs/>
        </w:rPr>
        <w:t>: number of s</w:t>
      </w:r>
      <w:r w:rsidRPr="00026E8A">
        <w:rPr>
          <w:bCs/>
        </w:rPr>
        <w:t>lots for PDCCH Monitoring configured as periodicity and offset.</w:t>
      </w:r>
    </w:p>
    <w:p w14:paraId="0E0F11EF" w14:textId="4CFDFE59" w:rsidR="00C4617E" w:rsidRDefault="00C4617E" w:rsidP="00476D88">
      <w:pPr>
        <w:rPr>
          <w:bCs/>
        </w:rPr>
      </w:pPr>
      <w:r>
        <w:rPr>
          <w:bCs/>
        </w:rPr>
        <w:lastRenderedPageBreak/>
        <w:t xml:space="preserve">With Rel 17, the basic pattern is extended to </w:t>
      </w:r>
      <w:r w:rsidR="003637B8">
        <w:rPr>
          <w:bCs/>
        </w:rPr>
        <w:t>multiple slots</w:t>
      </w:r>
      <w:r>
        <w:rPr>
          <w:bCs/>
        </w:rPr>
        <w:t xml:space="preserve">, therefore the specified duration is a repetition of the basic </w:t>
      </w:r>
      <w:r w:rsidR="00CA6849">
        <w:rPr>
          <w:bCs/>
        </w:rPr>
        <w:t>pattern and</w:t>
      </w:r>
      <w:r>
        <w:rPr>
          <w:bCs/>
        </w:rPr>
        <w:t xml:space="preserve"> should be a multiple of </w:t>
      </w:r>
      <w:r w:rsidR="00CA6849">
        <w:rPr>
          <w:bCs/>
        </w:rPr>
        <w:t xml:space="preserve">the </w:t>
      </w:r>
      <w:r>
        <w:rPr>
          <w:bCs/>
        </w:rPr>
        <w:t xml:space="preserve">basic pattern length. </w:t>
      </w:r>
      <w:r w:rsidR="00CA6849">
        <w:rPr>
          <w:bCs/>
        </w:rPr>
        <w:t>The basic pattern duration in multi-slot PDCCH monitoring corresponds to X value above. The basic pattern duration for multi-slot PDCCH monitoring consists of an active search period (span) and a period where UE can microsleep (X-Y for instance).</w:t>
      </w:r>
    </w:p>
    <w:p w14:paraId="310B5AB8" w14:textId="6299072A" w:rsidR="006F3616" w:rsidRDefault="00900880" w:rsidP="00476D88">
      <w:pPr>
        <w:rPr>
          <w:bCs/>
        </w:rPr>
      </w:pPr>
      <w:r>
        <w:rPr>
          <w:bCs/>
        </w:rPr>
        <w:t xml:space="preserve">With multi-slot PDCCH monitoring new variables are necessary to describe the extended </w:t>
      </w:r>
      <w:r w:rsidR="003D5272">
        <w:rPr>
          <w:bCs/>
        </w:rPr>
        <w:t xml:space="preserve">basic </w:t>
      </w:r>
      <w:r w:rsidR="00007E0C">
        <w:rPr>
          <w:bCs/>
        </w:rPr>
        <w:t xml:space="preserve">monitoring </w:t>
      </w:r>
      <w:r>
        <w:rPr>
          <w:bCs/>
        </w:rPr>
        <w:t>pattern</w:t>
      </w:r>
      <w:r w:rsidR="00E20112">
        <w:rPr>
          <w:bCs/>
        </w:rPr>
        <w:t xml:space="preserve"> within a search space</w:t>
      </w:r>
      <w:r w:rsidR="003D5272">
        <w:rPr>
          <w:bCs/>
        </w:rPr>
        <w:t xml:space="preserve"> duration</w:t>
      </w:r>
      <w:r>
        <w:rPr>
          <w:bCs/>
        </w:rPr>
        <w:t>.</w:t>
      </w:r>
    </w:p>
    <w:p w14:paraId="4395A407" w14:textId="7F4E04E3" w:rsidR="00900880" w:rsidRDefault="00900880" w:rsidP="00900880">
      <w:pPr>
        <w:pStyle w:val="ListParagraph"/>
        <w:numPr>
          <w:ilvl w:val="0"/>
          <w:numId w:val="39"/>
        </w:numPr>
        <w:rPr>
          <w:bCs/>
        </w:rPr>
      </w:pPr>
      <w:r w:rsidRPr="006F3616">
        <w:rPr>
          <w:bCs/>
          <w:i/>
          <w:iCs/>
        </w:rPr>
        <w:t>spanDuration</w:t>
      </w:r>
      <w:r>
        <w:rPr>
          <w:bCs/>
        </w:rPr>
        <w:t>, represent</w:t>
      </w:r>
      <w:r w:rsidR="00007E0C">
        <w:rPr>
          <w:bCs/>
        </w:rPr>
        <w:t>s</w:t>
      </w:r>
      <w:r>
        <w:rPr>
          <w:bCs/>
        </w:rPr>
        <w:t xml:space="preserve"> the number of slots of span duration</w:t>
      </w:r>
      <w:r w:rsidR="00E20112">
        <w:rPr>
          <w:bCs/>
        </w:rPr>
        <w:t xml:space="preserve"> where PDCCH may be localized</w:t>
      </w:r>
      <w:r>
        <w:rPr>
          <w:bCs/>
        </w:rPr>
        <w:t xml:space="preserve"> </w:t>
      </w:r>
    </w:p>
    <w:p w14:paraId="6875D566" w14:textId="03869F05" w:rsidR="00900880" w:rsidRDefault="00E20112" w:rsidP="00900880">
      <w:pPr>
        <w:pStyle w:val="ListParagraph"/>
        <w:numPr>
          <w:ilvl w:val="0"/>
          <w:numId w:val="39"/>
        </w:numPr>
        <w:rPr>
          <w:bCs/>
        </w:rPr>
      </w:pPr>
      <w:r>
        <w:rPr>
          <w:bCs/>
          <w:i/>
          <w:iCs/>
        </w:rPr>
        <w:t>pattern</w:t>
      </w:r>
      <w:r w:rsidR="00900880" w:rsidRPr="00900880">
        <w:rPr>
          <w:bCs/>
          <w:i/>
          <w:iCs/>
        </w:rPr>
        <w:t>Duration,</w:t>
      </w:r>
      <w:r w:rsidR="00900880">
        <w:rPr>
          <w:bCs/>
        </w:rPr>
        <w:t xml:space="preserve"> which correspond to X </w:t>
      </w:r>
      <w:r>
        <w:rPr>
          <w:bCs/>
        </w:rPr>
        <w:t>value d</w:t>
      </w:r>
      <w:r w:rsidR="00900880">
        <w:rPr>
          <w:bCs/>
        </w:rPr>
        <w:t xml:space="preserve">uration </w:t>
      </w:r>
    </w:p>
    <w:p w14:paraId="5958ED54" w14:textId="219B4A85" w:rsidR="00900880" w:rsidRDefault="00007E0C" w:rsidP="00476D88">
      <w:pPr>
        <w:rPr>
          <w:bCs/>
        </w:rPr>
      </w:pPr>
      <w:r>
        <w:rPr>
          <w:bCs/>
        </w:rPr>
        <w:t>We note that the existing elements (</w:t>
      </w:r>
      <w:r w:rsidR="00BF04A6">
        <w:rPr>
          <w:bCs/>
        </w:rPr>
        <w:t>v</w:t>
      </w:r>
      <w:r>
        <w:rPr>
          <w:bCs/>
        </w:rPr>
        <w:t xml:space="preserve">ariables) for search space configuration </w:t>
      </w:r>
      <w:r w:rsidR="00BF04A6">
        <w:rPr>
          <w:bCs/>
        </w:rPr>
        <w:t xml:space="preserve">should </w:t>
      </w:r>
      <w:r>
        <w:rPr>
          <w:bCs/>
        </w:rPr>
        <w:t>keep their defini</w:t>
      </w:r>
      <w:r w:rsidR="00BF04A6">
        <w:rPr>
          <w:bCs/>
        </w:rPr>
        <w:t>ti</w:t>
      </w:r>
      <w:r>
        <w:rPr>
          <w:bCs/>
        </w:rPr>
        <w:t xml:space="preserve">on </w:t>
      </w:r>
      <w:r w:rsidR="00BF04A6">
        <w:rPr>
          <w:bCs/>
        </w:rPr>
        <w:t xml:space="preserve">as the extended </w:t>
      </w:r>
      <w:r w:rsidR="003D5272">
        <w:rPr>
          <w:bCs/>
        </w:rPr>
        <w:t>basic</w:t>
      </w:r>
      <w:r w:rsidR="00BF04A6">
        <w:rPr>
          <w:bCs/>
        </w:rPr>
        <w:t xml:space="preserve"> monitor pattern </w:t>
      </w:r>
      <w:r w:rsidR="003D5272">
        <w:rPr>
          <w:bCs/>
        </w:rPr>
        <w:t>is</w:t>
      </w:r>
      <w:r w:rsidR="00BF04A6">
        <w:rPr>
          <w:bCs/>
        </w:rPr>
        <w:t xml:space="preserve"> repeated for “duration” slots, </w:t>
      </w:r>
      <w:r w:rsidR="006257B8">
        <w:rPr>
          <w:bCs/>
        </w:rPr>
        <w:t>(duration &gt;X)</w:t>
      </w:r>
      <w:r w:rsidR="00E708FB">
        <w:rPr>
          <w:bCs/>
        </w:rPr>
        <w:t xml:space="preserve">, </w:t>
      </w:r>
      <w:r w:rsidR="00BF04A6">
        <w:rPr>
          <w:bCs/>
        </w:rPr>
        <w:t>with periodicity and offset configured</w:t>
      </w:r>
      <w:r w:rsidR="003D5272">
        <w:rPr>
          <w:bCs/>
        </w:rPr>
        <w:t xml:space="preserve"> as presented in Figure 4.</w:t>
      </w:r>
      <w:r w:rsidR="00BF04A6">
        <w:rPr>
          <w:bCs/>
        </w:rPr>
        <w:t xml:space="preserve"> </w:t>
      </w:r>
      <w:r>
        <w:rPr>
          <w:bCs/>
        </w:rPr>
        <w:t xml:space="preserve"> </w:t>
      </w:r>
    </w:p>
    <w:p w14:paraId="3D8FD0F3" w14:textId="77777777" w:rsidR="00684F8B" w:rsidRDefault="00684F8B" w:rsidP="00684F8B">
      <w:pPr>
        <w:keepNext/>
      </w:pPr>
      <w:r>
        <w:rPr>
          <w:bCs/>
          <w:noProof/>
        </w:rPr>
        <w:drawing>
          <wp:inline distT="0" distB="0" distL="0" distR="0" wp14:anchorId="7F6F7BA0" wp14:editId="557B495B">
            <wp:extent cx="6456797" cy="1285240"/>
            <wp:effectExtent l="0" t="0" r="127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38096" cy="1301423"/>
                    </a:xfrm>
                    <a:prstGeom prst="rect">
                      <a:avLst/>
                    </a:prstGeom>
                    <a:noFill/>
                  </pic:spPr>
                </pic:pic>
              </a:graphicData>
            </a:graphic>
          </wp:inline>
        </w:drawing>
      </w:r>
    </w:p>
    <w:p w14:paraId="7F29E4DA" w14:textId="36924AC2" w:rsidR="00684F8B" w:rsidRDefault="00684F8B" w:rsidP="00684F8B">
      <w:pPr>
        <w:pStyle w:val="Caption"/>
        <w:rPr>
          <w:bCs w:val="0"/>
        </w:rPr>
      </w:pPr>
      <w:r>
        <w:t xml:space="preserve">Figure </w:t>
      </w:r>
      <w:fldSimple w:instr=" SEQ Figure \* ARABIC ">
        <w:r>
          <w:rPr>
            <w:noProof/>
          </w:rPr>
          <w:t>4</w:t>
        </w:r>
      </w:fldSimple>
      <w:r w:rsidR="00D505A3">
        <w:t>, Search Space timing</w:t>
      </w:r>
    </w:p>
    <w:p w14:paraId="0CD9B027" w14:textId="4F218D73" w:rsidR="003D5272" w:rsidRDefault="00080BEB" w:rsidP="001E628F">
      <w:pPr>
        <w:rPr>
          <w:bCs/>
        </w:rPr>
      </w:pPr>
      <w:r>
        <w:rPr>
          <w:bCs/>
        </w:rPr>
        <w:t xml:space="preserve"> </w:t>
      </w:r>
    </w:p>
    <w:p w14:paraId="0075112A" w14:textId="0E3A6566" w:rsidR="003D5272" w:rsidRDefault="003D5272" w:rsidP="003D5272">
      <w:pPr>
        <w:rPr>
          <w:bCs/>
        </w:rPr>
      </w:pPr>
      <w:r>
        <w:rPr>
          <w:bCs/>
        </w:rPr>
        <w:t xml:space="preserve">In a multi-slot monitoring span UE may be provided with bitmap that indicates the monitoring symbols in each span. We note that this information is already provided in the Rel-15/16 IE by the variable   </w:t>
      </w:r>
      <w:r w:rsidRPr="003F609F">
        <w:rPr>
          <w:bCs/>
          <w:i/>
          <w:iCs/>
        </w:rPr>
        <w:t>monitoringSymbolsWithinSlot</w:t>
      </w:r>
      <w:r>
        <w:rPr>
          <w:bCs/>
        </w:rPr>
        <w:t>, which is t</w:t>
      </w:r>
      <w:r w:rsidRPr="003F609F">
        <w:rPr>
          <w:bCs/>
        </w:rPr>
        <w:t>he first symbol(s) for PDCCH monitoring in the slots configured for PDCCH monitoring</w:t>
      </w:r>
      <w:r>
        <w:rPr>
          <w:bCs/>
        </w:rPr>
        <w:t>.</w:t>
      </w:r>
      <w:r w:rsidR="00E65CE6">
        <w:rPr>
          <w:bCs/>
        </w:rPr>
        <w:t xml:space="preserve"> For instance, UE will monitor just the first 3 symbols in each slot of the multi-slot span</w:t>
      </w:r>
      <w:r w:rsidR="006671AE">
        <w:rPr>
          <w:bCs/>
        </w:rPr>
        <w:t xml:space="preserve"> X=1</w:t>
      </w:r>
      <w:r w:rsidR="00E65CE6">
        <w:rPr>
          <w:bCs/>
        </w:rPr>
        <w:t>. Moreover, the PDCCH schedule and monitoring can be further simplified if the CSS and USS are grouped and scheduled at different time either in the same slot or different slots of the span.</w:t>
      </w:r>
    </w:p>
    <w:p w14:paraId="54A828D5" w14:textId="2B29E193" w:rsidR="001E628F" w:rsidRDefault="001E628F" w:rsidP="001E628F">
      <w:pPr>
        <w:rPr>
          <w:bCs/>
        </w:rPr>
      </w:pPr>
      <w:r>
        <w:rPr>
          <w:bCs/>
        </w:rPr>
        <w:t xml:space="preserve">We note that is possible to select between two PDCCH </w:t>
      </w:r>
      <w:r w:rsidR="003D5272">
        <w:rPr>
          <w:bCs/>
        </w:rPr>
        <w:t xml:space="preserve">different </w:t>
      </w:r>
      <w:r>
        <w:rPr>
          <w:bCs/>
        </w:rPr>
        <w:t>monitoring behaviors (</w:t>
      </w:r>
      <w:proofErr w:type="gramStart"/>
      <w:r>
        <w:rPr>
          <w:bCs/>
        </w:rPr>
        <w:t>e.g.</w:t>
      </w:r>
      <w:proofErr w:type="gramEnd"/>
      <w:r>
        <w:rPr>
          <w:bCs/>
        </w:rPr>
        <w:t xml:space="preserve"> per slot vs per multi-slot or per 2 slots vs 4 slots monitoring) through search space set group (SSSG) switching.</w:t>
      </w:r>
    </w:p>
    <w:p w14:paraId="00BFA13E" w14:textId="5672BE55" w:rsidR="006671AE" w:rsidRDefault="006671AE" w:rsidP="001E628F">
      <w:pPr>
        <w:rPr>
          <w:bCs/>
        </w:rPr>
      </w:pPr>
      <w:r>
        <w:rPr>
          <w:bCs/>
        </w:rPr>
        <w:t xml:space="preserve">As presented in the Figure 4, a particular case for minimum configurable </w:t>
      </w:r>
      <w:r w:rsidRPr="006671AE">
        <w:rPr>
          <w:bCs/>
        </w:rPr>
        <w:t xml:space="preserve">periodicity of the USS and Type3-PDCCH CSS </w:t>
      </w:r>
      <w:r>
        <w:rPr>
          <w:bCs/>
        </w:rPr>
        <w:t xml:space="preserve">may be </w:t>
      </w:r>
      <w:r w:rsidRPr="006671AE">
        <w:rPr>
          <w:bCs/>
        </w:rPr>
        <w:t>the smallest value X that a UE supports</w:t>
      </w:r>
      <w:r>
        <w:rPr>
          <w:bCs/>
        </w:rPr>
        <w:t>. Therefore, we support the following proposal from [</w:t>
      </w:r>
      <w:r w:rsidR="008310F6">
        <w:rPr>
          <w:bCs/>
        </w:rPr>
        <w:t>4</w:t>
      </w:r>
      <w:r>
        <w:rPr>
          <w:bCs/>
        </w:rPr>
        <w:t>]:</w:t>
      </w:r>
    </w:p>
    <w:p w14:paraId="4BE1153E" w14:textId="362A0993" w:rsidR="006671AE" w:rsidRPr="006671AE" w:rsidRDefault="006671AE" w:rsidP="006671AE">
      <w:pPr>
        <w:rPr>
          <w:b/>
        </w:rPr>
      </w:pPr>
      <w:r w:rsidRPr="006671AE">
        <w:rPr>
          <w:b/>
        </w:rPr>
        <w:t>Proposal</w:t>
      </w:r>
      <w:r w:rsidR="005F0F4E">
        <w:rPr>
          <w:b/>
        </w:rPr>
        <w:t xml:space="preserve"> 7</w:t>
      </w:r>
      <w:r w:rsidRPr="006671AE">
        <w:rPr>
          <w:b/>
        </w:rPr>
        <w:t>: For each SCS 480 kHz and 960 kHz, the minimum configurable periodicity of the USS and Type3-PDCCH CSS is the smallest value X that a UE supports when reporting its multi-slot PDCCH monitoring capabilities for the corresponding SCS.</w:t>
      </w:r>
    </w:p>
    <w:p w14:paraId="75C76608" w14:textId="2C55C226" w:rsidR="00026E8A" w:rsidRDefault="00026E8A" w:rsidP="0099702A">
      <w:pPr>
        <w:pStyle w:val="Heading2"/>
      </w:pPr>
      <w:r>
        <w:t>Multi Beam PDCCH monitoring</w:t>
      </w:r>
    </w:p>
    <w:p w14:paraId="3C8ED1E0" w14:textId="02BB601F" w:rsidR="00CC4258" w:rsidRDefault="00664E11" w:rsidP="00476D88">
      <w:pPr>
        <w:rPr>
          <w:bCs/>
        </w:rPr>
      </w:pPr>
      <w:r>
        <w:rPr>
          <w:bCs/>
        </w:rPr>
        <w:t xml:space="preserve">In 60 GHz bands due to higher pathloss corresponding to high frequency it is expected that the transmitters use directional beams. </w:t>
      </w:r>
      <w:r w:rsidR="0064566B">
        <w:rPr>
          <w:bCs/>
        </w:rPr>
        <w:t xml:space="preserve">In TS 38.213 Clause 10.1, the </w:t>
      </w:r>
      <w:r w:rsidR="0064566B" w:rsidRPr="0064566B">
        <w:rPr>
          <w:bCs/>
          <w:i/>
          <w:iCs/>
        </w:rPr>
        <w:t>ControlResourceSet</w:t>
      </w:r>
      <w:r w:rsidR="0064566B">
        <w:rPr>
          <w:bCs/>
        </w:rPr>
        <w:t xml:space="preserve"> variables are defined</w:t>
      </w:r>
      <w:r>
        <w:rPr>
          <w:bCs/>
        </w:rPr>
        <w:t>.</w:t>
      </w:r>
      <w:r w:rsidR="0064566B">
        <w:rPr>
          <w:bCs/>
        </w:rPr>
        <w:t xml:space="preserve"> The antenna port quasi co-location is provided by </w:t>
      </w:r>
      <w:r w:rsidR="0064566B" w:rsidRPr="0064566B">
        <w:rPr>
          <w:bCs/>
          <w:i/>
          <w:iCs/>
        </w:rPr>
        <w:t>TCI-State</w:t>
      </w:r>
      <w:r w:rsidR="0064566B">
        <w:rPr>
          <w:bCs/>
          <w:i/>
          <w:iCs/>
        </w:rPr>
        <w:t xml:space="preserve"> </w:t>
      </w:r>
      <w:r w:rsidR="0064566B">
        <w:rPr>
          <w:bCs/>
        </w:rPr>
        <w:t>indicating the quasi co-location of the DM-RS antenna port for PDCCH reception in the respective CORESET.</w:t>
      </w:r>
      <w:r w:rsidR="0064566B">
        <w:rPr>
          <w:bCs/>
          <w:i/>
          <w:iCs/>
        </w:rPr>
        <w:t xml:space="preserve"> </w:t>
      </w:r>
      <w:r w:rsidR="00EA2ABC" w:rsidRPr="00EA2ABC">
        <w:rPr>
          <w:bCs/>
        </w:rPr>
        <w:t>If</w:t>
      </w:r>
      <w:r w:rsidR="00EA2ABC">
        <w:rPr>
          <w:bCs/>
        </w:rPr>
        <w:t xml:space="preserve"> the UE is not provided with a configuration of TCI state(s)the UE assumes that the DM-RS antenna port associated with</w:t>
      </w:r>
      <w:r w:rsidR="0020143D">
        <w:rPr>
          <w:bCs/>
        </w:rPr>
        <w:t xml:space="preserve"> </w:t>
      </w:r>
      <w:r w:rsidR="00EA2ABC">
        <w:rPr>
          <w:bCs/>
        </w:rPr>
        <w:t>PDCCH receptions is quasi co-located with SS/PBCH the UE identified during the initial access procedure.</w:t>
      </w:r>
    </w:p>
    <w:p w14:paraId="00048358" w14:textId="087140E6" w:rsidR="00707365" w:rsidRPr="00FF6A38" w:rsidRDefault="003F609F" w:rsidP="000F4F58">
      <w:pPr>
        <w:rPr>
          <w:b/>
        </w:rPr>
      </w:pPr>
      <w:r w:rsidRPr="003F609F">
        <w:rPr>
          <w:b/>
        </w:rPr>
        <w:t>Proposal</w:t>
      </w:r>
      <w:r w:rsidR="005F0F4E">
        <w:rPr>
          <w:b/>
        </w:rPr>
        <w:t xml:space="preserve"> 8</w:t>
      </w:r>
      <w:r w:rsidRPr="003F609F">
        <w:rPr>
          <w:b/>
        </w:rPr>
        <w:t>: Use the existing mechanism for beam configuration and activation for multi-slot PDCCH monitoring.</w:t>
      </w:r>
      <w:bookmarkStart w:id="5" w:name="_Ref129681832"/>
    </w:p>
    <w:p w14:paraId="156214C1" w14:textId="1E5EAB20" w:rsidR="00756A33" w:rsidRDefault="00756A33" w:rsidP="00756A33">
      <w:pPr>
        <w:pStyle w:val="Heading1"/>
      </w:pPr>
      <w:r>
        <w:t>Conclusion</w:t>
      </w:r>
    </w:p>
    <w:p w14:paraId="09A2E81A" w14:textId="77777777" w:rsidR="00995626" w:rsidRPr="002922E2" w:rsidRDefault="008C6E58" w:rsidP="00995626">
      <w:pPr>
        <w:rPr>
          <w:b/>
          <w:bCs/>
        </w:rPr>
      </w:pPr>
      <w:r>
        <w:rPr>
          <w:b/>
        </w:rPr>
        <w:t xml:space="preserve"> </w:t>
      </w:r>
      <w:r w:rsidR="00995626" w:rsidRPr="002922E2">
        <w:rPr>
          <w:b/>
          <w:bCs/>
        </w:rPr>
        <w:t>Proposal</w:t>
      </w:r>
      <w:r w:rsidR="00995626">
        <w:rPr>
          <w:b/>
          <w:bCs/>
        </w:rPr>
        <w:t xml:space="preserve"> 1</w:t>
      </w:r>
      <w:r w:rsidR="00995626" w:rsidRPr="002922E2">
        <w:rPr>
          <w:b/>
          <w:bCs/>
        </w:rPr>
        <w:t xml:space="preserve">:  For PDCCH monitoring enhancement adopt Alt-1. </w:t>
      </w:r>
    </w:p>
    <w:p w14:paraId="165BC2B3" w14:textId="77777777" w:rsidR="00995626" w:rsidRPr="00990EE5" w:rsidRDefault="00995626" w:rsidP="00995626">
      <w:pPr>
        <w:rPr>
          <w:b/>
          <w:bCs/>
        </w:rPr>
      </w:pPr>
      <w:r w:rsidRPr="00990EE5">
        <w:rPr>
          <w:b/>
          <w:bCs/>
        </w:rPr>
        <w:lastRenderedPageBreak/>
        <w:t>Proposal</w:t>
      </w:r>
      <w:r>
        <w:rPr>
          <w:b/>
          <w:bCs/>
        </w:rPr>
        <w:t xml:space="preserve"> 2</w:t>
      </w:r>
      <w:r w:rsidRPr="00990EE5">
        <w:rPr>
          <w:b/>
          <w:bCs/>
        </w:rPr>
        <w:t>: The X slot group for monitoring PDCCH is aligned with slot boundary.</w:t>
      </w:r>
    </w:p>
    <w:p w14:paraId="607CE858" w14:textId="77777777" w:rsidR="00995626" w:rsidRPr="00990EE5" w:rsidRDefault="00995626" w:rsidP="00995626">
      <w:pPr>
        <w:rPr>
          <w:b/>
          <w:bCs/>
        </w:rPr>
      </w:pPr>
      <w:r w:rsidRPr="00990EE5">
        <w:rPr>
          <w:b/>
          <w:bCs/>
        </w:rPr>
        <w:t>Proposal</w:t>
      </w:r>
      <w:r>
        <w:rPr>
          <w:b/>
          <w:bCs/>
        </w:rPr>
        <w:t xml:space="preserve"> 3</w:t>
      </w:r>
      <w:r w:rsidRPr="00990EE5">
        <w:rPr>
          <w:b/>
          <w:bCs/>
        </w:rPr>
        <w:t>: The Y span slots always start at the first slot within a</w:t>
      </w:r>
      <w:r>
        <w:rPr>
          <w:b/>
          <w:bCs/>
        </w:rPr>
        <w:t xml:space="preserve"> X</w:t>
      </w:r>
      <w:r w:rsidRPr="00990EE5">
        <w:rPr>
          <w:b/>
          <w:bCs/>
        </w:rPr>
        <w:t xml:space="preserve"> slot group.</w:t>
      </w:r>
    </w:p>
    <w:p w14:paraId="083F62AF" w14:textId="77777777" w:rsidR="00995626" w:rsidRPr="00FB534F" w:rsidRDefault="00995626" w:rsidP="00995626">
      <w:pPr>
        <w:rPr>
          <w:b/>
          <w:bCs/>
          <w:lang w:val="en-GB" w:eastAsia="zh-CN"/>
        </w:rPr>
      </w:pPr>
      <w:r w:rsidRPr="00FB534F">
        <w:rPr>
          <w:b/>
          <w:bCs/>
        </w:rPr>
        <w:t>Proposal</w:t>
      </w:r>
      <w:r>
        <w:rPr>
          <w:b/>
          <w:bCs/>
        </w:rPr>
        <w:t xml:space="preserve"> 4</w:t>
      </w:r>
      <w:r w:rsidRPr="00FB534F">
        <w:rPr>
          <w:b/>
          <w:bCs/>
        </w:rPr>
        <w:t xml:space="preserve">: For UE </w:t>
      </w:r>
      <w:r w:rsidRPr="00FB534F">
        <w:rPr>
          <w:b/>
          <w:bCs/>
          <w:lang w:val="en-GB" w:eastAsia="zh-CN"/>
        </w:rPr>
        <w:t>reporting the multi-slot PDCCH monitoring capability the following values are supported:</w:t>
      </w:r>
    </w:p>
    <w:p w14:paraId="02B99212" w14:textId="77777777" w:rsidR="00995626" w:rsidRPr="00FB534F" w:rsidRDefault="00995626" w:rsidP="00995626">
      <w:pPr>
        <w:pStyle w:val="ListParagraph"/>
        <w:numPr>
          <w:ilvl w:val="0"/>
          <w:numId w:val="41"/>
        </w:numPr>
        <w:rPr>
          <w:b/>
          <w:bCs/>
        </w:rPr>
      </w:pPr>
      <w:r w:rsidRPr="00FB534F">
        <w:rPr>
          <w:b/>
          <w:bCs/>
        </w:rPr>
        <w:t>For SCS 480 kHz, X= {</w:t>
      </w:r>
      <w:r>
        <w:rPr>
          <w:b/>
          <w:bCs/>
        </w:rPr>
        <w:t>1,</w:t>
      </w:r>
      <w:r w:rsidRPr="00FB534F">
        <w:rPr>
          <w:b/>
          <w:bCs/>
        </w:rPr>
        <w:t>2,4} slots</w:t>
      </w:r>
    </w:p>
    <w:p w14:paraId="24255C63" w14:textId="77777777" w:rsidR="00995626" w:rsidRDefault="00995626" w:rsidP="00995626">
      <w:pPr>
        <w:pStyle w:val="ListParagraph"/>
        <w:numPr>
          <w:ilvl w:val="0"/>
          <w:numId w:val="41"/>
        </w:numPr>
        <w:rPr>
          <w:b/>
          <w:bCs/>
        </w:rPr>
      </w:pPr>
      <w:r w:rsidRPr="00FB534F">
        <w:rPr>
          <w:b/>
          <w:bCs/>
        </w:rPr>
        <w:t xml:space="preserve">For SCS 960 kHz, X = </w:t>
      </w:r>
      <w:r>
        <w:rPr>
          <w:b/>
          <w:bCs/>
        </w:rPr>
        <w:t>{</w:t>
      </w:r>
      <w:r w:rsidRPr="00FB534F">
        <w:rPr>
          <w:b/>
          <w:bCs/>
        </w:rPr>
        <w:t>1,2,4,8} slots</w:t>
      </w:r>
    </w:p>
    <w:p w14:paraId="4855FD03" w14:textId="304ADA4E" w:rsidR="00995626" w:rsidRPr="00F03599" w:rsidRDefault="00995626" w:rsidP="00995626">
      <w:pPr>
        <w:rPr>
          <w:b/>
          <w:bCs/>
        </w:rPr>
      </w:pPr>
      <w:r w:rsidRPr="00F03599">
        <w:rPr>
          <w:b/>
          <w:bCs/>
        </w:rPr>
        <w:t>Proposal</w:t>
      </w:r>
      <w:r>
        <w:rPr>
          <w:b/>
          <w:bCs/>
        </w:rPr>
        <w:t xml:space="preserve"> 5</w:t>
      </w:r>
      <w:r w:rsidRPr="00F03599">
        <w:rPr>
          <w:b/>
          <w:bCs/>
        </w:rPr>
        <w:t xml:space="preserve">: The support of X=1 slot </w:t>
      </w:r>
      <w:proofErr w:type="gramStart"/>
      <w:r w:rsidRPr="00F03599">
        <w:rPr>
          <w:b/>
          <w:bCs/>
        </w:rPr>
        <w:t>mandate</w:t>
      </w:r>
      <w:r w:rsidR="00BE25CC">
        <w:rPr>
          <w:b/>
          <w:bCs/>
        </w:rPr>
        <w:t>s</w:t>
      </w:r>
      <w:proofErr w:type="gramEnd"/>
      <w:r w:rsidRPr="00F03599">
        <w:rPr>
          <w:b/>
          <w:bCs/>
        </w:rPr>
        <w:t xml:space="preserve"> Y=3 symbols support. </w:t>
      </w:r>
    </w:p>
    <w:p w14:paraId="710FEED9" w14:textId="77777777" w:rsidR="00995626" w:rsidRDefault="00995626" w:rsidP="00995626">
      <w:pPr>
        <w:rPr>
          <w:b/>
          <w:bCs/>
          <w:iCs/>
        </w:rPr>
      </w:pPr>
      <w:r w:rsidRPr="0099702A">
        <w:rPr>
          <w:b/>
          <w:bCs/>
          <w:iCs/>
        </w:rPr>
        <w:t>Proposal</w:t>
      </w:r>
      <w:r>
        <w:rPr>
          <w:b/>
          <w:bCs/>
          <w:iCs/>
        </w:rPr>
        <w:t xml:space="preserve"> 6</w:t>
      </w:r>
      <w:r w:rsidRPr="0099702A">
        <w:rPr>
          <w:b/>
          <w:bCs/>
          <w:iCs/>
        </w:rPr>
        <w:t xml:space="preserve">: Reuse the Rel-15/16 overbooking rules when </w:t>
      </w:r>
      <w:r w:rsidRPr="0099702A">
        <w:rPr>
          <w:b/>
          <w:bCs/>
        </w:rPr>
        <w:t>PDCCH candidates/CCEs exceeds either of the UE processing limits</w:t>
      </w:r>
      <w:r w:rsidRPr="0099702A">
        <w:rPr>
          <w:b/>
          <w:bCs/>
          <w:iCs/>
        </w:rPr>
        <w:t xml:space="preserve"> per span.</w:t>
      </w:r>
    </w:p>
    <w:p w14:paraId="54DB4D78" w14:textId="77777777" w:rsidR="00995626" w:rsidRPr="006671AE" w:rsidRDefault="00995626" w:rsidP="00995626">
      <w:pPr>
        <w:rPr>
          <w:b/>
        </w:rPr>
      </w:pPr>
      <w:r w:rsidRPr="006671AE">
        <w:rPr>
          <w:b/>
        </w:rPr>
        <w:t>Proposal</w:t>
      </w:r>
      <w:r>
        <w:rPr>
          <w:b/>
        </w:rPr>
        <w:t xml:space="preserve"> 7</w:t>
      </w:r>
      <w:r w:rsidRPr="006671AE">
        <w:rPr>
          <w:b/>
        </w:rPr>
        <w:t>: For each SCS 480 kHz and 960 kHz, the minimum configurable periodicity of the USS and Type3-PDCCH CSS is the smallest value X that a UE supports when reporting its multi-slot PDCCH monitoring capabilities for the corresponding SCS.</w:t>
      </w:r>
    </w:p>
    <w:p w14:paraId="052ADC2A" w14:textId="77777777" w:rsidR="00995626" w:rsidRPr="003F609F" w:rsidRDefault="00995626" w:rsidP="00995626">
      <w:pPr>
        <w:rPr>
          <w:b/>
        </w:rPr>
      </w:pPr>
      <w:r w:rsidRPr="003F609F">
        <w:rPr>
          <w:b/>
        </w:rPr>
        <w:t>Proposal</w:t>
      </w:r>
      <w:r>
        <w:rPr>
          <w:b/>
        </w:rPr>
        <w:t xml:space="preserve"> 8</w:t>
      </w:r>
      <w:r w:rsidRPr="003F609F">
        <w:rPr>
          <w:b/>
        </w:rPr>
        <w:t>: Use the existing mechanism for beam configuration and activation for multi-slot PDCCH monitoring.</w:t>
      </w:r>
    </w:p>
    <w:p w14:paraId="4505FAB0" w14:textId="77777777" w:rsidR="00E2152C" w:rsidRPr="004047A8" w:rsidRDefault="00E2152C" w:rsidP="00DB5432">
      <w:pPr>
        <w:rPr>
          <w:b/>
          <w:bCs/>
          <w:u w:val="single"/>
        </w:rPr>
      </w:pPr>
    </w:p>
    <w:p w14:paraId="410E44E3" w14:textId="7D734922" w:rsidR="001D780E" w:rsidRPr="007032E3" w:rsidRDefault="001D780E" w:rsidP="00182F43">
      <w:pPr>
        <w:pStyle w:val="Heading1"/>
      </w:pPr>
      <w:bookmarkStart w:id="6" w:name="_Ref124589665"/>
      <w:bookmarkStart w:id="7" w:name="_Ref71620620"/>
      <w:bookmarkStart w:id="8" w:name="_Ref124671424"/>
      <w:r w:rsidRPr="007032E3">
        <w:t>References</w:t>
      </w:r>
      <w:r w:rsidR="00BF750C" w:rsidRPr="007032E3">
        <w:t xml:space="preserve"> </w:t>
      </w:r>
    </w:p>
    <w:p w14:paraId="64AEDB32" w14:textId="77777777" w:rsidR="00531C1A" w:rsidRPr="00AB14F6" w:rsidRDefault="00531C1A" w:rsidP="00531C1A">
      <w:pPr>
        <w:pStyle w:val="2222"/>
        <w:numPr>
          <w:ilvl w:val="0"/>
          <w:numId w:val="13"/>
        </w:numPr>
        <w:spacing w:after="120" w:line="240" w:lineRule="auto"/>
        <w:ind w:firstLineChars="0"/>
        <w:rPr>
          <w:color w:val="000000" w:themeColor="text1"/>
          <w:szCs w:val="22"/>
          <w:lang w:val="en-US" w:eastAsia="ko-KR"/>
        </w:rPr>
      </w:pPr>
      <w:bookmarkStart w:id="9" w:name="_Ref58598481"/>
      <w:r w:rsidRPr="00AB14F6">
        <w:rPr>
          <w:color w:val="000000" w:themeColor="text1"/>
          <w:szCs w:val="22"/>
          <w:lang w:val="en-US" w:eastAsia="ko-KR"/>
        </w:rPr>
        <w:t>RP-202925, “Revised WID: Extending current NR operation to 71 GHz”, CMCC, RAN#90e</w:t>
      </w:r>
      <w:bookmarkEnd w:id="9"/>
      <w:r w:rsidRPr="00AB14F6">
        <w:rPr>
          <w:color w:val="000000" w:themeColor="text1"/>
          <w:szCs w:val="22"/>
          <w:lang w:val="en-US" w:eastAsia="ko-KR"/>
        </w:rPr>
        <w:t>, 2020.</w:t>
      </w:r>
    </w:p>
    <w:p w14:paraId="42A60261" w14:textId="2F65C210" w:rsidR="00A814B5" w:rsidRPr="00A814B5" w:rsidRDefault="00A814B5" w:rsidP="00A814B5">
      <w:pPr>
        <w:pStyle w:val="2222"/>
        <w:numPr>
          <w:ilvl w:val="0"/>
          <w:numId w:val="13"/>
        </w:numPr>
        <w:spacing w:after="120" w:line="240" w:lineRule="auto"/>
        <w:ind w:firstLineChars="0"/>
        <w:rPr>
          <w:color w:val="000000" w:themeColor="text1"/>
          <w:szCs w:val="22"/>
          <w:lang w:val="en-US" w:eastAsia="ko-KR"/>
        </w:rPr>
      </w:pPr>
      <w:r w:rsidRPr="0087409C">
        <w:rPr>
          <w:color w:val="000000" w:themeColor="text1"/>
          <w:szCs w:val="22"/>
          <w:lang w:val="en-US" w:eastAsia="ko-KR"/>
        </w:rPr>
        <w:t>Chairman's Notes RAN1#10</w:t>
      </w:r>
      <w:r>
        <w:rPr>
          <w:color w:val="000000" w:themeColor="text1"/>
          <w:szCs w:val="22"/>
          <w:lang w:val="en-US" w:eastAsia="ko-KR"/>
        </w:rPr>
        <w:t>6</w:t>
      </w:r>
      <w:r w:rsidRPr="0087409C">
        <w:rPr>
          <w:color w:val="000000" w:themeColor="text1"/>
          <w:szCs w:val="22"/>
          <w:lang w:val="en-US" w:eastAsia="ko-KR"/>
        </w:rPr>
        <w:t>-e</w:t>
      </w:r>
      <w:r>
        <w:rPr>
          <w:color w:val="000000" w:themeColor="text1"/>
          <w:szCs w:val="22"/>
          <w:lang w:val="en-US" w:eastAsia="ko-KR"/>
        </w:rPr>
        <w:t>, August 2021</w:t>
      </w:r>
    </w:p>
    <w:p w14:paraId="578EECEF" w14:textId="71F958CB" w:rsidR="00F44630" w:rsidRDefault="00F44630" w:rsidP="00182F43">
      <w:pPr>
        <w:pStyle w:val="2222"/>
        <w:numPr>
          <w:ilvl w:val="0"/>
          <w:numId w:val="13"/>
        </w:numPr>
        <w:spacing w:after="120" w:line="240" w:lineRule="auto"/>
        <w:ind w:firstLineChars="0"/>
        <w:rPr>
          <w:color w:val="000000" w:themeColor="text1"/>
          <w:szCs w:val="22"/>
          <w:lang w:val="en-US" w:eastAsia="ko-KR"/>
        </w:rPr>
      </w:pPr>
      <w:r w:rsidRPr="00F44630">
        <w:rPr>
          <w:color w:val="000000" w:themeColor="text1"/>
          <w:szCs w:val="22"/>
          <w:lang w:val="en-US" w:eastAsia="ko-KR"/>
        </w:rPr>
        <w:t>Chairman's Notes RAN1#104-e v017</w:t>
      </w:r>
    </w:p>
    <w:p w14:paraId="05D052A5" w14:textId="39C348FE" w:rsidR="00A814B5" w:rsidRDefault="00A814B5" w:rsidP="00182F43">
      <w:pPr>
        <w:pStyle w:val="2222"/>
        <w:numPr>
          <w:ilvl w:val="0"/>
          <w:numId w:val="13"/>
        </w:numPr>
        <w:spacing w:after="120" w:line="240" w:lineRule="auto"/>
        <w:ind w:firstLineChars="0"/>
        <w:rPr>
          <w:color w:val="000000" w:themeColor="text1"/>
          <w:szCs w:val="22"/>
          <w:lang w:val="en-US" w:eastAsia="ko-KR"/>
        </w:rPr>
      </w:pPr>
      <w:r>
        <w:rPr>
          <w:color w:val="000000" w:themeColor="text1"/>
          <w:szCs w:val="22"/>
          <w:lang w:val="en-US" w:eastAsia="ko-KR"/>
        </w:rPr>
        <w:t xml:space="preserve">R1-2108559, </w:t>
      </w:r>
      <w:r w:rsidRPr="00A814B5">
        <w:rPr>
          <w:color w:val="000000" w:themeColor="text1"/>
          <w:szCs w:val="22"/>
          <w:lang w:val="en-US" w:eastAsia="ko-KR"/>
        </w:rPr>
        <w:t>Feature lead summary #4 for B52.6 GHz PDCCH monitoring enhancements</w:t>
      </w:r>
    </w:p>
    <w:bookmarkEnd w:id="5"/>
    <w:bookmarkEnd w:id="6"/>
    <w:bookmarkEnd w:id="7"/>
    <w:bookmarkEnd w:id="8"/>
    <w:p w14:paraId="3874C5C9" w14:textId="6F56FF93" w:rsidR="00E2152C" w:rsidRPr="002D7C7C" w:rsidRDefault="00E2152C" w:rsidP="00E2152C">
      <w:pPr>
        <w:pStyle w:val="2222"/>
        <w:numPr>
          <w:ilvl w:val="0"/>
          <w:numId w:val="13"/>
        </w:numPr>
        <w:spacing w:after="120" w:line="240" w:lineRule="auto"/>
        <w:ind w:firstLineChars="0"/>
        <w:rPr>
          <w:rFonts w:cs="Times New Roman"/>
          <w:color w:val="000000" w:themeColor="text1"/>
          <w:szCs w:val="22"/>
          <w:lang w:val="en-US" w:eastAsia="ko-KR"/>
        </w:rPr>
      </w:pPr>
      <w:r>
        <w:rPr>
          <w:rFonts w:cs="Times New Roman"/>
          <w:color w:val="000000" w:themeColor="text1"/>
          <w:szCs w:val="22"/>
          <w:lang w:val="en-US" w:eastAsia="ko-KR"/>
        </w:rPr>
        <w:t>TS 38.213, “</w:t>
      </w:r>
      <w:r w:rsidRPr="00D11F23">
        <w:t xml:space="preserve">Physical layer procedures for </w:t>
      </w:r>
      <w:r>
        <w:t>control”</w:t>
      </w:r>
    </w:p>
    <w:p w14:paraId="7FA922F8" w14:textId="75A58ED0" w:rsidR="00D3567F" w:rsidRPr="00576553" w:rsidRDefault="002D7C7C" w:rsidP="00576553">
      <w:pPr>
        <w:pStyle w:val="2222"/>
        <w:numPr>
          <w:ilvl w:val="0"/>
          <w:numId w:val="13"/>
        </w:numPr>
        <w:ind w:firstLineChars="0"/>
      </w:pPr>
      <w:r>
        <w:t>TS 38.331, “Radio Resource Control (RRC) protocol specification”</w:t>
      </w:r>
    </w:p>
    <w:sectPr w:rsidR="00D3567F" w:rsidRPr="0057655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5C0EB8" w14:textId="77777777" w:rsidR="003C6037" w:rsidRDefault="003C6037">
      <w:r>
        <w:separator/>
      </w:r>
    </w:p>
  </w:endnote>
  <w:endnote w:type="continuationSeparator" w:id="0">
    <w:p w14:paraId="1BC5AAF1" w14:textId="77777777" w:rsidR="003C6037" w:rsidRDefault="003C6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915B24" w14:textId="77777777" w:rsidR="003C6037" w:rsidRDefault="003C6037">
      <w:r>
        <w:separator/>
      </w:r>
    </w:p>
  </w:footnote>
  <w:footnote w:type="continuationSeparator" w:id="0">
    <w:p w14:paraId="414ADFE7" w14:textId="77777777" w:rsidR="003C6037" w:rsidRDefault="003C60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483A55E"/>
    <w:multiLevelType w:val="hybridMultilevel"/>
    <w:tmpl w:val="ABE4446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540AF0"/>
    <w:multiLevelType w:val="hybridMultilevel"/>
    <w:tmpl w:val="79A63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D5FA0"/>
    <w:multiLevelType w:val="hybridMultilevel"/>
    <w:tmpl w:val="0A4D5FA0"/>
    <w:lvl w:ilvl="0" w:tplc="80BAFCE6">
      <w:start w:val="4"/>
      <w:numFmt w:val="bullet"/>
      <w:lvlText w:val=""/>
      <w:lvlJc w:val="left"/>
      <w:pPr>
        <w:ind w:left="360" w:hanging="360"/>
      </w:pPr>
      <w:rPr>
        <w:rFonts w:ascii="Symbol" w:eastAsia="Batang" w:hAnsi="Symbol" w:cs="Times New Roman" w:hint="default"/>
      </w:rPr>
    </w:lvl>
    <w:lvl w:ilvl="1" w:tplc="9A785BFE">
      <w:start w:val="1"/>
      <w:numFmt w:val="bullet"/>
      <w:lvlText w:val="o"/>
      <w:lvlJc w:val="left"/>
      <w:pPr>
        <w:ind w:left="1080" w:hanging="360"/>
      </w:pPr>
      <w:rPr>
        <w:rFonts w:ascii="Courier New" w:hAnsi="Courier New" w:cs="Courier New" w:hint="default"/>
      </w:rPr>
    </w:lvl>
    <w:lvl w:ilvl="2" w:tplc="93B88B16">
      <w:start w:val="1"/>
      <w:numFmt w:val="bullet"/>
      <w:lvlText w:val=""/>
      <w:lvlJc w:val="left"/>
      <w:pPr>
        <w:ind w:left="1800" w:hanging="360"/>
      </w:pPr>
      <w:rPr>
        <w:rFonts w:ascii="Wingdings" w:hAnsi="Wingdings" w:hint="default"/>
      </w:rPr>
    </w:lvl>
    <w:lvl w:ilvl="3" w:tplc="60983D74">
      <w:start w:val="1"/>
      <w:numFmt w:val="bullet"/>
      <w:lvlText w:val=""/>
      <w:lvlJc w:val="left"/>
      <w:pPr>
        <w:ind w:left="2520" w:hanging="360"/>
      </w:pPr>
      <w:rPr>
        <w:rFonts w:ascii="Symbol" w:hAnsi="Symbol" w:hint="default"/>
      </w:rPr>
    </w:lvl>
    <w:lvl w:ilvl="4" w:tplc="FB6C2886">
      <w:start w:val="1"/>
      <w:numFmt w:val="bullet"/>
      <w:lvlText w:val="o"/>
      <w:lvlJc w:val="left"/>
      <w:pPr>
        <w:ind w:left="3240" w:hanging="360"/>
      </w:pPr>
      <w:rPr>
        <w:rFonts w:ascii="Courier New" w:hAnsi="Courier New" w:cs="Courier New" w:hint="default"/>
      </w:rPr>
    </w:lvl>
    <w:lvl w:ilvl="5" w:tplc="F2C862B8">
      <w:start w:val="1"/>
      <w:numFmt w:val="bullet"/>
      <w:lvlText w:val=""/>
      <w:lvlJc w:val="left"/>
      <w:pPr>
        <w:ind w:left="3960" w:hanging="360"/>
      </w:pPr>
      <w:rPr>
        <w:rFonts w:ascii="Wingdings" w:hAnsi="Wingdings" w:hint="default"/>
      </w:rPr>
    </w:lvl>
    <w:lvl w:ilvl="6" w:tplc="8B022F02">
      <w:start w:val="1"/>
      <w:numFmt w:val="bullet"/>
      <w:lvlText w:val=""/>
      <w:lvlJc w:val="left"/>
      <w:pPr>
        <w:ind w:left="4680" w:hanging="360"/>
      </w:pPr>
      <w:rPr>
        <w:rFonts w:ascii="Symbol" w:hAnsi="Symbol" w:hint="default"/>
      </w:rPr>
    </w:lvl>
    <w:lvl w:ilvl="7" w:tplc="CAF257AE">
      <w:start w:val="1"/>
      <w:numFmt w:val="bullet"/>
      <w:lvlText w:val="o"/>
      <w:lvlJc w:val="left"/>
      <w:pPr>
        <w:ind w:left="5400" w:hanging="360"/>
      </w:pPr>
      <w:rPr>
        <w:rFonts w:ascii="Courier New" w:hAnsi="Courier New" w:cs="Courier New" w:hint="default"/>
      </w:rPr>
    </w:lvl>
    <w:lvl w:ilvl="8" w:tplc="0DA6E4BC">
      <w:start w:val="1"/>
      <w:numFmt w:val="bullet"/>
      <w:lvlText w:val=""/>
      <w:lvlJc w:val="left"/>
      <w:pPr>
        <w:ind w:left="6120" w:hanging="360"/>
      </w:pPr>
      <w:rPr>
        <w:rFonts w:ascii="Wingdings" w:hAnsi="Wingdings" w:hint="default"/>
      </w:rPr>
    </w:lvl>
  </w:abstractNum>
  <w:abstractNum w:abstractNumId="3" w15:restartNumberingAfterBreak="0">
    <w:nsid w:val="0AF03C44"/>
    <w:multiLevelType w:val="hybridMultilevel"/>
    <w:tmpl w:val="AF9439E6"/>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B95091E"/>
    <w:multiLevelType w:val="hybridMultilevel"/>
    <w:tmpl w:val="1A241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C4E97"/>
    <w:multiLevelType w:val="hybridMultilevel"/>
    <w:tmpl w:val="7752F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696ECC"/>
    <w:multiLevelType w:val="hybridMultilevel"/>
    <w:tmpl w:val="268AC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D67DA"/>
    <w:multiLevelType w:val="hybridMultilevel"/>
    <w:tmpl w:val="C2607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start w:val="1"/>
      <w:numFmt w:val="bullet"/>
      <w:lvlText w:val=""/>
      <w:lvlJc w:val="left"/>
      <w:pPr>
        <w:ind w:left="3087" w:hanging="360"/>
      </w:pPr>
      <w:rPr>
        <w:rFonts w:ascii="Symbol" w:hAnsi="Symbol" w:hint="default"/>
      </w:rPr>
    </w:lvl>
    <w:lvl w:ilvl="4" w:tplc="040B0003">
      <w:start w:val="1"/>
      <w:numFmt w:val="bullet"/>
      <w:lvlText w:val="o"/>
      <w:lvlJc w:val="left"/>
      <w:pPr>
        <w:ind w:left="3807" w:hanging="360"/>
      </w:pPr>
      <w:rPr>
        <w:rFonts w:ascii="Courier New" w:hAnsi="Courier New" w:cs="Courier New" w:hint="default"/>
      </w:rPr>
    </w:lvl>
    <w:lvl w:ilvl="5" w:tplc="040B0005">
      <w:start w:val="1"/>
      <w:numFmt w:val="bullet"/>
      <w:lvlText w:val=""/>
      <w:lvlJc w:val="left"/>
      <w:pPr>
        <w:ind w:left="4527" w:hanging="360"/>
      </w:pPr>
      <w:rPr>
        <w:rFonts w:ascii="Wingdings" w:hAnsi="Wingdings" w:hint="default"/>
      </w:rPr>
    </w:lvl>
    <w:lvl w:ilvl="6" w:tplc="040B0001">
      <w:start w:val="1"/>
      <w:numFmt w:val="bullet"/>
      <w:lvlText w:val=""/>
      <w:lvlJc w:val="left"/>
      <w:pPr>
        <w:ind w:left="5247" w:hanging="360"/>
      </w:pPr>
      <w:rPr>
        <w:rFonts w:ascii="Symbol" w:hAnsi="Symbol" w:hint="default"/>
      </w:rPr>
    </w:lvl>
    <w:lvl w:ilvl="7" w:tplc="040B0003">
      <w:start w:val="1"/>
      <w:numFmt w:val="bullet"/>
      <w:lvlText w:val="o"/>
      <w:lvlJc w:val="left"/>
      <w:pPr>
        <w:ind w:left="5967" w:hanging="360"/>
      </w:pPr>
      <w:rPr>
        <w:rFonts w:ascii="Courier New" w:hAnsi="Courier New" w:cs="Courier New" w:hint="default"/>
      </w:rPr>
    </w:lvl>
    <w:lvl w:ilvl="8" w:tplc="040B0005">
      <w:start w:val="1"/>
      <w:numFmt w:val="bullet"/>
      <w:lvlText w:val=""/>
      <w:lvlJc w:val="left"/>
      <w:pPr>
        <w:ind w:left="6687" w:hanging="360"/>
      </w:pPr>
      <w:rPr>
        <w:rFonts w:ascii="Wingdings" w:hAnsi="Wingdings" w:hint="default"/>
      </w:rPr>
    </w:lvl>
  </w:abstractNum>
  <w:abstractNum w:abstractNumId="9" w15:restartNumberingAfterBreak="0">
    <w:nsid w:val="11F805CA"/>
    <w:multiLevelType w:val="hybridMultilevel"/>
    <w:tmpl w:val="70085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587853"/>
    <w:multiLevelType w:val="hybridMultilevel"/>
    <w:tmpl w:val="9296E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8C1082"/>
    <w:multiLevelType w:val="hybridMultilevel"/>
    <w:tmpl w:val="60E23786"/>
    <w:lvl w:ilvl="0" w:tplc="5C6C2CFC">
      <w:numFmt w:val="bullet"/>
      <w:lvlText w:val="-"/>
      <w:lvlJc w:val="left"/>
      <w:pPr>
        <w:ind w:left="720" w:hanging="360"/>
      </w:pPr>
      <w:rPr>
        <w:rFonts w:ascii="Times New Roman" w:eastAsia="Times New Roman" w:hAnsi="Times New Roman" w:cs="Times New Roman" w:hint="default"/>
      </w:rPr>
    </w:lvl>
    <w:lvl w:ilvl="1" w:tplc="93C8EBF0">
      <w:numFmt w:val="bullet"/>
      <w:lvlText w:val="•"/>
      <w:lvlJc w:val="left"/>
      <w:pPr>
        <w:ind w:left="1440" w:hanging="360"/>
      </w:pPr>
      <w:rPr>
        <w:rFonts w:ascii="Times New Roman" w:eastAsia="SimSun" w:hAnsi="Times New Roman" w:cs="Times New Roman" w:hint="default"/>
      </w:rPr>
    </w:lvl>
    <w:lvl w:ilvl="2" w:tplc="7976040E">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6708AB"/>
    <w:multiLevelType w:val="hybridMultilevel"/>
    <w:tmpl w:val="55564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101964"/>
    <w:multiLevelType w:val="hybridMultilevel"/>
    <w:tmpl w:val="43A6AE52"/>
    <w:lvl w:ilvl="0" w:tplc="04090011">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9"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BE1CE4"/>
    <w:multiLevelType w:val="hybridMultilevel"/>
    <w:tmpl w:val="2A7E8392"/>
    <w:lvl w:ilvl="0" w:tplc="0F0ECF48">
      <w:start w:val="1"/>
      <w:numFmt w:val="bullet"/>
      <w:lvlText w:val=""/>
      <w:lvlJc w:val="left"/>
      <w:pPr>
        <w:tabs>
          <w:tab w:val="num" w:pos="720"/>
        </w:tabs>
        <w:ind w:left="720" w:hanging="360"/>
      </w:pPr>
      <w:rPr>
        <w:rFonts w:ascii="Symbol" w:hAnsi="Symbol" w:hint="default"/>
      </w:rPr>
    </w:lvl>
    <w:lvl w:ilvl="1" w:tplc="7430B296">
      <w:numFmt w:val="bullet"/>
      <w:lvlText w:val="o"/>
      <w:lvlJc w:val="left"/>
      <w:pPr>
        <w:tabs>
          <w:tab w:val="num" w:pos="1440"/>
        </w:tabs>
        <w:ind w:left="1440" w:hanging="360"/>
      </w:pPr>
      <w:rPr>
        <w:rFonts w:ascii="Courier New" w:hAnsi="Courier New" w:hint="default"/>
      </w:rPr>
    </w:lvl>
    <w:lvl w:ilvl="2" w:tplc="B9847290" w:tentative="1">
      <w:start w:val="1"/>
      <w:numFmt w:val="bullet"/>
      <w:lvlText w:val=""/>
      <w:lvlJc w:val="left"/>
      <w:pPr>
        <w:tabs>
          <w:tab w:val="num" w:pos="2160"/>
        </w:tabs>
        <w:ind w:left="2160" w:hanging="360"/>
      </w:pPr>
      <w:rPr>
        <w:rFonts w:ascii="Symbol" w:hAnsi="Symbol" w:hint="default"/>
      </w:rPr>
    </w:lvl>
    <w:lvl w:ilvl="3" w:tplc="9B4A004E" w:tentative="1">
      <w:start w:val="1"/>
      <w:numFmt w:val="bullet"/>
      <w:lvlText w:val=""/>
      <w:lvlJc w:val="left"/>
      <w:pPr>
        <w:tabs>
          <w:tab w:val="num" w:pos="2880"/>
        </w:tabs>
        <w:ind w:left="2880" w:hanging="360"/>
      </w:pPr>
      <w:rPr>
        <w:rFonts w:ascii="Symbol" w:hAnsi="Symbol" w:hint="default"/>
      </w:rPr>
    </w:lvl>
    <w:lvl w:ilvl="4" w:tplc="F5C2A0D2" w:tentative="1">
      <w:start w:val="1"/>
      <w:numFmt w:val="bullet"/>
      <w:lvlText w:val=""/>
      <w:lvlJc w:val="left"/>
      <w:pPr>
        <w:tabs>
          <w:tab w:val="num" w:pos="3600"/>
        </w:tabs>
        <w:ind w:left="3600" w:hanging="360"/>
      </w:pPr>
      <w:rPr>
        <w:rFonts w:ascii="Symbol" w:hAnsi="Symbol" w:hint="default"/>
      </w:rPr>
    </w:lvl>
    <w:lvl w:ilvl="5" w:tplc="3F6C99C6" w:tentative="1">
      <w:start w:val="1"/>
      <w:numFmt w:val="bullet"/>
      <w:lvlText w:val=""/>
      <w:lvlJc w:val="left"/>
      <w:pPr>
        <w:tabs>
          <w:tab w:val="num" w:pos="4320"/>
        </w:tabs>
        <w:ind w:left="4320" w:hanging="360"/>
      </w:pPr>
      <w:rPr>
        <w:rFonts w:ascii="Symbol" w:hAnsi="Symbol" w:hint="default"/>
      </w:rPr>
    </w:lvl>
    <w:lvl w:ilvl="6" w:tplc="DD1AD136" w:tentative="1">
      <w:start w:val="1"/>
      <w:numFmt w:val="bullet"/>
      <w:lvlText w:val=""/>
      <w:lvlJc w:val="left"/>
      <w:pPr>
        <w:tabs>
          <w:tab w:val="num" w:pos="5040"/>
        </w:tabs>
        <w:ind w:left="5040" w:hanging="360"/>
      </w:pPr>
      <w:rPr>
        <w:rFonts w:ascii="Symbol" w:hAnsi="Symbol" w:hint="default"/>
      </w:rPr>
    </w:lvl>
    <w:lvl w:ilvl="7" w:tplc="8A787FD8" w:tentative="1">
      <w:start w:val="1"/>
      <w:numFmt w:val="bullet"/>
      <w:lvlText w:val=""/>
      <w:lvlJc w:val="left"/>
      <w:pPr>
        <w:tabs>
          <w:tab w:val="num" w:pos="5760"/>
        </w:tabs>
        <w:ind w:left="5760" w:hanging="360"/>
      </w:pPr>
      <w:rPr>
        <w:rFonts w:ascii="Symbol" w:hAnsi="Symbol" w:hint="default"/>
      </w:rPr>
    </w:lvl>
    <w:lvl w:ilvl="8" w:tplc="1086255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1FB7A62"/>
    <w:multiLevelType w:val="hybridMultilevel"/>
    <w:tmpl w:val="9E407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1908DD"/>
    <w:multiLevelType w:val="hybridMultilevel"/>
    <w:tmpl w:val="8C5C1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EF012A8"/>
    <w:multiLevelType w:val="hybridMultilevel"/>
    <w:tmpl w:val="44BE834A"/>
    <w:lvl w:ilvl="0" w:tplc="2A0469C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D04B81"/>
    <w:multiLevelType w:val="hybridMultilevel"/>
    <w:tmpl w:val="3F983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6"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3AB30B2"/>
    <w:multiLevelType w:val="hybridMultilevel"/>
    <w:tmpl w:val="A0705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33"/>
  </w:num>
  <w:num w:numId="4">
    <w:abstractNumId w:val="35"/>
  </w:num>
  <w:num w:numId="5">
    <w:abstractNumId w:val="19"/>
  </w:num>
  <w:num w:numId="6">
    <w:abstractNumId w:val="13"/>
  </w:num>
  <w:num w:numId="7">
    <w:abstractNumId w:val="29"/>
  </w:num>
  <w:num w:numId="8">
    <w:abstractNumId w:val="23"/>
  </w:num>
  <w:num w:numId="9">
    <w:abstractNumId w:val="15"/>
  </w:num>
  <w:num w:numId="10">
    <w:abstractNumId w:val="10"/>
  </w:num>
  <w:num w:numId="11">
    <w:abstractNumId w:val="14"/>
  </w:num>
  <w:num w:numId="12">
    <w:abstractNumId w:val="30"/>
  </w:num>
  <w:num w:numId="13">
    <w:abstractNumId w:val="3"/>
  </w:num>
  <w:num w:numId="14">
    <w:abstractNumId w:val="2"/>
  </w:num>
  <w:num w:numId="15">
    <w:abstractNumId w:val="8"/>
  </w:num>
  <w:num w:numId="16">
    <w:abstractNumId w:val="0"/>
  </w:num>
  <w:num w:numId="17">
    <w:abstractNumId w:val="20"/>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1"/>
  </w:num>
  <w:num w:numId="21">
    <w:abstractNumId w:val="9"/>
  </w:num>
  <w:num w:numId="22">
    <w:abstractNumId w:val="7"/>
  </w:num>
  <w:num w:numId="23">
    <w:abstractNumId w:val="16"/>
  </w:num>
  <w:num w:numId="24">
    <w:abstractNumId w:val="38"/>
  </w:num>
  <w:num w:numId="25">
    <w:abstractNumId w:val="24"/>
  </w:num>
  <w:num w:numId="26">
    <w:abstractNumId w:val="12"/>
  </w:num>
  <w:num w:numId="27">
    <w:abstractNumId w:val="38"/>
  </w:num>
  <w:num w:numId="28">
    <w:abstractNumId w:val="36"/>
  </w:num>
  <w:num w:numId="29">
    <w:abstractNumId w:val="27"/>
  </w:num>
  <w:num w:numId="30">
    <w:abstractNumId w:val="34"/>
  </w:num>
  <w:num w:numId="31">
    <w:abstractNumId w:val="25"/>
  </w:num>
  <w:num w:numId="32">
    <w:abstractNumId w:val="30"/>
  </w:num>
  <w:num w:numId="33">
    <w:abstractNumId w:val="4"/>
  </w:num>
  <w:num w:numId="34">
    <w:abstractNumId w:val="37"/>
  </w:num>
  <w:num w:numId="35">
    <w:abstractNumId w:val="31"/>
  </w:num>
  <w:num w:numId="36">
    <w:abstractNumId w:val="21"/>
  </w:num>
  <w:num w:numId="37">
    <w:abstractNumId w:val="26"/>
  </w:num>
  <w:num w:numId="38">
    <w:abstractNumId w:val="6"/>
  </w:num>
  <w:num w:numId="39">
    <w:abstractNumId w:val="1"/>
  </w:num>
  <w:num w:numId="40">
    <w:abstractNumId w:val="25"/>
  </w:num>
  <w:num w:numId="41">
    <w:abstractNumId w:val="5"/>
  </w:num>
  <w:num w:numId="42">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2CB0"/>
    <w:rsid w:val="000033A3"/>
    <w:rsid w:val="00003605"/>
    <w:rsid w:val="00003B0B"/>
    <w:rsid w:val="00003C56"/>
    <w:rsid w:val="00003EC2"/>
    <w:rsid w:val="000040A9"/>
    <w:rsid w:val="000040D7"/>
    <w:rsid w:val="0000451C"/>
    <w:rsid w:val="0000458E"/>
    <w:rsid w:val="0000492C"/>
    <w:rsid w:val="00004E70"/>
    <w:rsid w:val="00005E66"/>
    <w:rsid w:val="00005F1E"/>
    <w:rsid w:val="000064C3"/>
    <w:rsid w:val="000067E8"/>
    <w:rsid w:val="00006B4B"/>
    <w:rsid w:val="00007086"/>
    <w:rsid w:val="000072B6"/>
    <w:rsid w:val="000072DD"/>
    <w:rsid w:val="00007813"/>
    <w:rsid w:val="00007E0C"/>
    <w:rsid w:val="000102D7"/>
    <w:rsid w:val="000109E6"/>
    <w:rsid w:val="00010CD9"/>
    <w:rsid w:val="0001116D"/>
    <w:rsid w:val="00011278"/>
    <w:rsid w:val="00011F67"/>
    <w:rsid w:val="00012862"/>
    <w:rsid w:val="000128E6"/>
    <w:rsid w:val="00012F77"/>
    <w:rsid w:val="00013371"/>
    <w:rsid w:val="00013612"/>
    <w:rsid w:val="00014278"/>
    <w:rsid w:val="00014395"/>
    <w:rsid w:val="000148CF"/>
    <w:rsid w:val="00015A05"/>
    <w:rsid w:val="00015EFB"/>
    <w:rsid w:val="000162CA"/>
    <w:rsid w:val="000165E2"/>
    <w:rsid w:val="00016607"/>
    <w:rsid w:val="0001678E"/>
    <w:rsid w:val="00016B0E"/>
    <w:rsid w:val="00016EF9"/>
    <w:rsid w:val="000172BE"/>
    <w:rsid w:val="00017519"/>
    <w:rsid w:val="00017D8A"/>
    <w:rsid w:val="0002030C"/>
    <w:rsid w:val="00020A39"/>
    <w:rsid w:val="00021654"/>
    <w:rsid w:val="000223CE"/>
    <w:rsid w:val="000224D1"/>
    <w:rsid w:val="00022563"/>
    <w:rsid w:val="000227D0"/>
    <w:rsid w:val="00022A52"/>
    <w:rsid w:val="00023388"/>
    <w:rsid w:val="00023425"/>
    <w:rsid w:val="00023685"/>
    <w:rsid w:val="00023E05"/>
    <w:rsid w:val="000241BE"/>
    <w:rsid w:val="000242F2"/>
    <w:rsid w:val="000247FA"/>
    <w:rsid w:val="00025199"/>
    <w:rsid w:val="000267C3"/>
    <w:rsid w:val="00026875"/>
    <w:rsid w:val="00026C44"/>
    <w:rsid w:val="00026D4B"/>
    <w:rsid w:val="00026E8A"/>
    <w:rsid w:val="000275C6"/>
    <w:rsid w:val="00027AD6"/>
    <w:rsid w:val="00027C82"/>
    <w:rsid w:val="0003024C"/>
    <w:rsid w:val="00030533"/>
    <w:rsid w:val="0003083D"/>
    <w:rsid w:val="0003095F"/>
    <w:rsid w:val="00030D61"/>
    <w:rsid w:val="00031ADB"/>
    <w:rsid w:val="00032056"/>
    <w:rsid w:val="000321E6"/>
    <w:rsid w:val="000328CA"/>
    <w:rsid w:val="00032D70"/>
    <w:rsid w:val="00032E40"/>
    <w:rsid w:val="0003376B"/>
    <w:rsid w:val="00034676"/>
    <w:rsid w:val="000346E6"/>
    <w:rsid w:val="000352B3"/>
    <w:rsid w:val="00036660"/>
    <w:rsid w:val="000371DD"/>
    <w:rsid w:val="00037C6A"/>
    <w:rsid w:val="00037F17"/>
    <w:rsid w:val="00040180"/>
    <w:rsid w:val="0004023E"/>
    <w:rsid w:val="0004024B"/>
    <w:rsid w:val="000404D2"/>
    <w:rsid w:val="00040D85"/>
    <w:rsid w:val="0004124A"/>
    <w:rsid w:val="00041C10"/>
    <w:rsid w:val="00041C55"/>
    <w:rsid w:val="00041C57"/>
    <w:rsid w:val="00041D96"/>
    <w:rsid w:val="0004284A"/>
    <w:rsid w:val="00042ADB"/>
    <w:rsid w:val="0004312C"/>
    <w:rsid w:val="000434B7"/>
    <w:rsid w:val="000435E4"/>
    <w:rsid w:val="00043DF3"/>
    <w:rsid w:val="000443E8"/>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A48"/>
    <w:rsid w:val="00050D19"/>
    <w:rsid w:val="00050D8A"/>
    <w:rsid w:val="00050D8D"/>
    <w:rsid w:val="000512E3"/>
    <w:rsid w:val="000516F0"/>
    <w:rsid w:val="00051D59"/>
    <w:rsid w:val="00052144"/>
    <w:rsid w:val="0005215D"/>
    <w:rsid w:val="000525A8"/>
    <w:rsid w:val="00052AD2"/>
    <w:rsid w:val="00052C56"/>
    <w:rsid w:val="00052FEE"/>
    <w:rsid w:val="000530DF"/>
    <w:rsid w:val="00053E48"/>
    <w:rsid w:val="000543DD"/>
    <w:rsid w:val="000547DE"/>
    <w:rsid w:val="00054BBB"/>
    <w:rsid w:val="00054E0C"/>
    <w:rsid w:val="0005541D"/>
    <w:rsid w:val="00055B33"/>
    <w:rsid w:val="000565C8"/>
    <w:rsid w:val="000567AD"/>
    <w:rsid w:val="0005748D"/>
    <w:rsid w:val="00057507"/>
    <w:rsid w:val="00057DC8"/>
    <w:rsid w:val="00060AB2"/>
    <w:rsid w:val="00060E7E"/>
    <w:rsid w:val="000612E1"/>
    <w:rsid w:val="000614FE"/>
    <w:rsid w:val="00061F8B"/>
    <w:rsid w:val="00062839"/>
    <w:rsid w:val="0006295E"/>
    <w:rsid w:val="00063C08"/>
    <w:rsid w:val="0006422F"/>
    <w:rsid w:val="00064A9D"/>
    <w:rsid w:val="000655D0"/>
    <w:rsid w:val="00065891"/>
    <w:rsid w:val="00065D38"/>
    <w:rsid w:val="000661FE"/>
    <w:rsid w:val="0006694E"/>
    <w:rsid w:val="00066F59"/>
    <w:rsid w:val="00067DD1"/>
    <w:rsid w:val="000702E6"/>
    <w:rsid w:val="00070447"/>
    <w:rsid w:val="000706E7"/>
    <w:rsid w:val="00070C73"/>
    <w:rsid w:val="00070EF8"/>
    <w:rsid w:val="00070EF9"/>
    <w:rsid w:val="00070F3B"/>
    <w:rsid w:val="00071192"/>
    <w:rsid w:val="000711DC"/>
    <w:rsid w:val="000713A7"/>
    <w:rsid w:val="00072164"/>
    <w:rsid w:val="00072320"/>
    <w:rsid w:val="0007258D"/>
    <w:rsid w:val="00072708"/>
    <w:rsid w:val="0007272F"/>
    <w:rsid w:val="00072A80"/>
    <w:rsid w:val="0007306E"/>
    <w:rsid w:val="000731A0"/>
    <w:rsid w:val="000736C1"/>
    <w:rsid w:val="00073797"/>
    <w:rsid w:val="00073A82"/>
    <w:rsid w:val="00073DEC"/>
    <w:rsid w:val="000745AA"/>
    <w:rsid w:val="00074E86"/>
    <w:rsid w:val="0007557C"/>
    <w:rsid w:val="00076097"/>
    <w:rsid w:val="00076541"/>
    <w:rsid w:val="0007676D"/>
    <w:rsid w:val="00076E44"/>
    <w:rsid w:val="000772F4"/>
    <w:rsid w:val="000776EB"/>
    <w:rsid w:val="000803FA"/>
    <w:rsid w:val="00080BEB"/>
    <w:rsid w:val="00081899"/>
    <w:rsid w:val="00081E4C"/>
    <w:rsid w:val="000823B0"/>
    <w:rsid w:val="0008335B"/>
    <w:rsid w:val="00083379"/>
    <w:rsid w:val="00083587"/>
    <w:rsid w:val="00083838"/>
    <w:rsid w:val="00083B6A"/>
    <w:rsid w:val="00085311"/>
    <w:rsid w:val="000858D7"/>
    <w:rsid w:val="00085E04"/>
    <w:rsid w:val="00086763"/>
    <w:rsid w:val="00086800"/>
    <w:rsid w:val="00086AA0"/>
    <w:rsid w:val="00087507"/>
    <w:rsid w:val="00087913"/>
    <w:rsid w:val="00087F03"/>
    <w:rsid w:val="000902DC"/>
    <w:rsid w:val="000904CB"/>
    <w:rsid w:val="000906F4"/>
    <w:rsid w:val="00090946"/>
    <w:rsid w:val="000911AE"/>
    <w:rsid w:val="000919B1"/>
    <w:rsid w:val="00092DF7"/>
    <w:rsid w:val="00093697"/>
    <w:rsid w:val="000937EF"/>
    <w:rsid w:val="00093D42"/>
    <w:rsid w:val="00093DD0"/>
    <w:rsid w:val="00094A16"/>
    <w:rsid w:val="00094DE6"/>
    <w:rsid w:val="00095182"/>
    <w:rsid w:val="000951B8"/>
    <w:rsid w:val="00095799"/>
    <w:rsid w:val="00095B06"/>
    <w:rsid w:val="00096356"/>
    <w:rsid w:val="00096372"/>
    <w:rsid w:val="00096EC6"/>
    <w:rsid w:val="00096F01"/>
    <w:rsid w:val="0009798B"/>
    <w:rsid w:val="00097C40"/>
    <w:rsid w:val="00097C99"/>
    <w:rsid w:val="000A0B2A"/>
    <w:rsid w:val="000A0F14"/>
    <w:rsid w:val="000A1441"/>
    <w:rsid w:val="000A1A06"/>
    <w:rsid w:val="000A1B60"/>
    <w:rsid w:val="000A21B4"/>
    <w:rsid w:val="000A2507"/>
    <w:rsid w:val="000A2CC7"/>
    <w:rsid w:val="000A2ED6"/>
    <w:rsid w:val="000A41D1"/>
    <w:rsid w:val="000A4205"/>
    <w:rsid w:val="000A4226"/>
    <w:rsid w:val="000A4A19"/>
    <w:rsid w:val="000A4DEA"/>
    <w:rsid w:val="000A5338"/>
    <w:rsid w:val="000A54B7"/>
    <w:rsid w:val="000A6351"/>
    <w:rsid w:val="000A63D6"/>
    <w:rsid w:val="000A66B4"/>
    <w:rsid w:val="000A7A64"/>
    <w:rsid w:val="000A7B38"/>
    <w:rsid w:val="000A7E9E"/>
    <w:rsid w:val="000A7F11"/>
    <w:rsid w:val="000B0343"/>
    <w:rsid w:val="000B13B8"/>
    <w:rsid w:val="000B19A9"/>
    <w:rsid w:val="000B1FE1"/>
    <w:rsid w:val="000B2444"/>
    <w:rsid w:val="000B2985"/>
    <w:rsid w:val="000B2C88"/>
    <w:rsid w:val="000B31D3"/>
    <w:rsid w:val="000B3342"/>
    <w:rsid w:val="000B3905"/>
    <w:rsid w:val="000B3A59"/>
    <w:rsid w:val="000B3B37"/>
    <w:rsid w:val="000B4BC4"/>
    <w:rsid w:val="000B4D45"/>
    <w:rsid w:val="000B4E59"/>
    <w:rsid w:val="000B51FA"/>
    <w:rsid w:val="000B56AB"/>
    <w:rsid w:val="000B5905"/>
    <w:rsid w:val="000B5975"/>
    <w:rsid w:val="000B5F3C"/>
    <w:rsid w:val="000B60DB"/>
    <w:rsid w:val="000B6245"/>
    <w:rsid w:val="000B655D"/>
    <w:rsid w:val="000B6E2C"/>
    <w:rsid w:val="000B7286"/>
    <w:rsid w:val="000B749B"/>
    <w:rsid w:val="000B76C5"/>
    <w:rsid w:val="000B76F1"/>
    <w:rsid w:val="000B7893"/>
    <w:rsid w:val="000B7A10"/>
    <w:rsid w:val="000C036E"/>
    <w:rsid w:val="000C055B"/>
    <w:rsid w:val="000C115D"/>
    <w:rsid w:val="000C13AE"/>
    <w:rsid w:val="000C1535"/>
    <w:rsid w:val="000C1F4B"/>
    <w:rsid w:val="000C252B"/>
    <w:rsid w:val="000C2FBD"/>
    <w:rsid w:val="000C3B0C"/>
    <w:rsid w:val="000C3D90"/>
    <w:rsid w:val="000C422D"/>
    <w:rsid w:val="000C485D"/>
    <w:rsid w:val="000C53CD"/>
    <w:rsid w:val="000C5A78"/>
    <w:rsid w:val="000C5ADD"/>
    <w:rsid w:val="000C5F91"/>
    <w:rsid w:val="000C6025"/>
    <w:rsid w:val="000C6792"/>
    <w:rsid w:val="000C6EFA"/>
    <w:rsid w:val="000C7345"/>
    <w:rsid w:val="000C7D58"/>
    <w:rsid w:val="000D02E7"/>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211"/>
    <w:rsid w:val="000D445E"/>
    <w:rsid w:val="000D4B26"/>
    <w:rsid w:val="000D4C4E"/>
    <w:rsid w:val="000D5077"/>
    <w:rsid w:val="000D51C3"/>
    <w:rsid w:val="000D5362"/>
    <w:rsid w:val="000D57F8"/>
    <w:rsid w:val="000D5851"/>
    <w:rsid w:val="000D5C60"/>
    <w:rsid w:val="000D694B"/>
    <w:rsid w:val="000D715A"/>
    <w:rsid w:val="000D71E2"/>
    <w:rsid w:val="000D73A5"/>
    <w:rsid w:val="000D78F4"/>
    <w:rsid w:val="000E025B"/>
    <w:rsid w:val="000E07D6"/>
    <w:rsid w:val="000E0B5E"/>
    <w:rsid w:val="000E1380"/>
    <w:rsid w:val="000E18DF"/>
    <w:rsid w:val="000E1A27"/>
    <w:rsid w:val="000E2BD7"/>
    <w:rsid w:val="000E3123"/>
    <w:rsid w:val="000E3DB1"/>
    <w:rsid w:val="000E3FF1"/>
    <w:rsid w:val="000E4761"/>
    <w:rsid w:val="000E48AF"/>
    <w:rsid w:val="000E59A0"/>
    <w:rsid w:val="000E71DC"/>
    <w:rsid w:val="000E7403"/>
    <w:rsid w:val="000E7A84"/>
    <w:rsid w:val="000F15BC"/>
    <w:rsid w:val="000F180A"/>
    <w:rsid w:val="000F1C92"/>
    <w:rsid w:val="000F1E81"/>
    <w:rsid w:val="000F2B02"/>
    <w:rsid w:val="000F2D25"/>
    <w:rsid w:val="000F2EEE"/>
    <w:rsid w:val="000F3238"/>
    <w:rsid w:val="000F3697"/>
    <w:rsid w:val="000F407D"/>
    <w:rsid w:val="000F4BD7"/>
    <w:rsid w:val="000F4F58"/>
    <w:rsid w:val="000F5BC8"/>
    <w:rsid w:val="000F631C"/>
    <w:rsid w:val="000F637B"/>
    <w:rsid w:val="000F65A0"/>
    <w:rsid w:val="000F7326"/>
    <w:rsid w:val="000F75A1"/>
    <w:rsid w:val="000F7F58"/>
    <w:rsid w:val="00100128"/>
    <w:rsid w:val="00100CDC"/>
    <w:rsid w:val="00100FF3"/>
    <w:rsid w:val="00101488"/>
    <w:rsid w:val="00101753"/>
    <w:rsid w:val="001019A7"/>
    <w:rsid w:val="00101CB8"/>
    <w:rsid w:val="00101EB7"/>
    <w:rsid w:val="001022A0"/>
    <w:rsid w:val="001026CA"/>
    <w:rsid w:val="001030F8"/>
    <w:rsid w:val="001033E1"/>
    <w:rsid w:val="00104210"/>
    <w:rsid w:val="001043C2"/>
    <w:rsid w:val="001043E1"/>
    <w:rsid w:val="001046C3"/>
    <w:rsid w:val="0010488D"/>
    <w:rsid w:val="00104B45"/>
    <w:rsid w:val="0010505A"/>
    <w:rsid w:val="00105277"/>
    <w:rsid w:val="0010532D"/>
    <w:rsid w:val="00105CC7"/>
    <w:rsid w:val="00105F62"/>
    <w:rsid w:val="001063FE"/>
    <w:rsid w:val="001076A0"/>
    <w:rsid w:val="00107779"/>
    <w:rsid w:val="00107857"/>
    <w:rsid w:val="001078C2"/>
    <w:rsid w:val="00107E1C"/>
    <w:rsid w:val="00110067"/>
    <w:rsid w:val="00110243"/>
    <w:rsid w:val="0011072C"/>
    <w:rsid w:val="001111C4"/>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DF"/>
    <w:rsid w:val="00114930"/>
    <w:rsid w:val="00114B18"/>
    <w:rsid w:val="00114BF1"/>
    <w:rsid w:val="001152B9"/>
    <w:rsid w:val="0011557B"/>
    <w:rsid w:val="00115B5D"/>
    <w:rsid w:val="001160C4"/>
    <w:rsid w:val="001161A4"/>
    <w:rsid w:val="00116585"/>
    <w:rsid w:val="001169E9"/>
    <w:rsid w:val="001169EC"/>
    <w:rsid w:val="00116CA1"/>
    <w:rsid w:val="00117141"/>
    <w:rsid w:val="00117678"/>
    <w:rsid w:val="001179BC"/>
    <w:rsid w:val="00117C85"/>
    <w:rsid w:val="001203A0"/>
    <w:rsid w:val="00120B13"/>
    <w:rsid w:val="00120C4A"/>
    <w:rsid w:val="00121162"/>
    <w:rsid w:val="001215CA"/>
    <w:rsid w:val="00122412"/>
    <w:rsid w:val="001233BB"/>
    <w:rsid w:val="00124258"/>
    <w:rsid w:val="0012449B"/>
    <w:rsid w:val="00124875"/>
    <w:rsid w:val="00124B12"/>
    <w:rsid w:val="00124D84"/>
    <w:rsid w:val="00124D97"/>
    <w:rsid w:val="001250DD"/>
    <w:rsid w:val="00125733"/>
    <w:rsid w:val="001260AA"/>
    <w:rsid w:val="001263AA"/>
    <w:rsid w:val="00126885"/>
    <w:rsid w:val="001273F3"/>
    <w:rsid w:val="00130779"/>
    <w:rsid w:val="001307A1"/>
    <w:rsid w:val="00130D24"/>
    <w:rsid w:val="00130F5A"/>
    <w:rsid w:val="001314A8"/>
    <w:rsid w:val="0013160D"/>
    <w:rsid w:val="001321D3"/>
    <w:rsid w:val="00132B4A"/>
    <w:rsid w:val="00132FAA"/>
    <w:rsid w:val="00133345"/>
    <w:rsid w:val="00133599"/>
    <w:rsid w:val="00133BF7"/>
    <w:rsid w:val="00134184"/>
    <w:rsid w:val="00134B88"/>
    <w:rsid w:val="00135A01"/>
    <w:rsid w:val="00136A23"/>
    <w:rsid w:val="00136B99"/>
    <w:rsid w:val="0014063E"/>
    <w:rsid w:val="0014087D"/>
    <w:rsid w:val="00140F74"/>
    <w:rsid w:val="00141191"/>
    <w:rsid w:val="0014159C"/>
    <w:rsid w:val="00141C30"/>
    <w:rsid w:val="00142665"/>
    <w:rsid w:val="00143123"/>
    <w:rsid w:val="00143752"/>
    <w:rsid w:val="0014384A"/>
    <w:rsid w:val="00143C90"/>
    <w:rsid w:val="00143D12"/>
    <w:rsid w:val="0014450F"/>
    <w:rsid w:val="0014462B"/>
    <w:rsid w:val="00144D8F"/>
    <w:rsid w:val="00144DCF"/>
    <w:rsid w:val="001453EC"/>
    <w:rsid w:val="00145C74"/>
    <w:rsid w:val="001462E9"/>
    <w:rsid w:val="00146B4B"/>
    <w:rsid w:val="00146E32"/>
    <w:rsid w:val="0015005A"/>
    <w:rsid w:val="00150673"/>
    <w:rsid w:val="00150C0B"/>
    <w:rsid w:val="00150CE4"/>
    <w:rsid w:val="00151058"/>
    <w:rsid w:val="00151619"/>
    <w:rsid w:val="00151CA4"/>
    <w:rsid w:val="00151FDC"/>
    <w:rsid w:val="00152835"/>
    <w:rsid w:val="00152CFF"/>
    <w:rsid w:val="00154B0A"/>
    <w:rsid w:val="00155129"/>
    <w:rsid w:val="001559FA"/>
    <w:rsid w:val="00156374"/>
    <w:rsid w:val="001566A2"/>
    <w:rsid w:val="0015673F"/>
    <w:rsid w:val="001572C1"/>
    <w:rsid w:val="001577D8"/>
    <w:rsid w:val="00157FC3"/>
    <w:rsid w:val="00160655"/>
    <w:rsid w:val="00160739"/>
    <w:rsid w:val="00160A63"/>
    <w:rsid w:val="00160C09"/>
    <w:rsid w:val="00161D8A"/>
    <w:rsid w:val="00161FE4"/>
    <w:rsid w:val="001620DB"/>
    <w:rsid w:val="0016271E"/>
    <w:rsid w:val="00162D7A"/>
    <w:rsid w:val="001633C3"/>
    <w:rsid w:val="0016375D"/>
    <w:rsid w:val="00163CD9"/>
    <w:rsid w:val="00164D28"/>
    <w:rsid w:val="00164DAB"/>
    <w:rsid w:val="0016541D"/>
    <w:rsid w:val="00165A24"/>
    <w:rsid w:val="00165BBB"/>
    <w:rsid w:val="00165C72"/>
    <w:rsid w:val="00165FEB"/>
    <w:rsid w:val="0016613F"/>
    <w:rsid w:val="00166215"/>
    <w:rsid w:val="00166487"/>
    <w:rsid w:val="00166591"/>
    <w:rsid w:val="001666C4"/>
    <w:rsid w:val="00166746"/>
    <w:rsid w:val="00166BBC"/>
    <w:rsid w:val="001670B2"/>
    <w:rsid w:val="00167A37"/>
    <w:rsid w:val="00167C3C"/>
    <w:rsid w:val="00170043"/>
    <w:rsid w:val="00170E24"/>
    <w:rsid w:val="00171143"/>
    <w:rsid w:val="00172864"/>
    <w:rsid w:val="00172B82"/>
    <w:rsid w:val="00172EFA"/>
    <w:rsid w:val="00173038"/>
    <w:rsid w:val="001735DA"/>
    <w:rsid w:val="00173608"/>
    <w:rsid w:val="001745EC"/>
    <w:rsid w:val="001747B7"/>
    <w:rsid w:val="00174801"/>
    <w:rsid w:val="00174B63"/>
    <w:rsid w:val="00175446"/>
    <w:rsid w:val="00175C30"/>
    <w:rsid w:val="00175D83"/>
    <w:rsid w:val="00176205"/>
    <w:rsid w:val="001762F8"/>
    <w:rsid w:val="00176611"/>
    <w:rsid w:val="00176875"/>
    <w:rsid w:val="00177069"/>
    <w:rsid w:val="00177098"/>
    <w:rsid w:val="0017709D"/>
    <w:rsid w:val="00177E3B"/>
    <w:rsid w:val="00177FC1"/>
    <w:rsid w:val="0018014F"/>
    <w:rsid w:val="001806C1"/>
    <w:rsid w:val="0018070A"/>
    <w:rsid w:val="001815A2"/>
    <w:rsid w:val="00181D38"/>
    <w:rsid w:val="00181DAE"/>
    <w:rsid w:val="00181E7A"/>
    <w:rsid w:val="00181FC1"/>
    <w:rsid w:val="001823C3"/>
    <w:rsid w:val="0018289C"/>
    <w:rsid w:val="00182F13"/>
    <w:rsid w:val="00182F43"/>
    <w:rsid w:val="00183034"/>
    <w:rsid w:val="001830F7"/>
    <w:rsid w:val="0018371D"/>
    <w:rsid w:val="00183EE6"/>
    <w:rsid w:val="001844E5"/>
    <w:rsid w:val="00184E75"/>
    <w:rsid w:val="00185052"/>
    <w:rsid w:val="0018528A"/>
    <w:rsid w:val="0018588A"/>
    <w:rsid w:val="00185C4C"/>
    <w:rsid w:val="00185FC2"/>
    <w:rsid w:val="00186BE6"/>
    <w:rsid w:val="00187252"/>
    <w:rsid w:val="00187A22"/>
    <w:rsid w:val="00187AA8"/>
    <w:rsid w:val="00187E43"/>
    <w:rsid w:val="00187ED2"/>
    <w:rsid w:val="001910FF"/>
    <w:rsid w:val="00191C91"/>
    <w:rsid w:val="00192229"/>
    <w:rsid w:val="00192DD9"/>
    <w:rsid w:val="0019312E"/>
    <w:rsid w:val="001931F7"/>
    <w:rsid w:val="00193878"/>
    <w:rsid w:val="00194339"/>
    <w:rsid w:val="001946BF"/>
    <w:rsid w:val="00194848"/>
    <w:rsid w:val="00194BA9"/>
    <w:rsid w:val="00194F68"/>
    <w:rsid w:val="001958EA"/>
    <w:rsid w:val="00195E0E"/>
    <w:rsid w:val="00197CCF"/>
    <w:rsid w:val="001A00FD"/>
    <w:rsid w:val="001A01A5"/>
    <w:rsid w:val="001A0617"/>
    <w:rsid w:val="001A0E0D"/>
    <w:rsid w:val="001A154C"/>
    <w:rsid w:val="001A180D"/>
    <w:rsid w:val="001A1BAC"/>
    <w:rsid w:val="001A23CE"/>
    <w:rsid w:val="001A2C89"/>
    <w:rsid w:val="001A3BB2"/>
    <w:rsid w:val="001A488C"/>
    <w:rsid w:val="001A4965"/>
    <w:rsid w:val="001A57EE"/>
    <w:rsid w:val="001A5C71"/>
    <w:rsid w:val="001A673E"/>
    <w:rsid w:val="001A7763"/>
    <w:rsid w:val="001A783D"/>
    <w:rsid w:val="001A7CB3"/>
    <w:rsid w:val="001B0525"/>
    <w:rsid w:val="001B0DDF"/>
    <w:rsid w:val="001B22F1"/>
    <w:rsid w:val="001B2439"/>
    <w:rsid w:val="001B27A5"/>
    <w:rsid w:val="001B287B"/>
    <w:rsid w:val="001B31DB"/>
    <w:rsid w:val="001B3964"/>
    <w:rsid w:val="001B3AB8"/>
    <w:rsid w:val="001B4452"/>
    <w:rsid w:val="001B463A"/>
    <w:rsid w:val="001B466C"/>
    <w:rsid w:val="001B4862"/>
    <w:rsid w:val="001B4E6D"/>
    <w:rsid w:val="001B4F34"/>
    <w:rsid w:val="001B52EC"/>
    <w:rsid w:val="001B554A"/>
    <w:rsid w:val="001B5BBD"/>
    <w:rsid w:val="001B6304"/>
    <w:rsid w:val="001B64C4"/>
    <w:rsid w:val="001B6564"/>
    <w:rsid w:val="001B6583"/>
    <w:rsid w:val="001B67AD"/>
    <w:rsid w:val="001B691A"/>
    <w:rsid w:val="001B71BA"/>
    <w:rsid w:val="001B72E7"/>
    <w:rsid w:val="001B7436"/>
    <w:rsid w:val="001B7520"/>
    <w:rsid w:val="001B7D23"/>
    <w:rsid w:val="001C0072"/>
    <w:rsid w:val="001C02D8"/>
    <w:rsid w:val="001C04E3"/>
    <w:rsid w:val="001C063A"/>
    <w:rsid w:val="001C1777"/>
    <w:rsid w:val="001C1D40"/>
    <w:rsid w:val="001C2378"/>
    <w:rsid w:val="001C2E70"/>
    <w:rsid w:val="001C388D"/>
    <w:rsid w:val="001C3946"/>
    <w:rsid w:val="001C3EE9"/>
    <w:rsid w:val="001C3FA4"/>
    <w:rsid w:val="001C40F9"/>
    <w:rsid w:val="001C40FC"/>
    <w:rsid w:val="001C41B6"/>
    <w:rsid w:val="001C458B"/>
    <w:rsid w:val="001C4CE2"/>
    <w:rsid w:val="001C50F9"/>
    <w:rsid w:val="001C542A"/>
    <w:rsid w:val="001C5D4F"/>
    <w:rsid w:val="001C64C0"/>
    <w:rsid w:val="001C67D0"/>
    <w:rsid w:val="001C69DA"/>
    <w:rsid w:val="001C6F06"/>
    <w:rsid w:val="001C71AB"/>
    <w:rsid w:val="001C75AF"/>
    <w:rsid w:val="001C7611"/>
    <w:rsid w:val="001D2360"/>
    <w:rsid w:val="001D2372"/>
    <w:rsid w:val="001D2CE6"/>
    <w:rsid w:val="001D3109"/>
    <w:rsid w:val="001D332E"/>
    <w:rsid w:val="001D3914"/>
    <w:rsid w:val="001D4C8F"/>
    <w:rsid w:val="001D5033"/>
    <w:rsid w:val="001D5058"/>
    <w:rsid w:val="001D5453"/>
    <w:rsid w:val="001D576F"/>
    <w:rsid w:val="001D5C88"/>
    <w:rsid w:val="001D6567"/>
    <w:rsid w:val="001D695C"/>
    <w:rsid w:val="001D6ED3"/>
    <w:rsid w:val="001D6FD9"/>
    <w:rsid w:val="001D780E"/>
    <w:rsid w:val="001D7A29"/>
    <w:rsid w:val="001E05C3"/>
    <w:rsid w:val="001E0AB0"/>
    <w:rsid w:val="001E0AD3"/>
    <w:rsid w:val="001E133B"/>
    <w:rsid w:val="001E1D1C"/>
    <w:rsid w:val="001E1E92"/>
    <w:rsid w:val="001E29A5"/>
    <w:rsid w:val="001E36E4"/>
    <w:rsid w:val="001E379D"/>
    <w:rsid w:val="001E3A3C"/>
    <w:rsid w:val="001E43E5"/>
    <w:rsid w:val="001E4468"/>
    <w:rsid w:val="001E462D"/>
    <w:rsid w:val="001E5291"/>
    <w:rsid w:val="001E5570"/>
    <w:rsid w:val="001E57DB"/>
    <w:rsid w:val="001E5C23"/>
    <w:rsid w:val="001E615F"/>
    <w:rsid w:val="001E628F"/>
    <w:rsid w:val="001E6354"/>
    <w:rsid w:val="001E678D"/>
    <w:rsid w:val="001E7504"/>
    <w:rsid w:val="001E76DF"/>
    <w:rsid w:val="001E7BB9"/>
    <w:rsid w:val="001F0A3F"/>
    <w:rsid w:val="001F1308"/>
    <w:rsid w:val="001F1525"/>
    <w:rsid w:val="001F1E87"/>
    <w:rsid w:val="001F1EB6"/>
    <w:rsid w:val="001F2A13"/>
    <w:rsid w:val="001F2A7D"/>
    <w:rsid w:val="001F2E23"/>
    <w:rsid w:val="001F2E3D"/>
    <w:rsid w:val="001F341F"/>
    <w:rsid w:val="001F3489"/>
    <w:rsid w:val="001F3911"/>
    <w:rsid w:val="001F3F09"/>
    <w:rsid w:val="001F3F1A"/>
    <w:rsid w:val="001F40E6"/>
    <w:rsid w:val="001F4315"/>
    <w:rsid w:val="001F4CBD"/>
    <w:rsid w:val="001F5217"/>
    <w:rsid w:val="001F5545"/>
    <w:rsid w:val="001F5777"/>
    <w:rsid w:val="001F5937"/>
    <w:rsid w:val="001F59E3"/>
    <w:rsid w:val="001F59ED"/>
    <w:rsid w:val="001F5A1B"/>
    <w:rsid w:val="001F7121"/>
    <w:rsid w:val="001F72A3"/>
    <w:rsid w:val="001F7534"/>
    <w:rsid w:val="001F7688"/>
    <w:rsid w:val="002009BC"/>
    <w:rsid w:val="00200D2C"/>
    <w:rsid w:val="0020143D"/>
    <w:rsid w:val="002019D8"/>
    <w:rsid w:val="00201EC7"/>
    <w:rsid w:val="00203165"/>
    <w:rsid w:val="002031CA"/>
    <w:rsid w:val="0020349A"/>
    <w:rsid w:val="002034B4"/>
    <w:rsid w:val="00204032"/>
    <w:rsid w:val="002048C2"/>
    <w:rsid w:val="00204AFE"/>
    <w:rsid w:val="00204BAD"/>
    <w:rsid w:val="00204D60"/>
    <w:rsid w:val="00204EB8"/>
    <w:rsid w:val="00204F48"/>
    <w:rsid w:val="00205627"/>
    <w:rsid w:val="00205665"/>
    <w:rsid w:val="002056D0"/>
    <w:rsid w:val="00205892"/>
    <w:rsid w:val="00205A0F"/>
    <w:rsid w:val="00205E70"/>
    <w:rsid w:val="00206FC7"/>
    <w:rsid w:val="00207118"/>
    <w:rsid w:val="00207A66"/>
    <w:rsid w:val="00207C71"/>
    <w:rsid w:val="00210860"/>
    <w:rsid w:val="00210979"/>
    <w:rsid w:val="00210B6A"/>
    <w:rsid w:val="00210E01"/>
    <w:rsid w:val="00211019"/>
    <w:rsid w:val="00211087"/>
    <w:rsid w:val="0021120F"/>
    <w:rsid w:val="00211C40"/>
    <w:rsid w:val="00211DA6"/>
    <w:rsid w:val="00211DAC"/>
    <w:rsid w:val="00212CB6"/>
    <w:rsid w:val="00212E37"/>
    <w:rsid w:val="00213B5D"/>
    <w:rsid w:val="00213F68"/>
    <w:rsid w:val="002140FF"/>
    <w:rsid w:val="00215E90"/>
    <w:rsid w:val="0021641C"/>
    <w:rsid w:val="002164D8"/>
    <w:rsid w:val="00216C4B"/>
    <w:rsid w:val="00216C8D"/>
    <w:rsid w:val="00220894"/>
    <w:rsid w:val="0022095C"/>
    <w:rsid w:val="002211CB"/>
    <w:rsid w:val="00221772"/>
    <w:rsid w:val="00224217"/>
    <w:rsid w:val="00224952"/>
    <w:rsid w:val="00224DD2"/>
    <w:rsid w:val="0022565B"/>
    <w:rsid w:val="00225905"/>
    <w:rsid w:val="00225A6A"/>
    <w:rsid w:val="00225AC7"/>
    <w:rsid w:val="00225ACC"/>
    <w:rsid w:val="00225DE1"/>
    <w:rsid w:val="0022780F"/>
    <w:rsid w:val="00227DBD"/>
    <w:rsid w:val="00231C25"/>
    <w:rsid w:val="00231C6F"/>
    <w:rsid w:val="0023244C"/>
    <w:rsid w:val="002329C4"/>
    <w:rsid w:val="00232A90"/>
    <w:rsid w:val="00232B3B"/>
    <w:rsid w:val="002330ED"/>
    <w:rsid w:val="00233A2C"/>
    <w:rsid w:val="00234151"/>
    <w:rsid w:val="00234F8C"/>
    <w:rsid w:val="0023535E"/>
    <w:rsid w:val="00235542"/>
    <w:rsid w:val="00235DAD"/>
    <w:rsid w:val="00235E55"/>
    <w:rsid w:val="002362CD"/>
    <w:rsid w:val="002369B0"/>
    <w:rsid w:val="00236AD8"/>
    <w:rsid w:val="00236B3F"/>
    <w:rsid w:val="00237065"/>
    <w:rsid w:val="00237081"/>
    <w:rsid w:val="00237C8C"/>
    <w:rsid w:val="002401F5"/>
    <w:rsid w:val="002407C9"/>
    <w:rsid w:val="00240E54"/>
    <w:rsid w:val="002419CC"/>
    <w:rsid w:val="00241AC1"/>
    <w:rsid w:val="00241CFB"/>
    <w:rsid w:val="0024208F"/>
    <w:rsid w:val="00242380"/>
    <w:rsid w:val="00242436"/>
    <w:rsid w:val="002427E1"/>
    <w:rsid w:val="0024342B"/>
    <w:rsid w:val="00243D70"/>
    <w:rsid w:val="00244C2D"/>
    <w:rsid w:val="002451C5"/>
    <w:rsid w:val="00245E6C"/>
    <w:rsid w:val="00245F1F"/>
    <w:rsid w:val="00245F5E"/>
    <w:rsid w:val="00246335"/>
    <w:rsid w:val="0024663B"/>
    <w:rsid w:val="00246F24"/>
    <w:rsid w:val="00247103"/>
    <w:rsid w:val="00247174"/>
    <w:rsid w:val="0024729C"/>
    <w:rsid w:val="00250067"/>
    <w:rsid w:val="00250AE9"/>
    <w:rsid w:val="00250FCC"/>
    <w:rsid w:val="002516DE"/>
    <w:rsid w:val="00251D9F"/>
    <w:rsid w:val="00251F81"/>
    <w:rsid w:val="00252BE0"/>
    <w:rsid w:val="00252FEB"/>
    <w:rsid w:val="00253583"/>
    <w:rsid w:val="00253588"/>
    <w:rsid w:val="00253C1D"/>
    <w:rsid w:val="00254336"/>
    <w:rsid w:val="002546F4"/>
    <w:rsid w:val="00254E37"/>
    <w:rsid w:val="002551D0"/>
    <w:rsid w:val="00255374"/>
    <w:rsid w:val="00255780"/>
    <w:rsid w:val="00255965"/>
    <w:rsid w:val="002559BE"/>
    <w:rsid w:val="00255A5E"/>
    <w:rsid w:val="00255AAA"/>
    <w:rsid w:val="00255BA9"/>
    <w:rsid w:val="00257BF4"/>
    <w:rsid w:val="00260003"/>
    <w:rsid w:val="00260236"/>
    <w:rsid w:val="0026035D"/>
    <w:rsid w:val="002606D6"/>
    <w:rsid w:val="00260F70"/>
    <w:rsid w:val="00261C98"/>
    <w:rsid w:val="0026248E"/>
    <w:rsid w:val="00262914"/>
    <w:rsid w:val="00262E24"/>
    <w:rsid w:val="0026360D"/>
    <w:rsid w:val="00263F38"/>
    <w:rsid w:val="002647BF"/>
    <w:rsid w:val="002647D5"/>
    <w:rsid w:val="00265032"/>
    <w:rsid w:val="002651FB"/>
    <w:rsid w:val="0026538C"/>
    <w:rsid w:val="002653A9"/>
    <w:rsid w:val="0026558C"/>
    <w:rsid w:val="00265781"/>
    <w:rsid w:val="00265933"/>
    <w:rsid w:val="002662FF"/>
    <w:rsid w:val="00266B13"/>
    <w:rsid w:val="00266B23"/>
    <w:rsid w:val="002674BF"/>
    <w:rsid w:val="0026771C"/>
    <w:rsid w:val="00270728"/>
    <w:rsid w:val="00270D42"/>
    <w:rsid w:val="00270FA0"/>
    <w:rsid w:val="002714D5"/>
    <w:rsid w:val="0027195D"/>
    <w:rsid w:val="002724CE"/>
    <w:rsid w:val="00272B03"/>
    <w:rsid w:val="0027328B"/>
    <w:rsid w:val="002733E2"/>
    <w:rsid w:val="00273F2D"/>
    <w:rsid w:val="00274542"/>
    <w:rsid w:val="00274693"/>
    <w:rsid w:val="002750B1"/>
    <w:rsid w:val="002755A6"/>
    <w:rsid w:val="00275C29"/>
    <w:rsid w:val="00276851"/>
    <w:rsid w:val="00276A35"/>
    <w:rsid w:val="00276F36"/>
    <w:rsid w:val="0027746E"/>
    <w:rsid w:val="002774DD"/>
    <w:rsid w:val="00277835"/>
    <w:rsid w:val="00280AB1"/>
    <w:rsid w:val="002811A6"/>
    <w:rsid w:val="00281274"/>
    <w:rsid w:val="002822B5"/>
    <w:rsid w:val="0028344F"/>
    <w:rsid w:val="00283571"/>
    <w:rsid w:val="00283AD1"/>
    <w:rsid w:val="00283E5D"/>
    <w:rsid w:val="002846CE"/>
    <w:rsid w:val="00284AF9"/>
    <w:rsid w:val="00284B4D"/>
    <w:rsid w:val="00284BAE"/>
    <w:rsid w:val="002859AF"/>
    <w:rsid w:val="00285F67"/>
    <w:rsid w:val="00286196"/>
    <w:rsid w:val="002866AD"/>
    <w:rsid w:val="00286AE7"/>
    <w:rsid w:val="00287243"/>
    <w:rsid w:val="00287552"/>
    <w:rsid w:val="00290647"/>
    <w:rsid w:val="00291385"/>
    <w:rsid w:val="00291422"/>
    <w:rsid w:val="002922E2"/>
    <w:rsid w:val="0029237F"/>
    <w:rsid w:val="00292715"/>
    <w:rsid w:val="00293715"/>
    <w:rsid w:val="00293CEA"/>
    <w:rsid w:val="00293E57"/>
    <w:rsid w:val="00293EB1"/>
    <w:rsid w:val="00294504"/>
    <w:rsid w:val="002947D1"/>
    <w:rsid w:val="002948DF"/>
    <w:rsid w:val="00294D90"/>
    <w:rsid w:val="0029546B"/>
    <w:rsid w:val="0029628D"/>
    <w:rsid w:val="00296545"/>
    <w:rsid w:val="002969D4"/>
    <w:rsid w:val="00297148"/>
    <w:rsid w:val="00297296"/>
    <w:rsid w:val="002A0348"/>
    <w:rsid w:val="002A0749"/>
    <w:rsid w:val="002A0B8D"/>
    <w:rsid w:val="002A0E29"/>
    <w:rsid w:val="002A1E92"/>
    <w:rsid w:val="002A1E9C"/>
    <w:rsid w:val="002A204D"/>
    <w:rsid w:val="002A2616"/>
    <w:rsid w:val="002A26E1"/>
    <w:rsid w:val="002A2C30"/>
    <w:rsid w:val="002A2ED9"/>
    <w:rsid w:val="002A335E"/>
    <w:rsid w:val="002A368A"/>
    <w:rsid w:val="002A4065"/>
    <w:rsid w:val="002A4235"/>
    <w:rsid w:val="002A4B4D"/>
    <w:rsid w:val="002A4E11"/>
    <w:rsid w:val="002A51A0"/>
    <w:rsid w:val="002A5619"/>
    <w:rsid w:val="002A59F0"/>
    <w:rsid w:val="002A5A25"/>
    <w:rsid w:val="002A6432"/>
    <w:rsid w:val="002A6F25"/>
    <w:rsid w:val="002A6FD3"/>
    <w:rsid w:val="002B0A7D"/>
    <w:rsid w:val="002B0BC8"/>
    <w:rsid w:val="002B1A69"/>
    <w:rsid w:val="002B1BD3"/>
    <w:rsid w:val="002B1F96"/>
    <w:rsid w:val="002B20D7"/>
    <w:rsid w:val="002B2141"/>
    <w:rsid w:val="002B24BA"/>
    <w:rsid w:val="002B2723"/>
    <w:rsid w:val="002B2778"/>
    <w:rsid w:val="002B2DBC"/>
    <w:rsid w:val="002B2E4A"/>
    <w:rsid w:val="002B303A"/>
    <w:rsid w:val="002B40E4"/>
    <w:rsid w:val="002B480A"/>
    <w:rsid w:val="002B538E"/>
    <w:rsid w:val="002B5DCA"/>
    <w:rsid w:val="002B6BDC"/>
    <w:rsid w:val="002B6CB1"/>
    <w:rsid w:val="002B75B0"/>
    <w:rsid w:val="002B76EA"/>
    <w:rsid w:val="002B779D"/>
    <w:rsid w:val="002B794C"/>
    <w:rsid w:val="002B7EAF"/>
    <w:rsid w:val="002C0115"/>
    <w:rsid w:val="002C04D7"/>
    <w:rsid w:val="002C099C"/>
    <w:rsid w:val="002C0B74"/>
    <w:rsid w:val="002C0C8B"/>
    <w:rsid w:val="002C0CBB"/>
    <w:rsid w:val="002C1201"/>
    <w:rsid w:val="002C1460"/>
    <w:rsid w:val="002C15E9"/>
    <w:rsid w:val="002C160D"/>
    <w:rsid w:val="002C1FF8"/>
    <w:rsid w:val="002C20F2"/>
    <w:rsid w:val="002C22FD"/>
    <w:rsid w:val="002C2AD9"/>
    <w:rsid w:val="002C2C77"/>
    <w:rsid w:val="002C30EA"/>
    <w:rsid w:val="002C3507"/>
    <w:rsid w:val="002C38B2"/>
    <w:rsid w:val="002C3DC2"/>
    <w:rsid w:val="002C3F54"/>
    <w:rsid w:val="002C3F9C"/>
    <w:rsid w:val="002C51A7"/>
    <w:rsid w:val="002C5AFA"/>
    <w:rsid w:val="002C73E3"/>
    <w:rsid w:val="002C7DF5"/>
    <w:rsid w:val="002D0439"/>
    <w:rsid w:val="002D084A"/>
    <w:rsid w:val="002D11B7"/>
    <w:rsid w:val="002D26B4"/>
    <w:rsid w:val="002D2D24"/>
    <w:rsid w:val="002D3055"/>
    <w:rsid w:val="002D30A7"/>
    <w:rsid w:val="002D361F"/>
    <w:rsid w:val="002D3AF5"/>
    <w:rsid w:val="002D3BBC"/>
    <w:rsid w:val="002D3C29"/>
    <w:rsid w:val="002D3D3F"/>
    <w:rsid w:val="002D4171"/>
    <w:rsid w:val="002D438A"/>
    <w:rsid w:val="002D5152"/>
    <w:rsid w:val="002D53C8"/>
    <w:rsid w:val="002D56E4"/>
    <w:rsid w:val="002D5738"/>
    <w:rsid w:val="002D5E53"/>
    <w:rsid w:val="002D62ED"/>
    <w:rsid w:val="002D63F9"/>
    <w:rsid w:val="002D6F91"/>
    <w:rsid w:val="002D7215"/>
    <w:rsid w:val="002D721F"/>
    <w:rsid w:val="002D72CC"/>
    <w:rsid w:val="002D788E"/>
    <w:rsid w:val="002D7C7C"/>
    <w:rsid w:val="002E0038"/>
    <w:rsid w:val="002E0319"/>
    <w:rsid w:val="002E0AF8"/>
    <w:rsid w:val="002E1093"/>
    <w:rsid w:val="002E179B"/>
    <w:rsid w:val="002E1897"/>
    <w:rsid w:val="002E1B6C"/>
    <w:rsid w:val="002E1C9E"/>
    <w:rsid w:val="002E1D9F"/>
    <w:rsid w:val="002E215A"/>
    <w:rsid w:val="002E257B"/>
    <w:rsid w:val="002E3341"/>
    <w:rsid w:val="002E3C65"/>
    <w:rsid w:val="002E3F5B"/>
    <w:rsid w:val="002E4362"/>
    <w:rsid w:val="002E45EB"/>
    <w:rsid w:val="002E5B07"/>
    <w:rsid w:val="002E63D9"/>
    <w:rsid w:val="002E640E"/>
    <w:rsid w:val="002E6FC6"/>
    <w:rsid w:val="002E7187"/>
    <w:rsid w:val="002E739D"/>
    <w:rsid w:val="002E76D0"/>
    <w:rsid w:val="002E7D2E"/>
    <w:rsid w:val="002F0C28"/>
    <w:rsid w:val="002F1568"/>
    <w:rsid w:val="002F281C"/>
    <w:rsid w:val="002F2999"/>
    <w:rsid w:val="002F2C74"/>
    <w:rsid w:val="002F3CDE"/>
    <w:rsid w:val="002F4AFB"/>
    <w:rsid w:val="002F559A"/>
    <w:rsid w:val="002F5A7C"/>
    <w:rsid w:val="002F5DD6"/>
    <w:rsid w:val="002F5FEA"/>
    <w:rsid w:val="002F63E7"/>
    <w:rsid w:val="002F728B"/>
    <w:rsid w:val="002F7BE3"/>
    <w:rsid w:val="002F7E6A"/>
    <w:rsid w:val="002F7FEB"/>
    <w:rsid w:val="00300165"/>
    <w:rsid w:val="00300445"/>
    <w:rsid w:val="003008C7"/>
    <w:rsid w:val="00300978"/>
    <w:rsid w:val="00300E4D"/>
    <w:rsid w:val="00300F00"/>
    <w:rsid w:val="003010CF"/>
    <w:rsid w:val="00301697"/>
    <w:rsid w:val="00302617"/>
    <w:rsid w:val="00302905"/>
    <w:rsid w:val="00303440"/>
    <w:rsid w:val="003039F4"/>
    <w:rsid w:val="0030434F"/>
    <w:rsid w:val="00304503"/>
    <w:rsid w:val="00304B5C"/>
    <w:rsid w:val="00304D9B"/>
    <w:rsid w:val="00304E7F"/>
    <w:rsid w:val="003057D8"/>
    <w:rsid w:val="00305C43"/>
    <w:rsid w:val="00305D2F"/>
    <w:rsid w:val="00305FF9"/>
    <w:rsid w:val="00306827"/>
    <w:rsid w:val="00306E1D"/>
    <w:rsid w:val="00306E6B"/>
    <w:rsid w:val="0030723C"/>
    <w:rsid w:val="003100C8"/>
    <w:rsid w:val="003107C2"/>
    <w:rsid w:val="003109FD"/>
    <w:rsid w:val="00311161"/>
    <w:rsid w:val="00311815"/>
    <w:rsid w:val="003118CF"/>
    <w:rsid w:val="00312400"/>
    <w:rsid w:val="00312418"/>
    <w:rsid w:val="00312739"/>
    <w:rsid w:val="00312D10"/>
    <w:rsid w:val="00313221"/>
    <w:rsid w:val="00313355"/>
    <w:rsid w:val="00313BFF"/>
    <w:rsid w:val="00313C7D"/>
    <w:rsid w:val="00313CDA"/>
    <w:rsid w:val="00314A18"/>
    <w:rsid w:val="00316DFF"/>
    <w:rsid w:val="003178DA"/>
    <w:rsid w:val="00317DB8"/>
    <w:rsid w:val="00317E6F"/>
    <w:rsid w:val="00320085"/>
    <w:rsid w:val="003203AC"/>
    <w:rsid w:val="003205C5"/>
    <w:rsid w:val="00320618"/>
    <w:rsid w:val="00320F61"/>
    <w:rsid w:val="0032100B"/>
    <w:rsid w:val="003210DF"/>
    <w:rsid w:val="00321507"/>
    <w:rsid w:val="00321BD7"/>
    <w:rsid w:val="00322146"/>
    <w:rsid w:val="00322207"/>
    <w:rsid w:val="00322217"/>
    <w:rsid w:val="00322275"/>
    <w:rsid w:val="0032260F"/>
    <w:rsid w:val="003228DA"/>
    <w:rsid w:val="00322B78"/>
    <w:rsid w:val="00322DCE"/>
    <w:rsid w:val="00323125"/>
    <w:rsid w:val="00323447"/>
    <w:rsid w:val="0032377E"/>
    <w:rsid w:val="00323D6B"/>
    <w:rsid w:val="003245D2"/>
    <w:rsid w:val="00325F69"/>
    <w:rsid w:val="00326907"/>
    <w:rsid w:val="00326957"/>
    <w:rsid w:val="00326AE2"/>
    <w:rsid w:val="00326E13"/>
    <w:rsid w:val="00327310"/>
    <w:rsid w:val="00327792"/>
    <w:rsid w:val="003277BB"/>
    <w:rsid w:val="003277E2"/>
    <w:rsid w:val="00330D56"/>
    <w:rsid w:val="00330F9D"/>
    <w:rsid w:val="003311E9"/>
    <w:rsid w:val="00331426"/>
    <w:rsid w:val="0033165C"/>
    <w:rsid w:val="0033171D"/>
    <w:rsid w:val="00331949"/>
    <w:rsid w:val="00331EE8"/>
    <w:rsid w:val="00331F28"/>
    <w:rsid w:val="00331FC3"/>
    <w:rsid w:val="0033200E"/>
    <w:rsid w:val="00332100"/>
    <w:rsid w:val="0033243C"/>
    <w:rsid w:val="00332E41"/>
    <w:rsid w:val="00333686"/>
    <w:rsid w:val="003336B3"/>
    <w:rsid w:val="00334379"/>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9C4"/>
    <w:rsid w:val="00343DB9"/>
    <w:rsid w:val="0034429B"/>
    <w:rsid w:val="003442D8"/>
    <w:rsid w:val="00344866"/>
    <w:rsid w:val="00344F6D"/>
    <w:rsid w:val="00345242"/>
    <w:rsid w:val="00345C56"/>
    <w:rsid w:val="00345E16"/>
    <w:rsid w:val="0034638C"/>
    <w:rsid w:val="00346B98"/>
    <w:rsid w:val="00346F7F"/>
    <w:rsid w:val="00347656"/>
    <w:rsid w:val="00347715"/>
    <w:rsid w:val="00347F4C"/>
    <w:rsid w:val="00350108"/>
    <w:rsid w:val="00350762"/>
    <w:rsid w:val="003507C4"/>
    <w:rsid w:val="0035152D"/>
    <w:rsid w:val="003515FB"/>
    <w:rsid w:val="003517E3"/>
    <w:rsid w:val="003519A1"/>
    <w:rsid w:val="00352480"/>
    <w:rsid w:val="003526AA"/>
    <w:rsid w:val="0035275F"/>
    <w:rsid w:val="00352BBC"/>
    <w:rsid w:val="00352F64"/>
    <w:rsid w:val="003530D2"/>
    <w:rsid w:val="0035331A"/>
    <w:rsid w:val="0035340A"/>
    <w:rsid w:val="003534E1"/>
    <w:rsid w:val="0035382D"/>
    <w:rsid w:val="00353F59"/>
    <w:rsid w:val="0035463B"/>
    <w:rsid w:val="003548D8"/>
    <w:rsid w:val="00354B63"/>
    <w:rsid w:val="00355252"/>
    <w:rsid w:val="003554CA"/>
    <w:rsid w:val="00355918"/>
    <w:rsid w:val="00356A5A"/>
    <w:rsid w:val="0035767D"/>
    <w:rsid w:val="00357680"/>
    <w:rsid w:val="00357988"/>
    <w:rsid w:val="00360232"/>
    <w:rsid w:val="003602E0"/>
    <w:rsid w:val="00360D01"/>
    <w:rsid w:val="003616C7"/>
    <w:rsid w:val="00362251"/>
    <w:rsid w:val="00362569"/>
    <w:rsid w:val="003636CD"/>
    <w:rsid w:val="003637B8"/>
    <w:rsid w:val="00363ABF"/>
    <w:rsid w:val="00364429"/>
    <w:rsid w:val="0036487C"/>
    <w:rsid w:val="00365411"/>
    <w:rsid w:val="003655E9"/>
    <w:rsid w:val="00365FA2"/>
    <w:rsid w:val="003664B0"/>
    <w:rsid w:val="00366C69"/>
    <w:rsid w:val="00367441"/>
    <w:rsid w:val="0036753A"/>
    <w:rsid w:val="00367B1D"/>
    <w:rsid w:val="003702D6"/>
    <w:rsid w:val="003707F6"/>
    <w:rsid w:val="00370E4F"/>
    <w:rsid w:val="00371215"/>
    <w:rsid w:val="00371CB1"/>
    <w:rsid w:val="00372630"/>
    <w:rsid w:val="00372CA6"/>
    <w:rsid w:val="00372F0D"/>
    <w:rsid w:val="00373D35"/>
    <w:rsid w:val="00374059"/>
    <w:rsid w:val="00374780"/>
    <w:rsid w:val="003748F7"/>
    <w:rsid w:val="00374F16"/>
    <w:rsid w:val="0037535B"/>
    <w:rsid w:val="00375394"/>
    <w:rsid w:val="0037552D"/>
    <w:rsid w:val="003756D2"/>
    <w:rsid w:val="003756DB"/>
    <w:rsid w:val="00375AD7"/>
    <w:rsid w:val="00376991"/>
    <w:rsid w:val="003770BB"/>
    <w:rsid w:val="0037771A"/>
    <w:rsid w:val="00377DD1"/>
    <w:rsid w:val="00377EAF"/>
    <w:rsid w:val="003802DC"/>
    <w:rsid w:val="003806FB"/>
    <w:rsid w:val="003807F0"/>
    <w:rsid w:val="00380C2D"/>
    <w:rsid w:val="00380E4E"/>
    <w:rsid w:val="00380FBF"/>
    <w:rsid w:val="00381156"/>
    <w:rsid w:val="00381391"/>
    <w:rsid w:val="00381CD3"/>
    <w:rsid w:val="003820E9"/>
    <w:rsid w:val="003829F2"/>
    <w:rsid w:val="00382A43"/>
    <w:rsid w:val="00382D60"/>
    <w:rsid w:val="00382F29"/>
    <w:rsid w:val="00383C8D"/>
    <w:rsid w:val="0038477C"/>
    <w:rsid w:val="00384EAE"/>
    <w:rsid w:val="003852FB"/>
    <w:rsid w:val="00385429"/>
    <w:rsid w:val="0038560A"/>
    <w:rsid w:val="003857FE"/>
    <w:rsid w:val="00385B05"/>
    <w:rsid w:val="00386382"/>
    <w:rsid w:val="003865EF"/>
    <w:rsid w:val="00386BA9"/>
    <w:rsid w:val="00386DE5"/>
    <w:rsid w:val="0038776D"/>
    <w:rsid w:val="00390017"/>
    <w:rsid w:val="003901A3"/>
    <w:rsid w:val="0039072F"/>
    <w:rsid w:val="00390EC7"/>
    <w:rsid w:val="003919F6"/>
    <w:rsid w:val="00391D79"/>
    <w:rsid w:val="0039218D"/>
    <w:rsid w:val="00392B93"/>
    <w:rsid w:val="003940CE"/>
    <w:rsid w:val="003945CC"/>
    <w:rsid w:val="00394739"/>
    <w:rsid w:val="00395826"/>
    <w:rsid w:val="00395A18"/>
    <w:rsid w:val="00396D33"/>
    <w:rsid w:val="0039738B"/>
    <w:rsid w:val="00397C1D"/>
    <w:rsid w:val="00397D21"/>
    <w:rsid w:val="00397F52"/>
    <w:rsid w:val="003A015A"/>
    <w:rsid w:val="003A048B"/>
    <w:rsid w:val="003A0BAE"/>
    <w:rsid w:val="003A180F"/>
    <w:rsid w:val="003A18DD"/>
    <w:rsid w:val="003A20C8"/>
    <w:rsid w:val="003A23A5"/>
    <w:rsid w:val="003A2C29"/>
    <w:rsid w:val="003A2EC3"/>
    <w:rsid w:val="003A32DF"/>
    <w:rsid w:val="003A36F2"/>
    <w:rsid w:val="003A3CA7"/>
    <w:rsid w:val="003A3D39"/>
    <w:rsid w:val="003A3EC7"/>
    <w:rsid w:val="003A4072"/>
    <w:rsid w:val="003A40B4"/>
    <w:rsid w:val="003A4C3F"/>
    <w:rsid w:val="003A597E"/>
    <w:rsid w:val="003A5A11"/>
    <w:rsid w:val="003A5A88"/>
    <w:rsid w:val="003A5BAD"/>
    <w:rsid w:val="003A5FBD"/>
    <w:rsid w:val="003A7646"/>
    <w:rsid w:val="003A7702"/>
    <w:rsid w:val="003A7834"/>
    <w:rsid w:val="003A7A25"/>
    <w:rsid w:val="003B0B5B"/>
    <w:rsid w:val="003B0CE2"/>
    <w:rsid w:val="003B0D8E"/>
    <w:rsid w:val="003B0E79"/>
    <w:rsid w:val="003B19A2"/>
    <w:rsid w:val="003B21EF"/>
    <w:rsid w:val="003B31B1"/>
    <w:rsid w:val="003B3575"/>
    <w:rsid w:val="003B38D1"/>
    <w:rsid w:val="003B4EE5"/>
    <w:rsid w:val="003B501A"/>
    <w:rsid w:val="003B50BC"/>
    <w:rsid w:val="003B5B02"/>
    <w:rsid w:val="003B5D97"/>
    <w:rsid w:val="003B5EB8"/>
    <w:rsid w:val="003B63A4"/>
    <w:rsid w:val="003B68FE"/>
    <w:rsid w:val="003B6D7D"/>
    <w:rsid w:val="003B7D7E"/>
    <w:rsid w:val="003C04B9"/>
    <w:rsid w:val="003C1012"/>
    <w:rsid w:val="003C11C9"/>
    <w:rsid w:val="003C1229"/>
    <w:rsid w:val="003C131A"/>
    <w:rsid w:val="003C149B"/>
    <w:rsid w:val="003C1FD4"/>
    <w:rsid w:val="003C213D"/>
    <w:rsid w:val="003C25AD"/>
    <w:rsid w:val="003C291D"/>
    <w:rsid w:val="003C2D21"/>
    <w:rsid w:val="003C4135"/>
    <w:rsid w:val="003C4503"/>
    <w:rsid w:val="003C52AA"/>
    <w:rsid w:val="003C56F7"/>
    <w:rsid w:val="003C5E6B"/>
    <w:rsid w:val="003C5ED6"/>
    <w:rsid w:val="003C6037"/>
    <w:rsid w:val="003C645E"/>
    <w:rsid w:val="003C652F"/>
    <w:rsid w:val="003C6800"/>
    <w:rsid w:val="003C6B81"/>
    <w:rsid w:val="003C7AD7"/>
    <w:rsid w:val="003D0992"/>
    <w:rsid w:val="003D0B9D"/>
    <w:rsid w:val="003D0FC3"/>
    <w:rsid w:val="003D17FD"/>
    <w:rsid w:val="003D1902"/>
    <w:rsid w:val="003D1DDD"/>
    <w:rsid w:val="003D2C1D"/>
    <w:rsid w:val="003D2C34"/>
    <w:rsid w:val="003D2C46"/>
    <w:rsid w:val="003D31B9"/>
    <w:rsid w:val="003D3538"/>
    <w:rsid w:val="003D3568"/>
    <w:rsid w:val="003D3DDD"/>
    <w:rsid w:val="003D4022"/>
    <w:rsid w:val="003D46F1"/>
    <w:rsid w:val="003D5272"/>
    <w:rsid w:val="003D5CBF"/>
    <w:rsid w:val="003D60B6"/>
    <w:rsid w:val="003D66D2"/>
    <w:rsid w:val="003D6E4F"/>
    <w:rsid w:val="003D729E"/>
    <w:rsid w:val="003E0282"/>
    <w:rsid w:val="003E0473"/>
    <w:rsid w:val="003E0767"/>
    <w:rsid w:val="003E07AE"/>
    <w:rsid w:val="003E14FC"/>
    <w:rsid w:val="003E2976"/>
    <w:rsid w:val="003E2C50"/>
    <w:rsid w:val="003E33B8"/>
    <w:rsid w:val="003E349D"/>
    <w:rsid w:val="003E3B8E"/>
    <w:rsid w:val="003E3C8E"/>
    <w:rsid w:val="003E4858"/>
    <w:rsid w:val="003E4D6A"/>
    <w:rsid w:val="003E5440"/>
    <w:rsid w:val="003E557D"/>
    <w:rsid w:val="003E5DBA"/>
    <w:rsid w:val="003E6316"/>
    <w:rsid w:val="003E6884"/>
    <w:rsid w:val="003E6AC5"/>
    <w:rsid w:val="003E6DCB"/>
    <w:rsid w:val="003E6E3A"/>
    <w:rsid w:val="003E71A6"/>
    <w:rsid w:val="003E7367"/>
    <w:rsid w:val="003E7ADE"/>
    <w:rsid w:val="003E7DD2"/>
    <w:rsid w:val="003F0036"/>
    <w:rsid w:val="003F0096"/>
    <w:rsid w:val="003F00E2"/>
    <w:rsid w:val="003F0381"/>
    <w:rsid w:val="003F0850"/>
    <w:rsid w:val="003F0B97"/>
    <w:rsid w:val="003F0D12"/>
    <w:rsid w:val="003F10BF"/>
    <w:rsid w:val="003F12C3"/>
    <w:rsid w:val="003F1339"/>
    <w:rsid w:val="003F15A3"/>
    <w:rsid w:val="003F15A9"/>
    <w:rsid w:val="003F160C"/>
    <w:rsid w:val="003F278D"/>
    <w:rsid w:val="003F2AE2"/>
    <w:rsid w:val="003F2B82"/>
    <w:rsid w:val="003F324F"/>
    <w:rsid w:val="003F3298"/>
    <w:rsid w:val="003F33BC"/>
    <w:rsid w:val="003F3643"/>
    <w:rsid w:val="003F3D4E"/>
    <w:rsid w:val="003F4271"/>
    <w:rsid w:val="003F477E"/>
    <w:rsid w:val="003F4950"/>
    <w:rsid w:val="003F609F"/>
    <w:rsid w:val="003F6529"/>
    <w:rsid w:val="003F6CD2"/>
    <w:rsid w:val="003F788D"/>
    <w:rsid w:val="003F7936"/>
    <w:rsid w:val="004008FE"/>
    <w:rsid w:val="0040116F"/>
    <w:rsid w:val="0040126E"/>
    <w:rsid w:val="004020D4"/>
    <w:rsid w:val="004021B6"/>
    <w:rsid w:val="0040274F"/>
    <w:rsid w:val="00402FE2"/>
    <w:rsid w:val="004039EC"/>
    <w:rsid w:val="00403B70"/>
    <w:rsid w:val="00403F9A"/>
    <w:rsid w:val="004047A8"/>
    <w:rsid w:val="004047C4"/>
    <w:rsid w:val="0040523D"/>
    <w:rsid w:val="0040570B"/>
    <w:rsid w:val="00405B16"/>
    <w:rsid w:val="00405EDB"/>
    <w:rsid w:val="00405FB1"/>
    <w:rsid w:val="0040624F"/>
    <w:rsid w:val="00406460"/>
    <w:rsid w:val="00407AE3"/>
    <w:rsid w:val="00407E5A"/>
    <w:rsid w:val="004104F9"/>
    <w:rsid w:val="004105F6"/>
    <w:rsid w:val="004106E4"/>
    <w:rsid w:val="00411574"/>
    <w:rsid w:val="00411903"/>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B6B"/>
    <w:rsid w:val="00415D73"/>
    <w:rsid w:val="00415D76"/>
    <w:rsid w:val="00416665"/>
    <w:rsid w:val="00416A67"/>
    <w:rsid w:val="00416ACB"/>
    <w:rsid w:val="004178C8"/>
    <w:rsid w:val="00417F6C"/>
    <w:rsid w:val="004204EC"/>
    <w:rsid w:val="00421DCF"/>
    <w:rsid w:val="00421F52"/>
    <w:rsid w:val="00422341"/>
    <w:rsid w:val="004226CC"/>
    <w:rsid w:val="00422F65"/>
    <w:rsid w:val="00423392"/>
    <w:rsid w:val="00423641"/>
    <w:rsid w:val="004237F1"/>
    <w:rsid w:val="00423DA5"/>
    <w:rsid w:val="00423EEC"/>
    <w:rsid w:val="004247E9"/>
    <w:rsid w:val="00426266"/>
    <w:rsid w:val="00426FFB"/>
    <w:rsid w:val="00430A2D"/>
    <w:rsid w:val="00430D72"/>
    <w:rsid w:val="004312B0"/>
    <w:rsid w:val="00431505"/>
    <w:rsid w:val="0043190D"/>
    <w:rsid w:val="00431AF0"/>
    <w:rsid w:val="0043213A"/>
    <w:rsid w:val="004324A3"/>
    <w:rsid w:val="0043260B"/>
    <w:rsid w:val="004327DD"/>
    <w:rsid w:val="004328CF"/>
    <w:rsid w:val="004330F4"/>
    <w:rsid w:val="00433590"/>
    <w:rsid w:val="00433874"/>
    <w:rsid w:val="0043393D"/>
    <w:rsid w:val="0043428F"/>
    <w:rsid w:val="004344C7"/>
    <w:rsid w:val="004350B2"/>
    <w:rsid w:val="00435274"/>
    <w:rsid w:val="004352AD"/>
    <w:rsid w:val="0043545D"/>
    <w:rsid w:val="0043547E"/>
    <w:rsid w:val="00435FE2"/>
    <w:rsid w:val="00436C94"/>
    <w:rsid w:val="00436E2F"/>
    <w:rsid w:val="00436EAB"/>
    <w:rsid w:val="004376CE"/>
    <w:rsid w:val="004379C7"/>
    <w:rsid w:val="004413B0"/>
    <w:rsid w:val="004423FF"/>
    <w:rsid w:val="00442E51"/>
    <w:rsid w:val="00443028"/>
    <w:rsid w:val="004431CF"/>
    <w:rsid w:val="004434F4"/>
    <w:rsid w:val="004439ED"/>
    <w:rsid w:val="00443D0E"/>
    <w:rsid w:val="004445BC"/>
    <w:rsid w:val="0044575C"/>
    <w:rsid w:val="00445E81"/>
    <w:rsid w:val="004461A4"/>
    <w:rsid w:val="004461D9"/>
    <w:rsid w:val="00446AC6"/>
    <w:rsid w:val="0044735D"/>
    <w:rsid w:val="0044759B"/>
    <w:rsid w:val="00447F54"/>
    <w:rsid w:val="0045037E"/>
    <w:rsid w:val="00450489"/>
    <w:rsid w:val="00450B7E"/>
    <w:rsid w:val="00450E41"/>
    <w:rsid w:val="00450E95"/>
    <w:rsid w:val="00451022"/>
    <w:rsid w:val="0045134F"/>
    <w:rsid w:val="0045136B"/>
    <w:rsid w:val="00451375"/>
    <w:rsid w:val="00451C7E"/>
    <w:rsid w:val="00452E5A"/>
    <w:rsid w:val="004533BB"/>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2745"/>
    <w:rsid w:val="00463690"/>
    <w:rsid w:val="00463C0A"/>
    <w:rsid w:val="00464458"/>
    <w:rsid w:val="004646B4"/>
    <w:rsid w:val="00464A88"/>
    <w:rsid w:val="00464B01"/>
    <w:rsid w:val="00464CDD"/>
    <w:rsid w:val="004651A0"/>
    <w:rsid w:val="004653A4"/>
    <w:rsid w:val="00465587"/>
    <w:rsid w:val="00465742"/>
    <w:rsid w:val="00466532"/>
    <w:rsid w:val="00467488"/>
    <w:rsid w:val="0047083E"/>
    <w:rsid w:val="004709A1"/>
    <w:rsid w:val="00470B8A"/>
    <w:rsid w:val="00470EB5"/>
    <w:rsid w:val="00471030"/>
    <w:rsid w:val="004713C3"/>
    <w:rsid w:val="00471F83"/>
    <w:rsid w:val="00472419"/>
    <w:rsid w:val="0047286B"/>
    <w:rsid w:val="00472E27"/>
    <w:rsid w:val="00472E55"/>
    <w:rsid w:val="00473356"/>
    <w:rsid w:val="0047352B"/>
    <w:rsid w:val="004740FC"/>
    <w:rsid w:val="00474220"/>
    <w:rsid w:val="00474801"/>
    <w:rsid w:val="00474913"/>
    <w:rsid w:val="00474DA2"/>
    <w:rsid w:val="00474E54"/>
    <w:rsid w:val="00474FBB"/>
    <w:rsid w:val="004752D3"/>
    <w:rsid w:val="0047542A"/>
    <w:rsid w:val="004754E1"/>
    <w:rsid w:val="004756AA"/>
    <w:rsid w:val="00475CE0"/>
    <w:rsid w:val="00476827"/>
    <w:rsid w:val="00476ABC"/>
    <w:rsid w:val="00476B36"/>
    <w:rsid w:val="00476BD4"/>
    <w:rsid w:val="00476D88"/>
    <w:rsid w:val="00477383"/>
    <w:rsid w:val="004777B7"/>
    <w:rsid w:val="00477AFD"/>
    <w:rsid w:val="00477C35"/>
    <w:rsid w:val="00477FB9"/>
    <w:rsid w:val="00480988"/>
    <w:rsid w:val="00480E05"/>
    <w:rsid w:val="00480F25"/>
    <w:rsid w:val="00480FBD"/>
    <w:rsid w:val="00481397"/>
    <w:rsid w:val="00481684"/>
    <w:rsid w:val="004816BE"/>
    <w:rsid w:val="00482BA7"/>
    <w:rsid w:val="00482BBE"/>
    <w:rsid w:val="00483A12"/>
    <w:rsid w:val="00483A42"/>
    <w:rsid w:val="00483BBB"/>
    <w:rsid w:val="00483C32"/>
    <w:rsid w:val="00483DE2"/>
    <w:rsid w:val="0048406A"/>
    <w:rsid w:val="0048481F"/>
    <w:rsid w:val="004848BA"/>
    <w:rsid w:val="00484A77"/>
    <w:rsid w:val="0048540F"/>
    <w:rsid w:val="00485970"/>
    <w:rsid w:val="00485BA7"/>
    <w:rsid w:val="00485C0D"/>
    <w:rsid w:val="00485C35"/>
    <w:rsid w:val="00485F47"/>
    <w:rsid w:val="00486028"/>
    <w:rsid w:val="00486575"/>
    <w:rsid w:val="004866D0"/>
    <w:rsid w:val="00486936"/>
    <w:rsid w:val="00486B8B"/>
    <w:rsid w:val="00487B59"/>
    <w:rsid w:val="00490589"/>
    <w:rsid w:val="004909C7"/>
    <w:rsid w:val="0049162F"/>
    <w:rsid w:val="00491DD9"/>
    <w:rsid w:val="004920B8"/>
    <w:rsid w:val="0049257F"/>
    <w:rsid w:val="004927EF"/>
    <w:rsid w:val="00492D44"/>
    <w:rsid w:val="00493895"/>
    <w:rsid w:val="00493C77"/>
    <w:rsid w:val="00494242"/>
    <w:rsid w:val="00494811"/>
    <w:rsid w:val="00494E8E"/>
    <w:rsid w:val="00494F26"/>
    <w:rsid w:val="004951FE"/>
    <w:rsid w:val="004954A7"/>
    <w:rsid w:val="004955BC"/>
    <w:rsid w:val="00495676"/>
    <w:rsid w:val="00495CB2"/>
    <w:rsid w:val="00495D63"/>
    <w:rsid w:val="0049629E"/>
    <w:rsid w:val="00496378"/>
    <w:rsid w:val="0049648F"/>
    <w:rsid w:val="00496606"/>
    <w:rsid w:val="00496F05"/>
    <w:rsid w:val="00497370"/>
    <w:rsid w:val="004974FA"/>
    <w:rsid w:val="004A0F39"/>
    <w:rsid w:val="004A152B"/>
    <w:rsid w:val="004A15F5"/>
    <w:rsid w:val="004A16C7"/>
    <w:rsid w:val="004A1B5B"/>
    <w:rsid w:val="004A1BA9"/>
    <w:rsid w:val="004A1D5F"/>
    <w:rsid w:val="004A251F"/>
    <w:rsid w:val="004A2C8C"/>
    <w:rsid w:val="004A3329"/>
    <w:rsid w:val="004A3874"/>
    <w:rsid w:val="004A3B6B"/>
    <w:rsid w:val="004A3BF1"/>
    <w:rsid w:val="004A3E42"/>
    <w:rsid w:val="004A3E58"/>
    <w:rsid w:val="004A4045"/>
    <w:rsid w:val="004A432C"/>
    <w:rsid w:val="004A436E"/>
    <w:rsid w:val="004A45C3"/>
    <w:rsid w:val="004A4715"/>
    <w:rsid w:val="004A5046"/>
    <w:rsid w:val="004A565E"/>
    <w:rsid w:val="004A5D55"/>
    <w:rsid w:val="004A5D73"/>
    <w:rsid w:val="004A5DF3"/>
    <w:rsid w:val="004A6134"/>
    <w:rsid w:val="004A63CA"/>
    <w:rsid w:val="004A7092"/>
    <w:rsid w:val="004A7427"/>
    <w:rsid w:val="004A7437"/>
    <w:rsid w:val="004A74BE"/>
    <w:rsid w:val="004A776F"/>
    <w:rsid w:val="004A79B4"/>
    <w:rsid w:val="004B0808"/>
    <w:rsid w:val="004B1C92"/>
    <w:rsid w:val="004B257F"/>
    <w:rsid w:val="004B3422"/>
    <w:rsid w:val="004B3A0F"/>
    <w:rsid w:val="004B44D6"/>
    <w:rsid w:val="004B49E6"/>
    <w:rsid w:val="004B4D69"/>
    <w:rsid w:val="004B4DE4"/>
    <w:rsid w:val="004B52FB"/>
    <w:rsid w:val="004B6378"/>
    <w:rsid w:val="004B6750"/>
    <w:rsid w:val="004B6A5A"/>
    <w:rsid w:val="004B6C16"/>
    <w:rsid w:val="004B6DFA"/>
    <w:rsid w:val="004B7E99"/>
    <w:rsid w:val="004C01A8"/>
    <w:rsid w:val="004C0C37"/>
    <w:rsid w:val="004C1840"/>
    <w:rsid w:val="004C24C9"/>
    <w:rsid w:val="004C252E"/>
    <w:rsid w:val="004C2B04"/>
    <w:rsid w:val="004C31B6"/>
    <w:rsid w:val="004C4D39"/>
    <w:rsid w:val="004C5319"/>
    <w:rsid w:val="004C5395"/>
    <w:rsid w:val="004C61F0"/>
    <w:rsid w:val="004C621F"/>
    <w:rsid w:val="004C6C17"/>
    <w:rsid w:val="004C71E2"/>
    <w:rsid w:val="004C73E6"/>
    <w:rsid w:val="004C7948"/>
    <w:rsid w:val="004C7BB8"/>
    <w:rsid w:val="004C7C60"/>
    <w:rsid w:val="004D0331"/>
    <w:rsid w:val="004D0A21"/>
    <w:rsid w:val="004D0B3E"/>
    <w:rsid w:val="004D0C61"/>
    <w:rsid w:val="004D0DFE"/>
    <w:rsid w:val="004D15C9"/>
    <w:rsid w:val="004D1D91"/>
    <w:rsid w:val="004D1D9E"/>
    <w:rsid w:val="004D22C3"/>
    <w:rsid w:val="004D2D7B"/>
    <w:rsid w:val="004D2E1A"/>
    <w:rsid w:val="004D3EFF"/>
    <w:rsid w:val="004D40AE"/>
    <w:rsid w:val="004D41C6"/>
    <w:rsid w:val="004D4417"/>
    <w:rsid w:val="004D4924"/>
    <w:rsid w:val="004D4D31"/>
    <w:rsid w:val="004D5B77"/>
    <w:rsid w:val="004D6F4D"/>
    <w:rsid w:val="004D6F95"/>
    <w:rsid w:val="004D70CF"/>
    <w:rsid w:val="004D72FE"/>
    <w:rsid w:val="004D7358"/>
    <w:rsid w:val="004D74B1"/>
    <w:rsid w:val="004D77A8"/>
    <w:rsid w:val="004D7E91"/>
    <w:rsid w:val="004D7EFF"/>
    <w:rsid w:val="004E003A"/>
    <w:rsid w:val="004E0396"/>
    <w:rsid w:val="004E0664"/>
    <w:rsid w:val="004E0768"/>
    <w:rsid w:val="004E1A31"/>
    <w:rsid w:val="004E1A62"/>
    <w:rsid w:val="004E1C6F"/>
    <w:rsid w:val="004E1CD8"/>
    <w:rsid w:val="004E2413"/>
    <w:rsid w:val="004E2971"/>
    <w:rsid w:val="004E298C"/>
    <w:rsid w:val="004E2DE0"/>
    <w:rsid w:val="004E4060"/>
    <w:rsid w:val="004E409A"/>
    <w:rsid w:val="004E4456"/>
    <w:rsid w:val="004E5D67"/>
    <w:rsid w:val="004E62CC"/>
    <w:rsid w:val="004E67BC"/>
    <w:rsid w:val="004E691C"/>
    <w:rsid w:val="004E7128"/>
    <w:rsid w:val="004E7A42"/>
    <w:rsid w:val="004E7B01"/>
    <w:rsid w:val="004E7C77"/>
    <w:rsid w:val="004E7C7A"/>
    <w:rsid w:val="004E7F04"/>
    <w:rsid w:val="004F016D"/>
    <w:rsid w:val="004F0632"/>
    <w:rsid w:val="004F0E25"/>
    <w:rsid w:val="004F0FB9"/>
    <w:rsid w:val="004F1C3B"/>
    <w:rsid w:val="004F1C8E"/>
    <w:rsid w:val="004F1EA8"/>
    <w:rsid w:val="004F2910"/>
    <w:rsid w:val="004F2F7E"/>
    <w:rsid w:val="004F32B5"/>
    <w:rsid w:val="004F3967"/>
    <w:rsid w:val="004F3A7B"/>
    <w:rsid w:val="004F407E"/>
    <w:rsid w:val="004F41E5"/>
    <w:rsid w:val="004F517A"/>
    <w:rsid w:val="004F5479"/>
    <w:rsid w:val="004F6C73"/>
    <w:rsid w:val="004F7528"/>
    <w:rsid w:val="004F7BCA"/>
    <w:rsid w:val="004F7D89"/>
    <w:rsid w:val="00501981"/>
    <w:rsid w:val="00501A85"/>
    <w:rsid w:val="00501BB3"/>
    <w:rsid w:val="005021DD"/>
    <w:rsid w:val="005026CA"/>
    <w:rsid w:val="00502842"/>
    <w:rsid w:val="00502B72"/>
    <w:rsid w:val="00502D50"/>
    <w:rsid w:val="00502FB1"/>
    <w:rsid w:val="0050376D"/>
    <w:rsid w:val="00504009"/>
    <w:rsid w:val="00504BC1"/>
    <w:rsid w:val="00504D67"/>
    <w:rsid w:val="00505134"/>
    <w:rsid w:val="005056C9"/>
    <w:rsid w:val="00505C04"/>
    <w:rsid w:val="005062B1"/>
    <w:rsid w:val="00506853"/>
    <w:rsid w:val="005076EC"/>
    <w:rsid w:val="005109C3"/>
    <w:rsid w:val="00511277"/>
    <w:rsid w:val="005118E5"/>
    <w:rsid w:val="00511F15"/>
    <w:rsid w:val="0051318C"/>
    <w:rsid w:val="0051344E"/>
    <w:rsid w:val="005142CD"/>
    <w:rsid w:val="005143C9"/>
    <w:rsid w:val="00514600"/>
    <w:rsid w:val="0051472E"/>
    <w:rsid w:val="00514C72"/>
    <w:rsid w:val="005157A9"/>
    <w:rsid w:val="0051685C"/>
    <w:rsid w:val="00516951"/>
    <w:rsid w:val="005173A7"/>
    <w:rsid w:val="005176D7"/>
    <w:rsid w:val="00517742"/>
    <w:rsid w:val="005177E1"/>
    <w:rsid w:val="00520C0A"/>
    <w:rsid w:val="005218B6"/>
    <w:rsid w:val="005219AF"/>
    <w:rsid w:val="00521C33"/>
    <w:rsid w:val="00522589"/>
    <w:rsid w:val="005227A9"/>
    <w:rsid w:val="00522835"/>
    <w:rsid w:val="0052283C"/>
    <w:rsid w:val="0052361E"/>
    <w:rsid w:val="00524204"/>
    <w:rsid w:val="00524489"/>
    <w:rsid w:val="00524545"/>
    <w:rsid w:val="00524937"/>
    <w:rsid w:val="00524A52"/>
    <w:rsid w:val="005255BF"/>
    <w:rsid w:val="00525739"/>
    <w:rsid w:val="005257DE"/>
    <w:rsid w:val="00526C15"/>
    <w:rsid w:val="00527200"/>
    <w:rsid w:val="00527802"/>
    <w:rsid w:val="00527DB3"/>
    <w:rsid w:val="00530157"/>
    <w:rsid w:val="005303DC"/>
    <w:rsid w:val="00530FEB"/>
    <w:rsid w:val="00531491"/>
    <w:rsid w:val="00531C1A"/>
    <w:rsid w:val="00531EBE"/>
    <w:rsid w:val="0053217E"/>
    <w:rsid w:val="00532F8B"/>
    <w:rsid w:val="00533737"/>
    <w:rsid w:val="005337D6"/>
    <w:rsid w:val="00533C1F"/>
    <w:rsid w:val="00533D23"/>
    <w:rsid w:val="00533D90"/>
    <w:rsid w:val="00533FD1"/>
    <w:rsid w:val="00535079"/>
    <w:rsid w:val="00535B79"/>
    <w:rsid w:val="00535D7C"/>
    <w:rsid w:val="00536579"/>
    <w:rsid w:val="00536C1E"/>
    <w:rsid w:val="00536DCF"/>
    <w:rsid w:val="005370EF"/>
    <w:rsid w:val="005372B4"/>
    <w:rsid w:val="005373F0"/>
    <w:rsid w:val="005377B6"/>
    <w:rsid w:val="00537D8A"/>
    <w:rsid w:val="00540230"/>
    <w:rsid w:val="0054046C"/>
    <w:rsid w:val="00540C95"/>
    <w:rsid w:val="005411F6"/>
    <w:rsid w:val="00541A7E"/>
    <w:rsid w:val="00541B25"/>
    <w:rsid w:val="00541CA7"/>
    <w:rsid w:val="005420A3"/>
    <w:rsid w:val="0054215C"/>
    <w:rsid w:val="0054285F"/>
    <w:rsid w:val="00542B49"/>
    <w:rsid w:val="00543424"/>
    <w:rsid w:val="0054343A"/>
    <w:rsid w:val="005437F3"/>
    <w:rsid w:val="0054385B"/>
    <w:rsid w:val="00543974"/>
    <w:rsid w:val="00543A10"/>
    <w:rsid w:val="00543EBF"/>
    <w:rsid w:val="00544939"/>
    <w:rsid w:val="00544ABA"/>
    <w:rsid w:val="005457C8"/>
    <w:rsid w:val="0054593A"/>
    <w:rsid w:val="0054615C"/>
    <w:rsid w:val="0054622F"/>
    <w:rsid w:val="0054657B"/>
    <w:rsid w:val="005467FB"/>
    <w:rsid w:val="00546AC8"/>
    <w:rsid w:val="00546AE9"/>
    <w:rsid w:val="00546CA8"/>
    <w:rsid w:val="00547588"/>
    <w:rsid w:val="00547989"/>
    <w:rsid w:val="00547F7F"/>
    <w:rsid w:val="00550975"/>
    <w:rsid w:val="00551320"/>
    <w:rsid w:val="005518A4"/>
    <w:rsid w:val="00552768"/>
    <w:rsid w:val="00552935"/>
    <w:rsid w:val="00552A30"/>
    <w:rsid w:val="00553127"/>
    <w:rsid w:val="005537D5"/>
    <w:rsid w:val="0055407C"/>
    <w:rsid w:val="005547C5"/>
    <w:rsid w:val="00554973"/>
    <w:rsid w:val="00554BE7"/>
    <w:rsid w:val="005556F9"/>
    <w:rsid w:val="00556368"/>
    <w:rsid w:val="00556BAC"/>
    <w:rsid w:val="00556D68"/>
    <w:rsid w:val="00556FA2"/>
    <w:rsid w:val="00557173"/>
    <w:rsid w:val="005575FE"/>
    <w:rsid w:val="005576A1"/>
    <w:rsid w:val="00557A64"/>
    <w:rsid w:val="00557F7A"/>
    <w:rsid w:val="00557FE1"/>
    <w:rsid w:val="005605C0"/>
    <w:rsid w:val="00560D23"/>
    <w:rsid w:val="005615D8"/>
    <w:rsid w:val="00561B5E"/>
    <w:rsid w:val="00561C06"/>
    <w:rsid w:val="00562152"/>
    <w:rsid w:val="005626D6"/>
    <w:rsid w:val="0056279A"/>
    <w:rsid w:val="005638D4"/>
    <w:rsid w:val="005643CA"/>
    <w:rsid w:val="00564F22"/>
    <w:rsid w:val="00565335"/>
    <w:rsid w:val="005656ED"/>
    <w:rsid w:val="00565C9E"/>
    <w:rsid w:val="0056653E"/>
    <w:rsid w:val="00566544"/>
    <w:rsid w:val="00566608"/>
    <w:rsid w:val="00566C83"/>
    <w:rsid w:val="005700FE"/>
    <w:rsid w:val="00570E24"/>
    <w:rsid w:val="00570FF8"/>
    <w:rsid w:val="00571430"/>
    <w:rsid w:val="00571AB7"/>
    <w:rsid w:val="00571BF7"/>
    <w:rsid w:val="00572760"/>
    <w:rsid w:val="00572B31"/>
    <w:rsid w:val="0057320B"/>
    <w:rsid w:val="005743DE"/>
    <w:rsid w:val="00574F3F"/>
    <w:rsid w:val="0057562C"/>
    <w:rsid w:val="005759F6"/>
    <w:rsid w:val="00575E3E"/>
    <w:rsid w:val="00575E60"/>
    <w:rsid w:val="00575FE7"/>
    <w:rsid w:val="005763B2"/>
    <w:rsid w:val="00576486"/>
    <w:rsid w:val="00576553"/>
    <w:rsid w:val="005765F5"/>
    <w:rsid w:val="00576D6C"/>
    <w:rsid w:val="0057748A"/>
    <w:rsid w:val="0057790E"/>
    <w:rsid w:val="00577A2E"/>
    <w:rsid w:val="00577ABA"/>
    <w:rsid w:val="005809A4"/>
    <w:rsid w:val="00580E48"/>
    <w:rsid w:val="00580F0A"/>
    <w:rsid w:val="00581246"/>
    <w:rsid w:val="00581E89"/>
    <w:rsid w:val="00582252"/>
    <w:rsid w:val="00582A6B"/>
    <w:rsid w:val="00582C3A"/>
    <w:rsid w:val="00582CE5"/>
    <w:rsid w:val="00582E1A"/>
    <w:rsid w:val="00583147"/>
    <w:rsid w:val="0058354F"/>
    <w:rsid w:val="00583938"/>
    <w:rsid w:val="00584416"/>
    <w:rsid w:val="00584874"/>
    <w:rsid w:val="00584B39"/>
    <w:rsid w:val="00585028"/>
    <w:rsid w:val="00585253"/>
    <w:rsid w:val="0058542E"/>
    <w:rsid w:val="005854D1"/>
    <w:rsid w:val="005856A2"/>
    <w:rsid w:val="0058590B"/>
    <w:rsid w:val="00585F5B"/>
    <w:rsid w:val="0058620A"/>
    <w:rsid w:val="00586303"/>
    <w:rsid w:val="00586877"/>
    <w:rsid w:val="0058796E"/>
    <w:rsid w:val="00587FC0"/>
    <w:rsid w:val="005900BD"/>
    <w:rsid w:val="005903DD"/>
    <w:rsid w:val="00590603"/>
    <w:rsid w:val="005906AD"/>
    <w:rsid w:val="00590985"/>
    <w:rsid w:val="00590DA6"/>
    <w:rsid w:val="00590FF4"/>
    <w:rsid w:val="00591341"/>
    <w:rsid w:val="005917A2"/>
    <w:rsid w:val="00591C7D"/>
    <w:rsid w:val="0059239D"/>
    <w:rsid w:val="00592A47"/>
    <w:rsid w:val="00592B03"/>
    <w:rsid w:val="00592EA7"/>
    <w:rsid w:val="00593449"/>
    <w:rsid w:val="0059349C"/>
    <w:rsid w:val="00593AB9"/>
    <w:rsid w:val="005947EE"/>
    <w:rsid w:val="00594ABB"/>
    <w:rsid w:val="00594D1C"/>
    <w:rsid w:val="00594E36"/>
    <w:rsid w:val="00594F0A"/>
    <w:rsid w:val="00595255"/>
    <w:rsid w:val="0059525E"/>
    <w:rsid w:val="00595887"/>
    <w:rsid w:val="00596123"/>
    <w:rsid w:val="005961F7"/>
    <w:rsid w:val="005962AD"/>
    <w:rsid w:val="005964BE"/>
    <w:rsid w:val="00596504"/>
    <w:rsid w:val="00596B9C"/>
    <w:rsid w:val="005979A9"/>
    <w:rsid w:val="005A04BA"/>
    <w:rsid w:val="005A054D"/>
    <w:rsid w:val="005A0A46"/>
    <w:rsid w:val="005A10B9"/>
    <w:rsid w:val="005A11EA"/>
    <w:rsid w:val="005A1BF0"/>
    <w:rsid w:val="005A1DB7"/>
    <w:rsid w:val="005A269F"/>
    <w:rsid w:val="005A305E"/>
    <w:rsid w:val="005A30BB"/>
    <w:rsid w:val="005A3887"/>
    <w:rsid w:val="005A3E23"/>
    <w:rsid w:val="005A57EA"/>
    <w:rsid w:val="005A5E23"/>
    <w:rsid w:val="005A626B"/>
    <w:rsid w:val="005A6410"/>
    <w:rsid w:val="005A6521"/>
    <w:rsid w:val="005A77C2"/>
    <w:rsid w:val="005B02C1"/>
    <w:rsid w:val="005B0542"/>
    <w:rsid w:val="005B1C65"/>
    <w:rsid w:val="005B1FD1"/>
    <w:rsid w:val="005B2225"/>
    <w:rsid w:val="005B2799"/>
    <w:rsid w:val="005B2B77"/>
    <w:rsid w:val="005B3330"/>
    <w:rsid w:val="005B39F0"/>
    <w:rsid w:val="005B3D4A"/>
    <w:rsid w:val="005B4D87"/>
    <w:rsid w:val="005B4F68"/>
    <w:rsid w:val="005B519B"/>
    <w:rsid w:val="005B54CD"/>
    <w:rsid w:val="005B6111"/>
    <w:rsid w:val="005B6577"/>
    <w:rsid w:val="005B6922"/>
    <w:rsid w:val="005B774F"/>
    <w:rsid w:val="005B77D9"/>
    <w:rsid w:val="005B7DD1"/>
    <w:rsid w:val="005C00A0"/>
    <w:rsid w:val="005C086C"/>
    <w:rsid w:val="005C0A1E"/>
    <w:rsid w:val="005C14CA"/>
    <w:rsid w:val="005C1768"/>
    <w:rsid w:val="005C176C"/>
    <w:rsid w:val="005C1F42"/>
    <w:rsid w:val="005C28FA"/>
    <w:rsid w:val="005C36FD"/>
    <w:rsid w:val="005C37E4"/>
    <w:rsid w:val="005C40F4"/>
    <w:rsid w:val="005C43BE"/>
    <w:rsid w:val="005C44F3"/>
    <w:rsid w:val="005C4BBD"/>
    <w:rsid w:val="005C5967"/>
    <w:rsid w:val="005C5CCE"/>
    <w:rsid w:val="005C658D"/>
    <w:rsid w:val="005C67E4"/>
    <w:rsid w:val="005C6C52"/>
    <w:rsid w:val="005C6E4A"/>
    <w:rsid w:val="005C712D"/>
    <w:rsid w:val="005C7C75"/>
    <w:rsid w:val="005D01D4"/>
    <w:rsid w:val="005D0784"/>
    <w:rsid w:val="005D09FA"/>
    <w:rsid w:val="005D0E4F"/>
    <w:rsid w:val="005D141D"/>
    <w:rsid w:val="005D1E32"/>
    <w:rsid w:val="005D1E47"/>
    <w:rsid w:val="005D206B"/>
    <w:rsid w:val="005D2100"/>
    <w:rsid w:val="005D22B7"/>
    <w:rsid w:val="005D2BDE"/>
    <w:rsid w:val="005D3D76"/>
    <w:rsid w:val="005D41C5"/>
    <w:rsid w:val="005D4578"/>
    <w:rsid w:val="005D4760"/>
    <w:rsid w:val="005D4EFA"/>
    <w:rsid w:val="005D4F01"/>
    <w:rsid w:val="005D5455"/>
    <w:rsid w:val="005D554D"/>
    <w:rsid w:val="005D55BA"/>
    <w:rsid w:val="005D55D4"/>
    <w:rsid w:val="005D573B"/>
    <w:rsid w:val="005D5ADB"/>
    <w:rsid w:val="005D648A"/>
    <w:rsid w:val="005D6883"/>
    <w:rsid w:val="005D6959"/>
    <w:rsid w:val="005D706C"/>
    <w:rsid w:val="005D7E0D"/>
    <w:rsid w:val="005E0355"/>
    <w:rsid w:val="005E0623"/>
    <w:rsid w:val="005E0B3F"/>
    <w:rsid w:val="005E1FBC"/>
    <w:rsid w:val="005E234A"/>
    <w:rsid w:val="005E2867"/>
    <w:rsid w:val="005E35CC"/>
    <w:rsid w:val="005E371E"/>
    <w:rsid w:val="005E4140"/>
    <w:rsid w:val="005E53F9"/>
    <w:rsid w:val="005E5901"/>
    <w:rsid w:val="005E5BB6"/>
    <w:rsid w:val="005E5E9E"/>
    <w:rsid w:val="005E7614"/>
    <w:rsid w:val="005E775D"/>
    <w:rsid w:val="005F0551"/>
    <w:rsid w:val="005F0A43"/>
    <w:rsid w:val="005F0E91"/>
    <w:rsid w:val="005F0F4E"/>
    <w:rsid w:val="005F1086"/>
    <w:rsid w:val="005F1498"/>
    <w:rsid w:val="005F1C11"/>
    <w:rsid w:val="005F25A0"/>
    <w:rsid w:val="005F27BF"/>
    <w:rsid w:val="005F2CBE"/>
    <w:rsid w:val="005F3D1F"/>
    <w:rsid w:val="005F4171"/>
    <w:rsid w:val="005F46D6"/>
    <w:rsid w:val="005F4B64"/>
    <w:rsid w:val="005F4DD6"/>
    <w:rsid w:val="005F50D8"/>
    <w:rsid w:val="005F53A1"/>
    <w:rsid w:val="005F5879"/>
    <w:rsid w:val="005F5A01"/>
    <w:rsid w:val="005F5DAB"/>
    <w:rsid w:val="005F6B77"/>
    <w:rsid w:val="005F7487"/>
    <w:rsid w:val="005F753E"/>
    <w:rsid w:val="005F7625"/>
    <w:rsid w:val="006002C7"/>
    <w:rsid w:val="00600EFB"/>
    <w:rsid w:val="00600F95"/>
    <w:rsid w:val="00601725"/>
    <w:rsid w:val="00601839"/>
    <w:rsid w:val="00602759"/>
    <w:rsid w:val="0060277A"/>
    <w:rsid w:val="00602788"/>
    <w:rsid w:val="00602A80"/>
    <w:rsid w:val="00602B7C"/>
    <w:rsid w:val="00603312"/>
    <w:rsid w:val="00603FB5"/>
    <w:rsid w:val="006046BF"/>
    <w:rsid w:val="00604DC7"/>
    <w:rsid w:val="00604E47"/>
    <w:rsid w:val="00605441"/>
    <w:rsid w:val="006064BD"/>
    <w:rsid w:val="006064C2"/>
    <w:rsid w:val="00606821"/>
    <w:rsid w:val="006068A8"/>
    <w:rsid w:val="00606970"/>
    <w:rsid w:val="00606A20"/>
    <w:rsid w:val="006072C6"/>
    <w:rsid w:val="00607A2E"/>
    <w:rsid w:val="00607AA4"/>
    <w:rsid w:val="00607D8D"/>
    <w:rsid w:val="00607DCE"/>
    <w:rsid w:val="00607F2E"/>
    <w:rsid w:val="00610D72"/>
    <w:rsid w:val="00612000"/>
    <w:rsid w:val="006130F7"/>
    <w:rsid w:val="00613AF8"/>
    <w:rsid w:val="00613D8E"/>
    <w:rsid w:val="006142E0"/>
    <w:rsid w:val="0061444B"/>
    <w:rsid w:val="00614454"/>
    <w:rsid w:val="00614DD1"/>
    <w:rsid w:val="00616112"/>
    <w:rsid w:val="00617066"/>
    <w:rsid w:val="00617234"/>
    <w:rsid w:val="00617332"/>
    <w:rsid w:val="006173CF"/>
    <w:rsid w:val="006175A0"/>
    <w:rsid w:val="00617C52"/>
    <w:rsid w:val="00617CF5"/>
    <w:rsid w:val="00620035"/>
    <w:rsid w:val="006205CA"/>
    <w:rsid w:val="00621AA2"/>
    <w:rsid w:val="00621F53"/>
    <w:rsid w:val="00622E2A"/>
    <w:rsid w:val="00622FD6"/>
    <w:rsid w:val="00623089"/>
    <w:rsid w:val="0062308E"/>
    <w:rsid w:val="006234C4"/>
    <w:rsid w:val="006234FD"/>
    <w:rsid w:val="00623A6F"/>
    <w:rsid w:val="00623B34"/>
    <w:rsid w:val="006244C9"/>
    <w:rsid w:val="006245F6"/>
    <w:rsid w:val="0062460E"/>
    <w:rsid w:val="0062475D"/>
    <w:rsid w:val="0062495F"/>
    <w:rsid w:val="0062496B"/>
    <w:rsid w:val="006257B8"/>
    <w:rsid w:val="0062651B"/>
    <w:rsid w:val="0062660B"/>
    <w:rsid w:val="00626943"/>
    <w:rsid w:val="00626AD1"/>
    <w:rsid w:val="00626EAD"/>
    <w:rsid w:val="006272A4"/>
    <w:rsid w:val="006277E9"/>
    <w:rsid w:val="00627A58"/>
    <w:rsid w:val="006300E9"/>
    <w:rsid w:val="006304BC"/>
    <w:rsid w:val="006305D4"/>
    <w:rsid w:val="00630DCE"/>
    <w:rsid w:val="0063120A"/>
    <w:rsid w:val="0063150B"/>
    <w:rsid w:val="00631585"/>
    <w:rsid w:val="00632303"/>
    <w:rsid w:val="00634ACF"/>
    <w:rsid w:val="00634BC4"/>
    <w:rsid w:val="00635035"/>
    <w:rsid w:val="0063580D"/>
    <w:rsid w:val="00635CAE"/>
    <w:rsid w:val="00635CB2"/>
    <w:rsid w:val="00637240"/>
    <w:rsid w:val="0063791B"/>
    <w:rsid w:val="0063793A"/>
    <w:rsid w:val="00637C5D"/>
    <w:rsid w:val="00641457"/>
    <w:rsid w:val="00641C43"/>
    <w:rsid w:val="006425F7"/>
    <w:rsid w:val="00643607"/>
    <w:rsid w:val="00643660"/>
    <w:rsid w:val="006446E6"/>
    <w:rsid w:val="006447DC"/>
    <w:rsid w:val="006448A9"/>
    <w:rsid w:val="00644C95"/>
    <w:rsid w:val="00644F15"/>
    <w:rsid w:val="006450EE"/>
    <w:rsid w:val="00645361"/>
    <w:rsid w:val="0064566B"/>
    <w:rsid w:val="00645817"/>
    <w:rsid w:val="00646711"/>
    <w:rsid w:val="00646A82"/>
    <w:rsid w:val="006475AB"/>
    <w:rsid w:val="00647CBC"/>
    <w:rsid w:val="00650139"/>
    <w:rsid w:val="006504F1"/>
    <w:rsid w:val="00650ADA"/>
    <w:rsid w:val="00651704"/>
    <w:rsid w:val="0065185B"/>
    <w:rsid w:val="00652756"/>
    <w:rsid w:val="00652AD8"/>
    <w:rsid w:val="00652B79"/>
    <w:rsid w:val="00652BFE"/>
    <w:rsid w:val="00652E08"/>
    <w:rsid w:val="006533C3"/>
    <w:rsid w:val="00653C12"/>
    <w:rsid w:val="00654068"/>
    <w:rsid w:val="00654285"/>
    <w:rsid w:val="0065479C"/>
    <w:rsid w:val="00654B38"/>
    <w:rsid w:val="00654B83"/>
    <w:rsid w:val="00655061"/>
    <w:rsid w:val="0065510C"/>
    <w:rsid w:val="0065565F"/>
    <w:rsid w:val="0065589D"/>
    <w:rsid w:val="00655B63"/>
    <w:rsid w:val="006561FB"/>
    <w:rsid w:val="006571F6"/>
    <w:rsid w:val="00660DDD"/>
    <w:rsid w:val="006613F4"/>
    <w:rsid w:val="006618CC"/>
    <w:rsid w:val="00661ACB"/>
    <w:rsid w:val="00661E09"/>
    <w:rsid w:val="00661E62"/>
    <w:rsid w:val="00661F16"/>
    <w:rsid w:val="00662111"/>
    <w:rsid w:val="00662118"/>
    <w:rsid w:val="006626CE"/>
    <w:rsid w:val="00662E2F"/>
    <w:rsid w:val="006638AD"/>
    <w:rsid w:val="00664B27"/>
    <w:rsid w:val="00664E11"/>
    <w:rsid w:val="0066535B"/>
    <w:rsid w:val="00666487"/>
    <w:rsid w:val="00666BC8"/>
    <w:rsid w:val="006671AE"/>
    <w:rsid w:val="0066732C"/>
    <w:rsid w:val="006679F5"/>
    <w:rsid w:val="00667A0F"/>
    <w:rsid w:val="00667B77"/>
    <w:rsid w:val="00667D81"/>
    <w:rsid w:val="00667E52"/>
    <w:rsid w:val="00670011"/>
    <w:rsid w:val="0067013A"/>
    <w:rsid w:val="006706F5"/>
    <w:rsid w:val="00670F07"/>
    <w:rsid w:val="0067150C"/>
    <w:rsid w:val="006716DA"/>
    <w:rsid w:val="0067211F"/>
    <w:rsid w:val="00672893"/>
    <w:rsid w:val="006728ED"/>
    <w:rsid w:val="00672DF1"/>
    <w:rsid w:val="006732B1"/>
    <w:rsid w:val="00673980"/>
    <w:rsid w:val="00673DA5"/>
    <w:rsid w:val="006742D9"/>
    <w:rsid w:val="0067446F"/>
    <w:rsid w:val="006745A0"/>
    <w:rsid w:val="006746A4"/>
    <w:rsid w:val="006749CF"/>
    <w:rsid w:val="00674D86"/>
    <w:rsid w:val="00674F38"/>
    <w:rsid w:val="00675558"/>
    <w:rsid w:val="00675611"/>
    <w:rsid w:val="00675A60"/>
    <w:rsid w:val="00675BE2"/>
    <w:rsid w:val="00675DDE"/>
    <w:rsid w:val="006763D7"/>
    <w:rsid w:val="0067697E"/>
    <w:rsid w:val="00676CD5"/>
    <w:rsid w:val="0067721A"/>
    <w:rsid w:val="00677443"/>
    <w:rsid w:val="0067769A"/>
    <w:rsid w:val="00677B6A"/>
    <w:rsid w:val="00680022"/>
    <w:rsid w:val="006806A3"/>
    <w:rsid w:val="006806A6"/>
    <w:rsid w:val="006807FF"/>
    <w:rsid w:val="00680AE9"/>
    <w:rsid w:val="00680BA3"/>
    <w:rsid w:val="00680C38"/>
    <w:rsid w:val="0068118B"/>
    <w:rsid w:val="00681211"/>
    <w:rsid w:val="0068125F"/>
    <w:rsid w:val="00681464"/>
    <w:rsid w:val="00681B36"/>
    <w:rsid w:val="00682D81"/>
    <w:rsid w:val="00682E14"/>
    <w:rsid w:val="006834BB"/>
    <w:rsid w:val="00683739"/>
    <w:rsid w:val="00683B5F"/>
    <w:rsid w:val="00683CEC"/>
    <w:rsid w:val="0068436C"/>
    <w:rsid w:val="00684F8B"/>
    <w:rsid w:val="006851C4"/>
    <w:rsid w:val="006851FE"/>
    <w:rsid w:val="0068545E"/>
    <w:rsid w:val="00685FD4"/>
    <w:rsid w:val="006860A2"/>
    <w:rsid w:val="00686612"/>
    <w:rsid w:val="0068661E"/>
    <w:rsid w:val="006874F0"/>
    <w:rsid w:val="006909D1"/>
    <w:rsid w:val="00690A49"/>
    <w:rsid w:val="00690AED"/>
    <w:rsid w:val="00690B11"/>
    <w:rsid w:val="00690BB6"/>
    <w:rsid w:val="0069135B"/>
    <w:rsid w:val="00691610"/>
    <w:rsid w:val="00691B30"/>
    <w:rsid w:val="00692012"/>
    <w:rsid w:val="00692CA4"/>
    <w:rsid w:val="00693E1F"/>
    <w:rsid w:val="00693ECB"/>
    <w:rsid w:val="00694097"/>
    <w:rsid w:val="00694482"/>
    <w:rsid w:val="00694797"/>
    <w:rsid w:val="00694DFF"/>
    <w:rsid w:val="00694F2D"/>
    <w:rsid w:val="00695246"/>
    <w:rsid w:val="00695257"/>
    <w:rsid w:val="00695887"/>
    <w:rsid w:val="00695C40"/>
    <w:rsid w:val="00695F6D"/>
    <w:rsid w:val="00697068"/>
    <w:rsid w:val="006972C8"/>
    <w:rsid w:val="0069751A"/>
    <w:rsid w:val="00697733"/>
    <w:rsid w:val="006A0BBE"/>
    <w:rsid w:val="006A139F"/>
    <w:rsid w:val="006A254E"/>
    <w:rsid w:val="006A285F"/>
    <w:rsid w:val="006A2C30"/>
    <w:rsid w:val="006A301C"/>
    <w:rsid w:val="006A307F"/>
    <w:rsid w:val="006A35F9"/>
    <w:rsid w:val="006A3E2B"/>
    <w:rsid w:val="006A3FF2"/>
    <w:rsid w:val="006A4DED"/>
    <w:rsid w:val="006A6262"/>
    <w:rsid w:val="006A6B8E"/>
    <w:rsid w:val="006A6E17"/>
    <w:rsid w:val="006A775D"/>
    <w:rsid w:val="006A7CB6"/>
    <w:rsid w:val="006A7D2F"/>
    <w:rsid w:val="006B11FC"/>
    <w:rsid w:val="006B120D"/>
    <w:rsid w:val="006B17E7"/>
    <w:rsid w:val="006B19E8"/>
    <w:rsid w:val="006B1A8A"/>
    <w:rsid w:val="006B1FD5"/>
    <w:rsid w:val="006B24D6"/>
    <w:rsid w:val="006B28FF"/>
    <w:rsid w:val="006B2CF2"/>
    <w:rsid w:val="006B2F57"/>
    <w:rsid w:val="006B36D9"/>
    <w:rsid w:val="006B3B9C"/>
    <w:rsid w:val="006B475C"/>
    <w:rsid w:val="006B4EF8"/>
    <w:rsid w:val="006B506C"/>
    <w:rsid w:val="006B555A"/>
    <w:rsid w:val="006B5BD6"/>
    <w:rsid w:val="006B600A"/>
    <w:rsid w:val="006B6635"/>
    <w:rsid w:val="006B6D3E"/>
    <w:rsid w:val="006B7466"/>
    <w:rsid w:val="006B7A69"/>
    <w:rsid w:val="006B7D22"/>
    <w:rsid w:val="006B7D2C"/>
    <w:rsid w:val="006C0957"/>
    <w:rsid w:val="006C0A5D"/>
    <w:rsid w:val="006C1019"/>
    <w:rsid w:val="006C2006"/>
    <w:rsid w:val="006C2BB5"/>
    <w:rsid w:val="006C2BEE"/>
    <w:rsid w:val="006C2C71"/>
    <w:rsid w:val="006C2E78"/>
    <w:rsid w:val="006C3AD8"/>
    <w:rsid w:val="006C4516"/>
    <w:rsid w:val="006C455E"/>
    <w:rsid w:val="006C5393"/>
    <w:rsid w:val="006C5958"/>
    <w:rsid w:val="006C5B4F"/>
    <w:rsid w:val="006C5F03"/>
    <w:rsid w:val="006C643C"/>
    <w:rsid w:val="006C6E3A"/>
    <w:rsid w:val="006C6FD7"/>
    <w:rsid w:val="006C7D8A"/>
    <w:rsid w:val="006D00DB"/>
    <w:rsid w:val="006D0327"/>
    <w:rsid w:val="006D0361"/>
    <w:rsid w:val="006D03BF"/>
    <w:rsid w:val="006D0472"/>
    <w:rsid w:val="006D0E17"/>
    <w:rsid w:val="006D16B0"/>
    <w:rsid w:val="006D2182"/>
    <w:rsid w:val="006D2444"/>
    <w:rsid w:val="006D254B"/>
    <w:rsid w:val="006D2736"/>
    <w:rsid w:val="006D2835"/>
    <w:rsid w:val="006D289B"/>
    <w:rsid w:val="006D3A5D"/>
    <w:rsid w:val="006D3BE1"/>
    <w:rsid w:val="006D48FC"/>
    <w:rsid w:val="006D54ED"/>
    <w:rsid w:val="006D5D0E"/>
    <w:rsid w:val="006D6055"/>
    <w:rsid w:val="006D62BC"/>
    <w:rsid w:val="006D6450"/>
    <w:rsid w:val="006D68DA"/>
    <w:rsid w:val="006D6939"/>
    <w:rsid w:val="006D6B77"/>
    <w:rsid w:val="006D6F42"/>
    <w:rsid w:val="006D7EB0"/>
    <w:rsid w:val="006E0138"/>
    <w:rsid w:val="006E06E9"/>
    <w:rsid w:val="006E0BB0"/>
    <w:rsid w:val="006E12C3"/>
    <w:rsid w:val="006E1BFB"/>
    <w:rsid w:val="006E20DA"/>
    <w:rsid w:val="006E2407"/>
    <w:rsid w:val="006E2529"/>
    <w:rsid w:val="006E25F9"/>
    <w:rsid w:val="006E27E2"/>
    <w:rsid w:val="006E2A36"/>
    <w:rsid w:val="006E2B19"/>
    <w:rsid w:val="006E3165"/>
    <w:rsid w:val="006E3343"/>
    <w:rsid w:val="006E3DA8"/>
    <w:rsid w:val="006E4156"/>
    <w:rsid w:val="006E445F"/>
    <w:rsid w:val="006E45F3"/>
    <w:rsid w:val="006E4A2F"/>
    <w:rsid w:val="006E4ED4"/>
    <w:rsid w:val="006E5E19"/>
    <w:rsid w:val="006E61C3"/>
    <w:rsid w:val="006E6577"/>
    <w:rsid w:val="006E6764"/>
    <w:rsid w:val="006E688C"/>
    <w:rsid w:val="006E70D3"/>
    <w:rsid w:val="006E75E3"/>
    <w:rsid w:val="006E799D"/>
    <w:rsid w:val="006F0593"/>
    <w:rsid w:val="006F1064"/>
    <w:rsid w:val="006F168A"/>
    <w:rsid w:val="006F1B76"/>
    <w:rsid w:val="006F1C45"/>
    <w:rsid w:val="006F1EB7"/>
    <w:rsid w:val="006F1FFC"/>
    <w:rsid w:val="006F21CC"/>
    <w:rsid w:val="006F3616"/>
    <w:rsid w:val="006F45DF"/>
    <w:rsid w:val="006F49EF"/>
    <w:rsid w:val="006F4BE0"/>
    <w:rsid w:val="006F4F96"/>
    <w:rsid w:val="006F50EA"/>
    <w:rsid w:val="006F52E5"/>
    <w:rsid w:val="006F52FF"/>
    <w:rsid w:val="006F54E1"/>
    <w:rsid w:val="006F56B5"/>
    <w:rsid w:val="006F6066"/>
    <w:rsid w:val="006F615E"/>
    <w:rsid w:val="006F6850"/>
    <w:rsid w:val="006F6930"/>
    <w:rsid w:val="006F6BA1"/>
    <w:rsid w:val="006F6CAF"/>
    <w:rsid w:val="006F6FA1"/>
    <w:rsid w:val="006F707E"/>
    <w:rsid w:val="006F765B"/>
    <w:rsid w:val="007001DC"/>
    <w:rsid w:val="007003D1"/>
    <w:rsid w:val="007012AC"/>
    <w:rsid w:val="007015D6"/>
    <w:rsid w:val="007025CB"/>
    <w:rsid w:val="007032E3"/>
    <w:rsid w:val="007034AA"/>
    <w:rsid w:val="007038CC"/>
    <w:rsid w:val="00703C5D"/>
    <w:rsid w:val="00703C9D"/>
    <w:rsid w:val="00704878"/>
    <w:rsid w:val="0070490C"/>
    <w:rsid w:val="00705128"/>
    <w:rsid w:val="007053D1"/>
    <w:rsid w:val="007054F5"/>
    <w:rsid w:val="00705AFB"/>
    <w:rsid w:val="00705C38"/>
    <w:rsid w:val="007060B1"/>
    <w:rsid w:val="00706222"/>
    <w:rsid w:val="00706465"/>
    <w:rsid w:val="0070695A"/>
    <w:rsid w:val="007072EB"/>
    <w:rsid w:val="00707313"/>
    <w:rsid w:val="00707365"/>
    <w:rsid w:val="0070782D"/>
    <w:rsid w:val="00707D16"/>
    <w:rsid w:val="007109C2"/>
    <w:rsid w:val="00711250"/>
    <w:rsid w:val="00711340"/>
    <w:rsid w:val="00711901"/>
    <w:rsid w:val="00711D0C"/>
    <w:rsid w:val="00712A12"/>
    <w:rsid w:val="00712C42"/>
    <w:rsid w:val="0071312C"/>
    <w:rsid w:val="007136E0"/>
    <w:rsid w:val="00713DE4"/>
    <w:rsid w:val="00714C47"/>
    <w:rsid w:val="007157CD"/>
    <w:rsid w:val="00715A9F"/>
    <w:rsid w:val="0071613F"/>
    <w:rsid w:val="007161CC"/>
    <w:rsid w:val="00716462"/>
    <w:rsid w:val="00716778"/>
    <w:rsid w:val="00717CCE"/>
    <w:rsid w:val="00717EDB"/>
    <w:rsid w:val="00717F1D"/>
    <w:rsid w:val="00720093"/>
    <w:rsid w:val="00721084"/>
    <w:rsid w:val="00721262"/>
    <w:rsid w:val="00721D9B"/>
    <w:rsid w:val="00721E63"/>
    <w:rsid w:val="00722121"/>
    <w:rsid w:val="007224B9"/>
    <w:rsid w:val="00722A3C"/>
    <w:rsid w:val="00722F94"/>
    <w:rsid w:val="00722FC3"/>
    <w:rsid w:val="007237EC"/>
    <w:rsid w:val="00723AA7"/>
    <w:rsid w:val="0072432E"/>
    <w:rsid w:val="00724388"/>
    <w:rsid w:val="0072530E"/>
    <w:rsid w:val="00725646"/>
    <w:rsid w:val="00725C99"/>
    <w:rsid w:val="00726036"/>
    <w:rsid w:val="00726279"/>
    <w:rsid w:val="0072692D"/>
    <w:rsid w:val="00726A9B"/>
    <w:rsid w:val="00726D75"/>
    <w:rsid w:val="00726E28"/>
    <w:rsid w:val="00727530"/>
    <w:rsid w:val="0072757A"/>
    <w:rsid w:val="007275F1"/>
    <w:rsid w:val="0073108E"/>
    <w:rsid w:val="007311C4"/>
    <w:rsid w:val="007314F0"/>
    <w:rsid w:val="00731E7C"/>
    <w:rsid w:val="007329EF"/>
    <w:rsid w:val="0073327A"/>
    <w:rsid w:val="00734220"/>
    <w:rsid w:val="00734539"/>
    <w:rsid w:val="007347A5"/>
    <w:rsid w:val="00734EBE"/>
    <w:rsid w:val="00734F68"/>
    <w:rsid w:val="00735549"/>
    <w:rsid w:val="007358F9"/>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3A9F"/>
    <w:rsid w:val="00744107"/>
    <w:rsid w:val="007441D4"/>
    <w:rsid w:val="00744278"/>
    <w:rsid w:val="007446B8"/>
    <w:rsid w:val="007448CE"/>
    <w:rsid w:val="00744A26"/>
    <w:rsid w:val="00744A64"/>
    <w:rsid w:val="00744D47"/>
    <w:rsid w:val="00744EA0"/>
    <w:rsid w:val="007451CB"/>
    <w:rsid w:val="007458AF"/>
    <w:rsid w:val="0074638D"/>
    <w:rsid w:val="00746484"/>
    <w:rsid w:val="007464F4"/>
    <w:rsid w:val="0074704F"/>
    <w:rsid w:val="0074787C"/>
    <w:rsid w:val="00747B64"/>
    <w:rsid w:val="00747D58"/>
    <w:rsid w:val="00747DC4"/>
    <w:rsid w:val="00747F48"/>
    <w:rsid w:val="00747F4C"/>
    <w:rsid w:val="00750721"/>
    <w:rsid w:val="00751091"/>
    <w:rsid w:val="00751B83"/>
    <w:rsid w:val="00751CF0"/>
    <w:rsid w:val="0075268B"/>
    <w:rsid w:val="00752A3D"/>
    <w:rsid w:val="00753191"/>
    <w:rsid w:val="00753996"/>
    <w:rsid w:val="00754359"/>
    <w:rsid w:val="00754411"/>
    <w:rsid w:val="00754BD9"/>
    <w:rsid w:val="00754E7A"/>
    <w:rsid w:val="0075540C"/>
    <w:rsid w:val="00755DB1"/>
    <w:rsid w:val="00756376"/>
    <w:rsid w:val="00756A33"/>
    <w:rsid w:val="007574FC"/>
    <w:rsid w:val="0075790B"/>
    <w:rsid w:val="00757BA1"/>
    <w:rsid w:val="007603F1"/>
    <w:rsid w:val="00760975"/>
    <w:rsid w:val="00761A5B"/>
    <w:rsid w:val="00761FDA"/>
    <w:rsid w:val="007621FF"/>
    <w:rsid w:val="0076240E"/>
    <w:rsid w:val="007634E3"/>
    <w:rsid w:val="00764194"/>
    <w:rsid w:val="0076443E"/>
    <w:rsid w:val="00765ED3"/>
    <w:rsid w:val="00766160"/>
    <w:rsid w:val="0076681D"/>
    <w:rsid w:val="00766A65"/>
    <w:rsid w:val="00766F25"/>
    <w:rsid w:val="007670BB"/>
    <w:rsid w:val="007671F5"/>
    <w:rsid w:val="007676B8"/>
    <w:rsid w:val="00770C8E"/>
    <w:rsid w:val="00770E85"/>
    <w:rsid w:val="0077175C"/>
    <w:rsid w:val="00771869"/>
    <w:rsid w:val="00771870"/>
    <w:rsid w:val="00771BF9"/>
    <w:rsid w:val="00772F8A"/>
    <w:rsid w:val="0077305E"/>
    <w:rsid w:val="00773641"/>
    <w:rsid w:val="007739C6"/>
    <w:rsid w:val="00773DB7"/>
    <w:rsid w:val="00774889"/>
    <w:rsid w:val="00774FF5"/>
    <w:rsid w:val="007750B3"/>
    <w:rsid w:val="00775F76"/>
    <w:rsid w:val="00776AEA"/>
    <w:rsid w:val="00776E11"/>
    <w:rsid w:val="00777BA0"/>
    <w:rsid w:val="007803BD"/>
    <w:rsid w:val="00780507"/>
    <w:rsid w:val="00781147"/>
    <w:rsid w:val="007811DC"/>
    <w:rsid w:val="007814EF"/>
    <w:rsid w:val="00781C62"/>
    <w:rsid w:val="007820FA"/>
    <w:rsid w:val="00782371"/>
    <w:rsid w:val="0078285F"/>
    <w:rsid w:val="00783207"/>
    <w:rsid w:val="0078346F"/>
    <w:rsid w:val="0078365D"/>
    <w:rsid w:val="00783D57"/>
    <w:rsid w:val="00783E1D"/>
    <w:rsid w:val="007846A9"/>
    <w:rsid w:val="0078483B"/>
    <w:rsid w:val="00784C52"/>
    <w:rsid w:val="00784EED"/>
    <w:rsid w:val="007851E8"/>
    <w:rsid w:val="00785900"/>
    <w:rsid w:val="00785D3A"/>
    <w:rsid w:val="007861D0"/>
    <w:rsid w:val="00786810"/>
    <w:rsid w:val="00786958"/>
    <w:rsid w:val="00786A97"/>
    <w:rsid w:val="00786DD3"/>
    <w:rsid w:val="00786E71"/>
    <w:rsid w:val="00786F34"/>
    <w:rsid w:val="007908F8"/>
    <w:rsid w:val="0079162F"/>
    <w:rsid w:val="00793117"/>
    <w:rsid w:val="0079317F"/>
    <w:rsid w:val="007931AF"/>
    <w:rsid w:val="00794579"/>
    <w:rsid w:val="00794924"/>
    <w:rsid w:val="0079506E"/>
    <w:rsid w:val="007956B8"/>
    <w:rsid w:val="007963FD"/>
    <w:rsid w:val="007A09F9"/>
    <w:rsid w:val="007A0BAF"/>
    <w:rsid w:val="007A0BC2"/>
    <w:rsid w:val="007A0BE4"/>
    <w:rsid w:val="007A147D"/>
    <w:rsid w:val="007A1E01"/>
    <w:rsid w:val="007A1F44"/>
    <w:rsid w:val="007A2115"/>
    <w:rsid w:val="007A23FF"/>
    <w:rsid w:val="007A25D6"/>
    <w:rsid w:val="007A295B"/>
    <w:rsid w:val="007A30B6"/>
    <w:rsid w:val="007A3424"/>
    <w:rsid w:val="007A35EF"/>
    <w:rsid w:val="007A40BB"/>
    <w:rsid w:val="007A43A2"/>
    <w:rsid w:val="007A4D04"/>
    <w:rsid w:val="007A59F6"/>
    <w:rsid w:val="007A6941"/>
    <w:rsid w:val="007A7A96"/>
    <w:rsid w:val="007B0085"/>
    <w:rsid w:val="007B03AF"/>
    <w:rsid w:val="007B0D96"/>
    <w:rsid w:val="007B1543"/>
    <w:rsid w:val="007B1AC0"/>
    <w:rsid w:val="007B1B9F"/>
    <w:rsid w:val="007B2333"/>
    <w:rsid w:val="007B25A8"/>
    <w:rsid w:val="007B270A"/>
    <w:rsid w:val="007B2D3B"/>
    <w:rsid w:val="007B454A"/>
    <w:rsid w:val="007B5018"/>
    <w:rsid w:val="007B52CD"/>
    <w:rsid w:val="007B6026"/>
    <w:rsid w:val="007B74F9"/>
    <w:rsid w:val="007B7DC1"/>
    <w:rsid w:val="007B7EDB"/>
    <w:rsid w:val="007B7EEF"/>
    <w:rsid w:val="007C0718"/>
    <w:rsid w:val="007C0BF8"/>
    <w:rsid w:val="007C1208"/>
    <w:rsid w:val="007C15D4"/>
    <w:rsid w:val="007C1780"/>
    <w:rsid w:val="007C19AD"/>
    <w:rsid w:val="007C1F83"/>
    <w:rsid w:val="007C27C8"/>
    <w:rsid w:val="007C296E"/>
    <w:rsid w:val="007C2977"/>
    <w:rsid w:val="007C2A16"/>
    <w:rsid w:val="007C2ABC"/>
    <w:rsid w:val="007C3598"/>
    <w:rsid w:val="007C3D6D"/>
    <w:rsid w:val="007C3E52"/>
    <w:rsid w:val="007C3FA8"/>
    <w:rsid w:val="007C417E"/>
    <w:rsid w:val="007C42BC"/>
    <w:rsid w:val="007C5846"/>
    <w:rsid w:val="007C5956"/>
    <w:rsid w:val="007C5F1A"/>
    <w:rsid w:val="007C62C1"/>
    <w:rsid w:val="007C6552"/>
    <w:rsid w:val="007C669D"/>
    <w:rsid w:val="007C68DA"/>
    <w:rsid w:val="007C68E7"/>
    <w:rsid w:val="007C70BF"/>
    <w:rsid w:val="007C7BB9"/>
    <w:rsid w:val="007D01D9"/>
    <w:rsid w:val="007D0BB4"/>
    <w:rsid w:val="007D0BF5"/>
    <w:rsid w:val="007D15D1"/>
    <w:rsid w:val="007D1C9B"/>
    <w:rsid w:val="007D229A"/>
    <w:rsid w:val="007D2F44"/>
    <w:rsid w:val="007D2F4D"/>
    <w:rsid w:val="007D3C97"/>
    <w:rsid w:val="007D4178"/>
    <w:rsid w:val="007D4CD3"/>
    <w:rsid w:val="007D4D33"/>
    <w:rsid w:val="007D5403"/>
    <w:rsid w:val="007D5C21"/>
    <w:rsid w:val="007D6B47"/>
    <w:rsid w:val="007D6B4A"/>
    <w:rsid w:val="007D7175"/>
    <w:rsid w:val="007D7ADE"/>
    <w:rsid w:val="007E02A5"/>
    <w:rsid w:val="007E1369"/>
    <w:rsid w:val="007E1A1B"/>
    <w:rsid w:val="007E1A88"/>
    <w:rsid w:val="007E1E43"/>
    <w:rsid w:val="007E27EB"/>
    <w:rsid w:val="007E2F3D"/>
    <w:rsid w:val="007E3B71"/>
    <w:rsid w:val="007E43F6"/>
    <w:rsid w:val="007E4450"/>
    <w:rsid w:val="007E4782"/>
    <w:rsid w:val="007E4C88"/>
    <w:rsid w:val="007E4D82"/>
    <w:rsid w:val="007E52BF"/>
    <w:rsid w:val="007E585E"/>
    <w:rsid w:val="007E5FD9"/>
    <w:rsid w:val="007E635F"/>
    <w:rsid w:val="007E6E00"/>
    <w:rsid w:val="007E7B35"/>
    <w:rsid w:val="007E7D52"/>
    <w:rsid w:val="007E7DDF"/>
    <w:rsid w:val="007F070A"/>
    <w:rsid w:val="007F0B2A"/>
    <w:rsid w:val="007F11C8"/>
    <w:rsid w:val="007F1205"/>
    <w:rsid w:val="007F17EA"/>
    <w:rsid w:val="007F1CFB"/>
    <w:rsid w:val="007F1F1C"/>
    <w:rsid w:val="007F2146"/>
    <w:rsid w:val="007F220B"/>
    <w:rsid w:val="007F22F5"/>
    <w:rsid w:val="007F2392"/>
    <w:rsid w:val="007F25C6"/>
    <w:rsid w:val="007F27DD"/>
    <w:rsid w:val="007F2826"/>
    <w:rsid w:val="007F28C9"/>
    <w:rsid w:val="007F4247"/>
    <w:rsid w:val="007F4C0A"/>
    <w:rsid w:val="007F50B1"/>
    <w:rsid w:val="007F5116"/>
    <w:rsid w:val="007F58C6"/>
    <w:rsid w:val="007F5B21"/>
    <w:rsid w:val="007F5EC6"/>
    <w:rsid w:val="007F6851"/>
    <w:rsid w:val="007F6880"/>
    <w:rsid w:val="007F6F73"/>
    <w:rsid w:val="007F730E"/>
    <w:rsid w:val="007F76B4"/>
    <w:rsid w:val="007F76CF"/>
    <w:rsid w:val="007F7E00"/>
    <w:rsid w:val="008001B4"/>
    <w:rsid w:val="008002CF"/>
    <w:rsid w:val="008003BF"/>
    <w:rsid w:val="00800769"/>
    <w:rsid w:val="00800ED2"/>
    <w:rsid w:val="0080125C"/>
    <w:rsid w:val="00801AB2"/>
    <w:rsid w:val="00801AD0"/>
    <w:rsid w:val="00801D3E"/>
    <w:rsid w:val="0080245F"/>
    <w:rsid w:val="00802BFD"/>
    <w:rsid w:val="00802E74"/>
    <w:rsid w:val="00803A4E"/>
    <w:rsid w:val="00803A9F"/>
    <w:rsid w:val="0080439D"/>
    <w:rsid w:val="00804B92"/>
    <w:rsid w:val="00804DA1"/>
    <w:rsid w:val="00804E21"/>
    <w:rsid w:val="00804E7A"/>
    <w:rsid w:val="00805092"/>
    <w:rsid w:val="008058C3"/>
    <w:rsid w:val="00805F15"/>
    <w:rsid w:val="0080615A"/>
    <w:rsid w:val="00806AAF"/>
    <w:rsid w:val="008070AC"/>
    <w:rsid w:val="008074A5"/>
    <w:rsid w:val="008074C6"/>
    <w:rsid w:val="00807D99"/>
    <w:rsid w:val="0081015F"/>
    <w:rsid w:val="008101FD"/>
    <w:rsid w:val="00810D8D"/>
    <w:rsid w:val="00811835"/>
    <w:rsid w:val="00811E58"/>
    <w:rsid w:val="00811EE5"/>
    <w:rsid w:val="008128B1"/>
    <w:rsid w:val="00812FCD"/>
    <w:rsid w:val="00813F3F"/>
    <w:rsid w:val="00813FA3"/>
    <w:rsid w:val="00813FD5"/>
    <w:rsid w:val="0081452D"/>
    <w:rsid w:val="00814E3E"/>
    <w:rsid w:val="00814F60"/>
    <w:rsid w:val="008156F8"/>
    <w:rsid w:val="0081581D"/>
    <w:rsid w:val="008168B9"/>
    <w:rsid w:val="00816BEA"/>
    <w:rsid w:val="00816E9B"/>
    <w:rsid w:val="00816FCB"/>
    <w:rsid w:val="0081726C"/>
    <w:rsid w:val="008172BE"/>
    <w:rsid w:val="00817B71"/>
    <w:rsid w:val="00820244"/>
    <w:rsid w:val="008205E8"/>
    <w:rsid w:val="00820C37"/>
    <w:rsid w:val="00820DCE"/>
    <w:rsid w:val="0082102D"/>
    <w:rsid w:val="00821099"/>
    <w:rsid w:val="008221B3"/>
    <w:rsid w:val="0082232D"/>
    <w:rsid w:val="0082248E"/>
    <w:rsid w:val="008224EA"/>
    <w:rsid w:val="008228D4"/>
    <w:rsid w:val="00822944"/>
    <w:rsid w:val="00822E2E"/>
    <w:rsid w:val="008235ED"/>
    <w:rsid w:val="00823C2D"/>
    <w:rsid w:val="00823FB6"/>
    <w:rsid w:val="00824462"/>
    <w:rsid w:val="00824B6F"/>
    <w:rsid w:val="00824E0E"/>
    <w:rsid w:val="00824ED2"/>
    <w:rsid w:val="00824FDF"/>
    <w:rsid w:val="00825125"/>
    <w:rsid w:val="0082518E"/>
    <w:rsid w:val="00825749"/>
    <w:rsid w:val="008257CC"/>
    <w:rsid w:val="0082584D"/>
    <w:rsid w:val="00825F5C"/>
    <w:rsid w:val="00826345"/>
    <w:rsid w:val="00826609"/>
    <w:rsid w:val="008273B9"/>
    <w:rsid w:val="008274BF"/>
    <w:rsid w:val="00830DC3"/>
    <w:rsid w:val="008310F6"/>
    <w:rsid w:val="00831555"/>
    <w:rsid w:val="00831F52"/>
    <w:rsid w:val="00832154"/>
    <w:rsid w:val="00832500"/>
    <w:rsid w:val="00832F5C"/>
    <w:rsid w:val="00833E76"/>
    <w:rsid w:val="00834046"/>
    <w:rsid w:val="00834489"/>
    <w:rsid w:val="00834A34"/>
    <w:rsid w:val="00834DE6"/>
    <w:rsid w:val="00834ECD"/>
    <w:rsid w:val="008350FE"/>
    <w:rsid w:val="008359E0"/>
    <w:rsid w:val="0083689A"/>
    <w:rsid w:val="008376F6"/>
    <w:rsid w:val="00837D5B"/>
    <w:rsid w:val="00837E96"/>
    <w:rsid w:val="0084004E"/>
    <w:rsid w:val="00840607"/>
    <w:rsid w:val="00840A16"/>
    <w:rsid w:val="00841CD2"/>
    <w:rsid w:val="00842666"/>
    <w:rsid w:val="00842899"/>
    <w:rsid w:val="0084299F"/>
    <w:rsid w:val="00842B77"/>
    <w:rsid w:val="00842B92"/>
    <w:rsid w:val="00842F8B"/>
    <w:rsid w:val="0084309F"/>
    <w:rsid w:val="008435CF"/>
    <w:rsid w:val="0084556E"/>
    <w:rsid w:val="008459B3"/>
    <w:rsid w:val="00845B5C"/>
    <w:rsid w:val="00845C12"/>
    <w:rsid w:val="0084638E"/>
    <w:rsid w:val="00846791"/>
    <w:rsid w:val="00846918"/>
    <w:rsid w:val="008469D9"/>
    <w:rsid w:val="00846DC0"/>
    <w:rsid w:val="008474A7"/>
    <w:rsid w:val="008506B6"/>
    <w:rsid w:val="00850AE0"/>
    <w:rsid w:val="00850EB2"/>
    <w:rsid w:val="00851C44"/>
    <w:rsid w:val="008524D2"/>
    <w:rsid w:val="00852E19"/>
    <w:rsid w:val="00853ED6"/>
    <w:rsid w:val="0085428A"/>
    <w:rsid w:val="008544D7"/>
    <w:rsid w:val="008551A3"/>
    <w:rsid w:val="00855B38"/>
    <w:rsid w:val="008560CC"/>
    <w:rsid w:val="00856441"/>
    <w:rsid w:val="00856833"/>
    <w:rsid w:val="00856840"/>
    <w:rsid w:val="00857A2F"/>
    <w:rsid w:val="0086087C"/>
    <w:rsid w:val="0086099F"/>
    <w:rsid w:val="00860D8E"/>
    <w:rsid w:val="00861562"/>
    <w:rsid w:val="0086182E"/>
    <w:rsid w:val="00861B08"/>
    <w:rsid w:val="00861D51"/>
    <w:rsid w:val="0086275E"/>
    <w:rsid w:val="00864384"/>
    <w:rsid w:val="00864440"/>
    <w:rsid w:val="00864D76"/>
    <w:rsid w:val="00865065"/>
    <w:rsid w:val="008650FC"/>
    <w:rsid w:val="0086570C"/>
    <w:rsid w:val="00865FB9"/>
    <w:rsid w:val="008666C4"/>
    <w:rsid w:val="00866E61"/>
    <w:rsid w:val="00866EB3"/>
    <w:rsid w:val="0086701A"/>
    <w:rsid w:val="00867BD2"/>
    <w:rsid w:val="00867CA3"/>
    <w:rsid w:val="00867DDF"/>
    <w:rsid w:val="0087041A"/>
    <w:rsid w:val="008707F7"/>
    <w:rsid w:val="00870871"/>
    <w:rsid w:val="008712FD"/>
    <w:rsid w:val="008716A1"/>
    <w:rsid w:val="00872081"/>
    <w:rsid w:val="00872AA7"/>
    <w:rsid w:val="00872D3F"/>
    <w:rsid w:val="008733AA"/>
    <w:rsid w:val="008733E4"/>
    <w:rsid w:val="00873F15"/>
    <w:rsid w:val="00874096"/>
    <w:rsid w:val="008756A4"/>
    <w:rsid w:val="00875793"/>
    <w:rsid w:val="00875F73"/>
    <w:rsid w:val="008766AC"/>
    <w:rsid w:val="008768DA"/>
    <w:rsid w:val="00877049"/>
    <w:rsid w:val="00877F56"/>
    <w:rsid w:val="00880389"/>
    <w:rsid w:val="008807FD"/>
    <w:rsid w:val="00880933"/>
    <w:rsid w:val="00880BDE"/>
    <w:rsid w:val="00880D53"/>
    <w:rsid w:val="00880F30"/>
    <w:rsid w:val="00882238"/>
    <w:rsid w:val="00882B01"/>
    <w:rsid w:val="008833E8"/>
    <w:rsid w:val="00885457"/>
    <w:rsid w:val="00886333"/>
    <w:rsid w:val="008865C8"/>
    <w:rsid w:val="0088759F"/>
    <w:rsid w:val="00887B48"/>
    <w:rsid w:val="00890D89"/>
    <w:rsid w:val="00890E76"/>
    <w:rsid w:val="00890EC6"/>
    <w:rsid w:val="0089111A"/>
    <w:rsid w:val="0089176E"/>
    <w:rsid w:val="008917E0"/>
    <w:rsid w:val="008918B6"/>
    <w:rsid w:val="00892365"/>
    <w:rsid w:val="0089278A"/>
    <w:rsid w:val="00892BE5"/>
    <w:rsid w:val="008933C6"/>
    <w:rsid w:val="0089387C"/>
    <w:rsid w:val="008938CF"/>
    <w:rsid w:val="00893CD6"/>
    <w:rsid w:val="0089444E"/>
    <w:rsid w:val="008947A4"/>
    <w:rsid w:val="008949DF"/>
    <w:rsid w:val="00895073"/>
    <w:rsid w:val="008951DB"/>
    <w:rsid w:val="008952E3"/>
    <w:rsid w:val="00895DD8"/>
    <w:rsid w:val="00895E17"/>
    <w:rsid w:val="00896160"/>
    <w:rsid w:val="0089691B"/>
    <w:rsid w:val="008969AC"/>
    <w:rsid w:val="00896C81"/>
    <w:rsid w:val="00896D83"/>
    <w:rsid w:val="00897A17"/>
    <w:rsid w:val="008A0167"/>
    <w:rsid w:val="008A03D1"/>
    <w:rsid w:val="008A0618"/>
    <w:rsid w:val="008A0831"/>
    <w:rsid w:val="008A0AB2"/>
    <w:rsid w:val="008A0CFC"/>
    <w:rsid w:val="008A12FE"/>
    <w:rsid w:val="008A2282"/>
    <w:rsid w:val="008A28B6"/>
    <w:rsid w:val="008A2BB1"/>
    <w:rsid w:val="008A3466"/>
    <w:rsid w:val="008A389F"/>
    <w:rsid w:val="008A38A0"/>
    <w:rsid w:val="008A3A9E"/>
    <w:rsid w:val="008A3D02"/>
    <w:rsid w:val="008A3F1E"/>
    <w:rsid w:val="008A4B7C"/>
    <w:rsid w:val="008A4D39"/>
    <w:rsid w:val="008A4FEB"/>
    <w:rsid w:val="008A583D"/>
    <w:rsid w:val="008A5940"/>
    <w:rsid w:val="008A66FC"/>
    <w:rsid w:val="008A732B"/>
    <w:rsid w:val="008A73B2"/>
    <w:rsid w:val="008A7425"/>
    <w:rsid w:val="008A7D28"/>
    <w:rsid w:val="008B0095"/>
    <w:rsid w:val="008B043F"/>
    <w:rsid w:val="008B0808"/>
    <w:rsid w:val="008B0AEC"/>
    <w:rsid w:val="008B0C1A"/>
    <w:rsid w:val="008B0FB4"/>
    <w:rsid w:val="008B1828"/>
    <w:rsid w:val="008B1E53"/>
    <w:rsid w:val="008B1E5B"/>
    <w:rsid w:val="008B24DC"/>
    <w:rsid w:val="008B2954"/>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13"/>
    <w:rsid w:val="008C0890"/>
    <w:rsid w:val="008C13F0"/>
    <w:rsid w:val="008C1F26"/>
    <w:rsid w:val="008C1F57"/>
    <w:rsid w:val="008C2A3A"/>
    <w:rsid w:val="008C376C"/>
    <w:rsid w:val="008C3D8B"/>
    <w:rsid w:val="008C4363"/>
    <w:rsid w:val="008C44D1"/>
    <w:rsid w:val="008C45FD"/>
    <w:rsid w:val="008C47A0"/>
    <w:rsid w:val="008C4C7E"/>
    <w:rsid w:val="008C5C46"/>
    <w:rsid w:val="008C6184"/>
    <w:rsid w:val="008C6865"/>
    <w:rsid w:val="008C6E58"/>
    <w:rsid w:val="008C7008"/>
    <w:rsid w:val="008C785E"/>
    <w:rsid w:val="008C7DD4"/>
    <w:rsid w:val="008D00CF"/>
    <w:rsid w:val="008D0863"/>
    <w:rsid w:val="008D0AFB"/>
    <w:rsid w:val="008D1511"/>
    <w:rsid w:val="008D17D9"/>
    <w:rsid w:val="008D27E2"/>
    <w:rsid w:val="008D32DF"/>
    <w:rsid w:val="008D35E9"/>
    <w:rsid w:val="008D3959"/>
    <w:rsid w:val="008D3966"/>
    <w:rsid w:val="008D3BDF"/>
    <w:rsid w:val="008D411E"/>
    <w:rsid w:val="008D4352"/>
    <w:rsid w:val="008D5A60"/>
    <w:rsid w:val="008D5D5C"/>
    <w:rsid w:val="008D60BC"/>
    <w:rsid w:val="008D665E"/>
    <w:rsid w:val="008D6D7B"/>
    <w:rsid w:val="008D6EA4"/>
    <w:rsid w:val="008D7041"/>
    <w:rsid w:val="008D749F"/>
    <w:rsid w:val="008D7D04"/>
    <w:rsid w:val="008D7EB7"/>
    <w:rsid w:val="008E0430"/>
    <w:rsid w:val="008E0EB8"/>
    <w:rsid w:val="008E0EDE"/>
    <w:rsid w:val="008E10A6"/>
    <w:rsid w:val="008E1271"/>
    <w:rsid w:val="008E1A5B"/>
    <w:rsid w:val="008E2251"/>
    <w:rsid w:val="008E24B3"/>
    <w:rsid w:val="008E24CA"/>
    <w:rsid w:val="008E2F6E"/>
    <w:rsid w:val="008E3359"/>
    <w:rsid w:val="008E38AD"/>
    <w:rsid w:val="008E3EEC"/>
    <w:rsid w:val="008E4504"/>
    <w:rsid w:val="008E46AE"/>
    <w:rsid w:val="008E4BB8"/>
    <w:rsid w:val="008E50AB"/>
    <w:rsid w:val="008E5BF2"/>
    <w:rsid w:val="008E5C81"/>
    <w:rsid w:val="008E61F9"/>
    <w:rsid w:val="008E6A9D"/>
    <w:rsid w:val="008E6B99"/>
    <w:rsid w:val="008F0A38"/>
    <w:rsid w:val="008F0A43"/>
    <w:rsid w:val="008F0F84"/>
    <w:rsid w:val="008F1014"/>
    <w:rsid w:val="008F11C9"/>
    <w:rsid w:val="008F1282"/>
    <w:rsid w:val="008F14BD"/>
    <w:rsid w:val="008F1B7D"/>
    <w:rsid w:val="008F23D8"/>
    <w:rsid w:val="008F2FD5"/>
    <w:rsid w:val="008F31F2"/>
    <w:rsid w:val="008F37E5"/>
    <w:rsid w:val="008F48C2"/>
    <w:rsid w:val="008F4DF9"/>
    <w:rsid w:val="008F5840"/>
    <w:rsid w:val="008F5EEF"/>
    <w:rsid w:val="008F66FE"/>
    <w:rsid w:val="008F6833"/>
    <w:rsid w:val="008F72CC"/>
    <w:rsid w:val="008F72CD"/>
    <w:rsid w:val="008F746B"/>
    <w:rsid w:val="008F7575"/>
    <w:rsid w:val="008F7A35"/>
    <w:rsid w:val="008F7A45"/>
    <w:rsid w:val="0090008C"/>
    <w:rsid w:val="00900712"/>
    <w:rsid w:val="00900727"/>
    <w:rsid w:val="00900880"/>
    <w:rsid w:val="00900BFB"/>
    <w:rsid w:val="00901274"/>
    <w:rsid w:val="00902232"/>
    <w:rsid w:val="009022E6"/>
    <w:rsid w:val="009027C8"/>
    <w:rsid w:val="00902D33"/>
    <w:rsid w:val="00903802"/>
    <w:rsid w:val="00903A3F"/>
    <w:rsid w:val="00904584"/>
    <w:rsid w:val="00904640"/>
    <w:rsid w:val="00904748"/>
    <w:rsid w:val="00905BCE"/>
    <w:rsid w:val="00905E8D"/>
    <w:rsid w:val="00905F2A"/>
    <w:rsid w:val="0090658F"/>
    <w:rsid w:val="0090696D"/>
    <w:rsid w:val="00906CD6"/>
    <w:rsid w:val="00906E4D"/>
    <w:rsid w:val="00906F31"/>
    <w:rsid w:val="0090729B"/>
    <w:rsid w:val="00907576"/>
    <w:rsid w:val="009078B3"/>
    <w:rsid w:val="00907A4F"/>
    <w:rsid w:val="00907A77"/>
    <w:rsid w:val="00907BDC"/>
    <w:rsid w:val="00907C68"/>
    <w:rsid w:val="00907E00"/>
    <w:rsid w:val="009105C1"/>
    <w:rsid w:val="00910606"/>
    <w:rsid w:val="0091088D"/>
    <w:rsid w:val="00910FC9"/>
    <w:rsid w:val="009122A6"/>
    <w:rsid w:val="0091291A"/>
    <w:rsid w:val="00912953"/>
    <w:rsid w:val="00912988"/>
    <w:rsid w:val="009133A6"/>
    <w:rsid w:val="009133EA"/>
    <w:rsid w:val="00913612"/>
    <w:rsid w:val="0091366A"/>
    <w:rsid w:val="009136BE"/>
    <w:rsid w:val="00913824"/>
    <w:rsid w:val="00915757"/>
    <w:rsid w:val="009159B3"/>
    <w:rsid w:val="00915E44"/>
    <w:rsid w:val="00915FC5"/>
    <w:rsid w:val="0091607D"/>
    <w:rsid w:val="00916181"/>
    <w:rsid w:val="00916367"/>
    <w:rsid w:val="00916D11"/>
    <w:rsid w:val="0092029E"/>
    <w:rsid w:val="009204C5"/>
    <w:rsid w:val="0092051D"/>
    <w:rsid w:val="0092180D"/>
    <w:rsid w:val="009218BD"/>
    <w:rsid w:val="00921AED"/>
    <w:rsid w:val="0092268A"/>
    <w:rsid w:val="00922E5E"/>
    <w:rsid w:val="00922F17"/>
    <w:rsid w:val="00922F6C"/>
    <w:rsid w:val="009232C9"/>
    <w:rsid w:val="00923608"/>
    <w:rsid w:val="009238E5"/>
    <w:rsid w:val="00923F12"/>
    <w:rsid w:val="00924493"/>
    <w:rsid w:val="00924A00"/>
    <w:rsid w:val="00924FF8"/>
    <w:rsid w:val="009258AE"/>
    <w:rsid w:val="00925BA8"/>
    <w:rsid w:val="00925FDC"/>
    <w:rsid w:val="00926D47"/>
    <w:rsid w:val="00926D7C"/>
    <w:rsid w:val="00926DA7"/>
    <w:rsid w:val="0092704D"/>
    <w:rsid w:val="009277E1"/>
    <w:rsid w:val="00927F41"/>
    <w:rsid w:val="00927F8B"/>
    <w:rsid w:val="009303AF"/>
    <w:rsid w:val="0093094D"/>
    <w:rsid w:val="00931133"/>
    <w:rsid w:val="009312BE"/>
    <w:rsid w:val="00931C15"/>
    <w:rsid w:val="009328C7"/>
    <w:rsid w:val="00932E11"/>
    <w:rsid w:val="009336EC"/>
    <w:rsid w:val="0093387F"/>
    <w:rsid w:val="00933F56"/>
    <w:rsid w:val="009346EE"/>
    <w:rsid w:val="00934C13"/>
    <w:rsid w:val="00934F54"/>
    <w:rsid w:val="0093515C"/>
    <w:rsid w:val="00935228"/>
    <w:rsid w:val="009355A2"/>
    <w:rsid w:val="009359CE"/>
    <w:rsid w:val="00935F9E"/>
    <w:rsid w:val="00936D98"/>
    <w:rsid w:val="0093765A"/>
    <w:rsid w:val="00940324"/>
    <w:rsid w:val="00941523"/>
    <w:rsid w:val="009417E4"/>
    <w:rsid w:val="009419B5"/>
    <w:rsid w:val="0094265B"/>
    <w:rsid w:val="00942C80"/>
    <w:rsid w:val="00942D11"/>
    <w:rsid w:val="00943029"/>
    <w:rsid w:val="00943197"/>
    <w:rsid w:val="00943460"/>
    <w:rsid w:val="00943577"/>
    <w:rsid w:val="009435F2"/>
    <w:rsid w:val="00943AFB"/>
    <w:rsid w:val="00943E45"/>
    <w:rsid w:val="009446D2"/>
    <w:rsid w:val="00944856"/>
    <w:rsid w:val="00944E64"/>
    <w:rsid w:val="00945180"/>
    <w:rsid w:val="0094590C"/>
    <w:rsid w:val="00946124"/>
    <w:rsid w:val="00946355"/>
    <w:rsid w:val="009468B7"/>
    <w:rsid w:val="00946ACC"/>
    <w:rsid w:val="0094724E"/>
    <w:rsid w:val="00947973"/>
    <w:rsid w:val="00947BE6"/>
    <w:rsid w:val="0095048D"/>
    <w:rsid w:val="00950729"/>
    <w:rsid w:val="00951300"/>
    <w:rsid w:val="00951553"/>
    <w:rsid w:val="00951ADB"/>
    <w:rsid w:val="00952253"/>
    <w:rsid w:val="00952F1F"/>
    <w:rsid w:val="0095380C"/>
    <w:rsid w:val="009540C0"/>
    <w:rsid w:val="00954353"/>
    <w:rsid w:val="00955C0A"/>
    <w:rsid w:val="00955C4F"/>
    <w:rsid w:val="00956109"/>
    <w:rsid w:val="00956861"/>
    <w:rsid w:val="009575AA"/>
    <w:rsid w:val="00957945"/>
    <w:rsid w:val="0096081C"/>
    <w:rsid w:val="00960980"/>
    <w:rsid w:val="00960CE7"/>
    <w:rsid w:val="00961008"/>
    <w:rsid w:val="00961A13"/>
    <w:rsid w:val="0096229D"/>
    <w:rsid w:val="00962EB2"/>
    <w:rsid w:val="00962F6F"/>
    <w:rsid w:val="00963B86"/>
    <w:rsid w:val="00964777"/>
    <w:rsid w:val="009657F1"/>
    <w:rsid w:val="00965C8A"/>
    <w:rsid w:val="0096625D"/>
    <w:rsid w:val="0096648B"/>
    <w:rsid w:val="009664F5"/>
    <w:rsid w:val="00966D6F"/>
    <w:rsid w:val="009677F0"/>
    <w:rsid w:val="009702CD"/>
    <w:rsid w:val="009705D8"/>
    <w:rsid w:val="009709F8"/>
    <w:rsid w:val="00970BD4"/>
    <w:rsid w:val="0097271B"/>
    <w:rsid w:val="009728F6"/>
    <w:rsid w:val="00972929"/>
    <w:rsid w:val="00972F91"/>
    <w:rsid w:val="0097317C"/>
    <w:rsid w:val="00973827"/>
    <w:rsid w:val="009738B6"/>
    <w:rsid w:val="009739F2"/>
    <w:rsid w:val="00973D63"/>
    <w:rsid w:val="009742D3"/>
    <w:rsid w:val="009750E5"/>
    <w:rsid w:val="0097515E"/>
    <w:rsid w:val="00975927"/>
    <w:rsid w:val="0097597B"/>
    <w:rsid w:val="00975ED7"/>
    <w:rsid w:val="0097609E"/>
    <w:rsid w:val="00976DBE"/>
    <w:rsid w:val="00976F32"/>
    <w:rsid w:val="00977B71"/>
    <w:rsid w:val="00977BA7"/>
    <w:rsid w:val="00977E45"/>
    <w:rsid w:val="00977EB0"/>
    <w:rsid w:val="009801D4"/>
    <w:rsid w:val="00980506"/>
    <w:rsid w:val="00980517"/>
    <w:rsid w:val="0098075D"/>
    <w:rsid w:val="0098086D"/>
    <w:rsid w:val="0098194F"/>
    <w:rsid w:val="009826C8"/>
    <w:rsid w:val="00982B17"/>
    <w:rsid w:val="00982F56"/>
    <w:rsid w:val="00982F5C"/>
    <w:rsid w:val="0098316A"/>
    <w:rsid w:val="009834BD"/>
    <w:rsid w:val="00983686"/>
    <w:rsid w:val="009836E4"/>
    <w:rsid w:val="0098412F"/>
    <w:rsid w:val="00984835"/>
    <w:rsid w:val="00984AED"/>
    <w:rsid w:val="00985303"/>
    <w:rsid w:val="009856AE"/>
    <w:rsid w:val="00985D0B"/>
    <w:rsid w:val="00985F28"/>
    <w:rsid w:val="00986149"/>
    <w:rsid w:val="0098616A"/>
    <w:rsid w:val="00986176"/>
    <w:rsid w:val="009863E4"/>
    <w:rsid w:val="009863ED"/>
    <w:rsid w:val="0098686E"/>
    <w:rsid w:val="00986E7F"/>
    <w:rsid w:val="00987536"/>
    <w:rsid w:val="00990643"/>
    <w:rsid w:val="00990AD7"/>
    <w:rsid w:val="00990BD5"/>
    <w:rsid w:val="00990EE5"/>
    <w:rsid w:val="0099196F"/>
    <w:rsid w:val="00991CD6"/>
    <w:rsid w:val="0099270C"/>
    <w:rsid w:val="00992B98"/>
    <w:rsid w:val="0099359F"/>
    <w:rsid w:val="00994505"/>
    <w:rsid w:val="00994871"/>
    <w:rsid w:val="00994924"/>
    <w:rsid w:val="00994CB8"/>
    <w:rsid w:val="00994E08"/>
    <w:rsid w:val="009951F9"/>
    <w:rsid w:val="009953DB"/>
    <w:rsid w:val="00995626"/>
    <w:rsid w:val="00995768"/>
    <w:rsid w:val="00995C95"/>
    <w:rsid w:val="00995E85"/>
    <w:rsid w:val="00996468"/>
    <w:rsid w:val="00996876"/>
    <w:rsid w:val="0099691D"/>
    <w:rsid w:val="0099694B"/>
    <w:rsid w:val="00996FFA"/>
    <w:rsid w:val="0099702A"/>
    <w:rsid w:val="0099723D"/>
    <w:rsid w:val="009973F1"/>
    <w:rsid w:val="009973F3"/>
    <w:rsid w:val="00997806"/>
    <w:rsid w:val="00997B57"/>
    <w:rsid w:val="009A00F1"/>
    <w:rsid w:val="009A010D"/>
    <w:rsid w:val="009A071D"/>
    <w:rsid w:val="009A0C6F"/>
    <w:rsid w:val="009A14EF"/>
    <w:rsid w:val="009A1729"/>
    <w:rsid w:val="009A1CC9"/>
    <w:rsid w:val="009A2DF9"/>
    <w:rsid w:val="009A3717"/>
    <w:rsid w:val="009A373B"/>
    <w:rsid w:val="009A3A86"/>
    <w:rsid w:val="009A3DB8"/>
    <w:rsid w:val="009A4282"/>
    <w:rsid w:val="009A4869"/>
    <w:rsid w:val="009A5091"/>
    <w:rsid w:val="009A50F5"/>
    <w:rsid w:val="009A6A6B"/>
    <w:rsid w:val="009A6AC1"/>
    <w:rsid w:val="009A777F"/>
    <w:rsid w:val="009A7929"/>
    <w:rsid w:val="009A7DAA"/>
    <w:rsid w:val="009B0270"/>
    <w:rsid w:val="009B03F6"/>
    <w:rsid w:val="009B0553"/>
    <w:rsid w:val="009B0DEC"/>
    <w:rsid w:val="009B0FF2"/>
    <w:rsid w:val="009B1EF9"/>
    <w:rsid w:val="009B24E0"/>
    <w:rsid w:val="009B26AC"/>
    <w:rsid w:val="009B2F46"/>
    <w:rsid w:val="009B3085"/>
    <w:rsid w:val="009B35E9"/>
    <w:rsid w:val="009B37E2"/>
    <w:rsid w:val="009B4519"/>
    <w:rsid w:val="009B46F7"/>
    <w:rsid w:val="009B506B"/>
    <w:rsid w:val="009B56EA"/>
    <w:rsid w:val="009B57EF"/>
    <w:rsid w:val="009B5B67"/>
    <w:rsid w:val="009B5B85"/>
    <w:rsid w:val="009B611B"/>
    <w:rsid w:val="009B6141"/>
    <w:rsid w:val="009B6223"/>
    <w:rsid w:val="009B62D3"/>
    <w:rsid w:val="009B650C"/>
    <w:rsid w:val="009B66AF"/>
    <w:rsid w:val="009B6D48"/>
    <w:rsid w:val="009B6FE9"/>
    <w:rsid w:val="009B7204"/>
    <w:rsid w:val="009B725F"/>
    <w:rsid w:val="009B7B5B"/>
    <w:rsid w:val="009B7BB3"/>
    <w:rsid w:val="009C0074"/>
    <w:rsid w:val="009C0564"/>
    <w:rsid w:val="009C0E42"/>
    <w:rsid w:val="009C0F04"/>
    <w:rsid w:val="009C1096"/>
    <w:rsid w:val="009C17DA"/>
    <w:rsid w:val="009C1DA0"/>
    <w:rsid w:val="009C2685"/>
    <w:rsid w:val="009C2CE0"/>
    <w:rsid w:val="009C33D7"/>
    <w:rsid w:val="009C37ED"/>
    <w:rsid w:val="009C39BC"/>
    <w:rsid w:val="009C4BC2"/>
    <w:rsid w:val="009C4D22"/>
    <w:rsid w:val="009C5087"/>
    <w:rsid w:val="009C5144"/>
    <w:rsid w:val="009C6B58"/>
    <w:rsid w:val="009C7249"/>
    <w:rsid w:val="009C7320"/>
    <w:rsid w:val="009C76FC"/>
    <w:rsid w:val="009C7DA3"/>
    <w:rsid w:val="009D036E"/>
    <w:rsid w:val="009D047F"/>
    <w:rsid w:val="009D0729"/>
    <w:rsid w:val="009D0D15"/>
    <w:rsid w:val="009D0DC6"/>
    <w:rsid w:val="009D0F66"/>
    <w:rsid w:val="009D1002"/>
    <w:rsid w:val="009D1A06"/>
    <w:rsid w:val="009D1BA4"/>
    <w:rsid w:val="009D20A9"/>
    <w:rsid w:val="009D20C9"/>
    <w:rsid w:val="009D20D1"/>
    <w:rsid w:val="009D22E4"/>
    <w:rsid w:val="009D22F7"/>
    <w:rsid w:val="009D319C"/>
    <w:rsid w:val="009D4C59"/>
    <w:rsid w:val="009D4CBF"/>
    <w:rsid w:val="009D56E9"/>
    <w:rsid w:val="009D590D"/>
    <w:rsid w:val="009D5BAB"/>
    <w:rsid w:val="009D5FF6"/>
    <w:rsid w:val="009D6051"/>
    <w:rsid w:val="009D6A0A"/>
    <w:rsid w:val="009D6D98"/>
    <w:rsid w:val="009D7580"/>
    <w:rsid w:val="009D7A96"/>
    <w:rsid w:val="009E058F"/>
    <w:rsid w:val="009E0A3B"/>
    <w:rsid w:val="009E0A9E"/>
    <w:rsid w:val="009E17D4"/>
    <w:rsid w:val="009E19A2"/>
    <w:rsid w:val="009E34DE"/>
    <w:rsid w:val="009E38D4"/>
    <w:rsid w:val="009E3A88"/>
    <w:rsid w:val="009E3AFD"/>
    <w:rsid w:val="009E3C60"/>
    <w:rsid w:val="009E3CDD"/>
    <w:rsid w:val="009E4A12"/>
    <w:rsid w:val="009E4B16"/>
    <w:rsid w:val="009E4F07"/>
    <w:rsid w:val="009E5B79"/>
    <w:rsid w:val="009E5C60"/>
    <w:rsid w:val="009E5EDB"/>
    <w:rsid w:val="009E64DB"/>
    <w:rsid w:val="009E6794"/>
    <w:rsid w:val="009E706F"/>
    <w:rsid w:val="009E7189"/>
    <w:rsid w:val="009E71C8"/>
    <w:rsid w:val="009E75F1"/>
    <w:rsid w:val="009E7620"/>
    <w:rsid w:val="009E79CB"/>
    <w:rsid w:val="009E7C89"/>
    <w:rsid w:val="009E7D82"/>
    <w:rsid w:val="009E7E46"/>
    <w:rsid w:val="009E7FC1"/>
    <w:rsid w:val="009F01E1"/>
    <w:rsid w:val="009F03C1"/>
    <w:rsid w:val="009F0B4D"/>
    <w:rsid w:val="009F0DD4"/>
    <w:rsid w:val="009F1096"/>
    <w:rsid w:val="009F150E"/>
    <w:rsid w:val="009F209A"/>
    <w:rsid w:val="009F25A4"/>
    <w:rsid w:val="009F266E"/>
    <w:rsid w:val="009F27AD"/>
    <w:rsid w:val="009F2805"/>
    <w:rsid w:val="009F3FB5"/>
    <w:rsid w:val="009F4129"/>
    <w:rsid w:val="009F4739"/>
    <w:rsid w:val="009F4E17"/>
    <w:rsid w:val="009F521F"/>
    <w:rsid w:val="009F5356"/>
    <w:rsid w:val="009F553C"/>
    <w:rsid w:val="009F59F8"/>
    <w:rsid w:val="009F6E34"/>
    <w:rsid w:val="009F73D4"/>
    <w:rsid w:val="009F7F0E"/>
    <w:rsid w:val="00A00457"/>
    <w:rsid w:val="00A004C8"/>
    <w:rsid w:val="00A005B0"/>
    <w:rsid w:val="00A00D7C"/>
    <w:rsid w:val="00A00E81"/>
    <w:rsid w:val="00A01370"/>
    <w:rsid w:val="00A01373"/>
    <w:rsid w:val="00A01514"/>
    <w:rsid w:val="00A01563"/>
    <w:rsid w:val="00A01F17"/>
    <w:rsid w:val="00A022A5"/>
    <w:rsid w:val="00A02A50"/>
    <w:rsid w:val="00A037D6"/>
    <w:rsid w:val="00A03A22"/>
    <w:rsid w:val="00A04294"/>
    <w:rsid w:val="00A04634"/>
    <w:rsid w:val="00A0497B"/>
    <w:rsid w:val="00A04D2D"/>
    <w:rsid w:val="00A04D67"/>
    <w:rsid w:val="00A0556E"/>
    <w:rsid w:val="00A05672"/>
    <w:rsid w:val="00A06119"/>
    <w:rsid w:val="00A064B2"/>
    <w:rsid w:val="00A06E12"/>
    <w:rsid w:val="00A0703A"/>
    <w:rsid w:val="00A074C2"/>
    <w:rsid w:val="00A074E5"/>
    <w:rsid w:val="00A07A48"/>
    <w:rsid w:val="00A108EE"/>
    <w:rsid w:val="00A109E8"/>
    <w:rsid w:val="00A10BB8"/>
    <w:rsid w:val="00A11C08"/>
    <w:rsid w:val="00A11F8C"/>
    <w:rsid w:val="00A1200D"/>
    <w:rsid w:val="00A129D8"/>
    <w:rsid w:val="00A13415"/>
    <w:rsid w:val="00A13610"/>
    <w:rsid w:val="00A137E4"/>
    <w:rsid w:val="00A1396C"/>
    <w:rsid w:val="00A13CEB"/>
    <w:rsid w:val="00A13DDD"/>
    <w:rsid w:val="00A14008"/>
    <w:rsid w:val="00A145A4"/>
    <w:rsid w:val="00A14813"/>
    <w:rsid w:val="00A14F92"/>
    <w:rsid w:val="00A150B2"/>
    <w:rsid w:val="00A1566A"/>
    <w:rsid w:val="00A164A8"/>
    <w:rsid w:val="00A165BF"/>
    <w:rsid w:val="00A16D53"/>
    <w:rsid w:val="00A16E83"/>
    <w:rsid w:val="00A172E8"/>
    <w:rsid w:val="00A17705"/>
    <w:rsid w:val="00A179FF"/>
    <w:rsid w:val="00A217F2"/>
    <w:rsid w:val="00A21A36"/>
    <w:rsid w:val="00A21DF7"/>
    <w:rsid w:val="00A22401"/>
    <w:rsid w:val="00A2275C"/>
    <w:rsid w:val="00A22A44"/>
    <w:rsid w:val="00A22C4D"/>
    <w:rsid w:val="00A22E60"/>
    <w:rsid w:val="00A23C0B"/>
    <w:rsid w:val="00A241F4"/>
    <w:rsid w:val="00A24839"/>
    <w:rsid w:val="00A24B9F"/>
    <w:rsid w:val="00A25294"/>
    <w:rsid w:val="00A254EE"/>
    <w:rsid w:val="00A259AC"/>
    <w:rsid w:val="00A25BE7"/>
    <w:rsid w:val="00A26475"/>
    <w:rsid w:val="00A27008"/>
    <w:rsid w:val="00A273DB"/>
    <w:rsid w:val="00A2787E"/>
    <w:rsid w:val="00A27CDF"/>
    <w:rsid w:val="00A3042A"/>
    <w:rsid w:val="00A309C6"/>
    <w:rsid w:val="00A30D13"/>
    <w:rsid w:val="00A312F5"/>
    <w:rsid w:val="00A3146E"/>
    <w:rsid w:val="00A314F9"/>
    <w:rsid w:val="00A3186F"/>
    <w:rsid w:val="00A319D0"/>
    <w:rsid w:val="00A31BB3"/>
    <w:rsid w:val="00A31EA3"/>
    <w:rsid w:val="00A32316"/>
    <w:rsid w:val="00A32A43"/>
    <w:rsid w:val="00A33172"/>
    <w:rsid w:val="00A3358D"/>
    <w:rsid w:val="00A33C39"/>
    <w:rsid w:val="00A3432B"/>
    <w:rsid w:val="00A346BA"/>
    <w:rsid w:val="00A34BC4"/>
    <w:rsid w:val="00A34C59"/>
    <w:rsid w:val="00A34C67"/>
    <w:rsid w:val="00A34D62"/>
    <w:rsid w:val="00A34D90"/>
    <w:rsid w:val="00A34E1B"/>
    <w:rsid w:val="00A34F48"/>
    <w:rsid w:val="00A3611D"/>
    <w:rsid w:val="00A36339"/>
    <w:rsid w:val="00A366E4"/>
    <w:rsid w:val="00A40C79"/>
    <w:rsid w:val="00A41278"/>
    <w:rsid w:val="00A41331"/>
    <w:rsid w:val="00A41B4F"/>
    <w:rsid w:val="00A428FB"/>
    <w:rsid w:val="00A4376F"/>
    <w:rsid w:val="00A43FD0"/>
    <w:rsid w:val="00A44919"/>
    <w:rsid w:val="00A44C29"/>
    <w:rsid w:val="00A4549F"/>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4C8"/>
    <w:rsid w:val="00A54599"/>
    <w:rsid w:val="00A54B82"/>
    <w:rsid w:val="00A55416"/>
    <w:rsid w:val="00A55C9B"/>
    <w:rsid w:val="00A55D7D"/>
    <w:rsid w:val="00A55EAB"/>
    <w:rsid w:val="00A56710"/>
    <w:rsid w:val="00A569D4"/>
    <w:rsid w:val="00A56A44"/>
    <w:rsid w:val="00A56B6B"/>
    <w:rsid w:val="00A570C6"/>
    <w:rsid w:val="00A5720B"/>
    <w:rsid w:val="00A5723F"/>
    <w:rsid w:val="00A57413"/>
    <w:rsid w:val="00A57BFF"/>
    <w:rsid w:val="00A57DC7"/>
    <w:rsid w:val="00A57F1A"/>
    <w:rsid w:val="00A60163"/>
    <w:rsid w:val="00A6038D"/>
    <w:rsid w:val="00A60CF0"/>
    <w:rsid w:val="00A61287"/>
    <w:rsid w:val="00A61429"/>
    <w:rsid w:val="00A61514"/>
    <w:rsid w:val="00A61645"/>
    <w:rsid w:val="00A61E86"/>
    <w:rsid w:val="00A62080"/>
    <w:rsid w:val="00A62322"/>
    <w:rsid w:val="00A630A2"/>
    <w:rsid w:val="00A632B8"/>
    <w:rsid w:val="00A63682"/>
    <w:rsid w:val="00A63A25"/>
    <w:rsid w:val="00A63BF3"/>
    <w:rsid w:val="00A64942"/>
    <w:rsid w:val="00A65911"/>
    <w:rsid w:val="00A65ACC"/>
    <w:rsid w:val="00A65C0A"/>
    <w:rsid w:val="00A6643C"/>
    <w:rsid w:val="00A664E3"/>
    <w:rsid w:val="00A66F8E"/>
    <w:rsid w:val="00A6713B"/>
    <w:rsid w:val="00A67544"/>
    <w:rsid w:val="00A67678"/>
    <w:rsid w:val="00A67EE8"/>
    <w:rsid w:val="00A7000A"/>
    <w:rsid w:val="00A7075B"/>
    <w:rsid w:val="00A7108C"/>
    <w:rsid w:val="00A71629"/>
    <w:rsid w:val="00A71CE6"/>
    <w:rsid w:val="00A71D23"/>
    <w:rsid w:val="00A72C2A"/>
    <w:rsid w:val="00A72DC1"/>
    <w:rsid w:val="00A72EA7"/>
    <w:rsid w:val="00A7333A"/>
    <w:rsid w:val="00A7334C"/>
    <w:rsid w:val="00A736B2"/>
    <w:rsid w:val="00A73D0D"/>
    <w:rsid w:val="00A73E33"/>
    <w:rsid w:val="00A74A92"/>
    <w:rsid w:val="00A74E31"/>
    <w:rsid w:val="00A75399"/>
    <w:rsid w:val="00A75CC1"/>
    <w:rsid w:val="00A75E88"/>
    <w:rsid w:val="00A7611B"/>
    <w:rsid w:val="00A775B8"/>
    <w:rsid w:val="00A77D6F"/>
    <w:rsid w:val="00A8056E"/>
    <w:rsid w:val="00A814B5"/>
    <w:rsid w:val="00A814BC"/>
    <w:rsid w:val="00A82D58"/>
    <w:rsid w:val="00A82FE0"/>
    <w:rsid w:val="00A8399D"/>
    <w:rsid w:val="00A839E0"/>
    <w:rsid w:val="00A83E3D"/>
    <w:rsid w:val="00A841F6"/>
    <w:rsid w:val="00A8443A"/>
    <w:rsid w:val="00A84750"/>
    <w:rsid w:val="00A8479C"/>
    <w:rsid w:val="00A854F4"/>
    <w:rsid w:val="00A8557B"/>
    <w:rsid w:val="00A855A6"/>
    <w:rsid w:val="00A858BD"/>
    <w:rsid w:val="00A85A05"/>
    <w:rsid w:val="00A85B5A"/>
    <w:rsid w:val="00A85D99"/>
    <w:rsid w:val="00A86800"/>
    <w:rsid w:val="00A86D63"/>
    <w:rsid w:val="00A8777F"/>
    <w:rsid w:val="00A87797"/>
    <w:rsid w:val="00A90165"/>
    <w:rsid w:val="00A90E72"/>
    <w:rsid w:val="00A92286"/>
    <w:rsid w:val="00A922A2"/>
    <w:rsid w:val="00A93050"/>
    <w:rsid w:val="00A931F9"/>
    <w:rsid w:val="00A9327B"/>
    <w:rsid w:val="00A9361B"/>
    <w:rsid w:val="00A9396C"/>
    <w:rsid w:val="00A93B69"/>
    <w:rsid w:val="00A93B8E"/>
    <w:rsid w:val="00A94335"/>
    <w:rsid w:val="00A95C8A"/>
    <w:rsid w:val="00A963C7"/>
    <w:rsid w:val="00A96677"/>
    <w:rsid w:val="00A96780"/>
    <w:rsid w:val="00A96C23"/>
    <w:rsid w:val="00AA0694"/>
    <w:rsid w:val="00AA06F7"/>
    <w:rsid w:val="00AA07A5"/>
    <w:rsid w:val="00AA080D"/>
    <w:rsid w:val="00AA0A41"/>
    <w:rsid w:val="00AA0AF1"/>
    <w:rsid w:val="00AA0BF5"/>
    <w:rsid w:val="00AA1626"/>
    <w:rsid w:val="00AA1C25"/>
    <w:rsid w:val="00AA1C7A"/>
    <w:rsid w:val="00AA2133"/>
    <w:rsid w:val="00AA323E"/>
    <w:rsid w:val="00AA33CC"/>
    <w:rsid w:val="00AA3B66"/>
    <w:rsid w:val="00AA3DB7"/>
    <w:rsid w:val="00AA4073"/>
    <w:rsid w:val="00AA4358"/>
    <w:rsid w:val="00AA45A6"/>
    <w:rsid w:val="00AA50EB"/>
    <w:rsid w:val="00AA51F5"/>
    <w:rsid w:val="00AA5E3B"/>
    <w:rsid w:val="00AA6752"/>
    <w:rsid w:val="00AA67D8"/>
    <w:rsid w:val="00AA68B4"/>
    <w:rsid w:val="00AA7071"/>
    <w:rsid w:val="00AA75FE"/>
    <w:rsid w:val="00AA7D6C"/>
    <w:rsid w:val="00AA7DA9"/>
    <w:rsid w:val="00AB0543"/>
    <w:rsid w:val="00AB0AC9"/>
    <w:rsid w:val="00AB0B65"/>
    <w:rsid w:val="00AB0B77"/>
    <w:rsid w:val="00AB14F6"/>
    <w:rsid w:val="00AB185A"/>
    <w:rsid w:val="00AB1BA7"/>
    <w:rsid w:val="00AB1E04"/>
    <w:rsid w:val="00AB29CF"/>
    <w:rsid w:val="00AB3113"/>
    <w:rsid w:val="00AB32D8"/>
    <w:rsid w:val="00AB348A"/>
    <w:rsid w:val="00AB39F4"/>
    <w:rsid w:val="00AB3F38"/>
    <w:rsid w:val="00AB43EC"/>
    <w:rsid w:val="00AB4A1F"/>
    <w:rsid w:val="00AB4BF4"/>
    <w:rsid w:val="00AB50AF"/>
    <w:rsid w:val="00AB50FC"/>
    <w:rsid w:val="00AB577C"/>
    <w:rsid w:val="00AB5ADF"/>
    <w:rsid w:val="00AB5E57"/>
    <w:rsid w:val="00AB5FB8"/>
    <w:rsid w:val="00AB61A8"/>
    <w:rsid w:val="00AB725F"/>
    <w:rsid w:val="00AB7525"/>
    <w:rsid w:val="00AC00EF"/>
    <w:rsid w:val="00AC0705"/>
    <w:rsid w:val="00AC087D"/>
    <w:rsid w:val="00AC0B98"/>
    <w:rsid w:val="00AC109B"/>
    <w:rsid w:val="00AC209E"/>
    <w:rsid w:val="00AC2107"/>
    <w:rsid w:val="00AC3007"/>
    <w:rsid w:val="00AC3456"/>
    <w:rsid w:val="00AC36A6"/>
    <w:rsid w:val="00AC44D0"/>
    <w:rsid w:val="00AC4D74"/>
    <w:rsid w:val="00AC4E94"/>
    <w:rsid w:val="00AC523D"/>
    <w:rsid w:val="00AC5636"/>
    <w:rsid w:val="00AC6069"/>
    <w:rsid w:val="00AC67A8"/>
    <w:rsid w:val="00AC6972"/>
    <w:rsid w:val="00AC6A93"/>
    <w:rsid w:val="00AC74DA"/>
    <w:rsid w:val="00AC7A2B"/>
    <w:rsid w:val="00AC7C25"/>
    <w:rsid w:val="00AC7E69"/>
    <w:rsid w:val="00AC7ECB"/>
    <w:rsid w:val="00AD0281"/>
    <w:rsid w:val="00AD0A51"/>
    <w:rsid w:val="00AD0A88"/>
    <w:rsid w:val="00AD0B37"/>
    <w:rsid w:val="00AD0EB6"/>
    <w:rsid w:val="00AD11F7"/>
    <w:rsid w:val="00AD1DB7"/>
    <w:rsid w:val="00AD1E29"/>
    <w:rsid w:val="00AD2244"/>
    <w:rsid w:val="00AD227E"/>
    <w:rsid w:val="00AD2439"/>
    <w:rsid w:val="00AD27A6"/>
    <w:rsid w:val="00AD2852"/>
    <w:rsid w:val="00AD2C5F"/>
    <w:rsid w:val="00AD2E13"/>
    <w:rsid w:val="00AD3976"/>
    <w:rsid w:val="00AD4860"/>
    <w:rsid w:val="00AD4D2A"/>
    <w:rsid w:val="00AD542F"/>
    <w:rsid w:val="00AD564B"/>
    <w:rsid w:val="00AD5FBE"/>
    <w:rsid w:val="00AD6598"/>
    <w:rsid w:val="00AD6795"/>
    <w:rsid w:val="00AD7305"/>
    <w:rsid w:val="00AD75B2"/>
    <w:rsid w:val="00AD7D6C"/>
    <w:rsid w:val="00AD7E09"/>
    <w:rsid w:val="00AD7E64"/>
    <w:rsid w:val="00AE0206"/>
    <w:rsid w:val="00AE0647"/>
    <w:rsid w:val="00AE0C56"/>
    <w:rsid w:val="00AE141B"/>
    <w:rsid w:val="00AE149E"/>
    <w:rsid w:val="00AE2263"/>
    <w:rsid w:val="00AE22F2"/>
    <w:rsid w:val="00AE28C5"/>
    <w:rsid w:val="00AE29FC"/>
    <w:rsid w:val="00AE2ADF"/>
    <w:rsid w:val="00AE2B81"/>
    <w:rsid w:val="00AE2F3F"/>
    <w:rsid w:val="00AE353F"/>
    <w:rsid w:val="00AE3B4E"/>
    <w:rsid w:val="00AE3E99"/>
    <w:rsid w:val="00AE4DDA"/>
    <w:rsid w:val="00AE4FEE"/>
    <w:rsid w:val="00AE59EC"/>
    <w:rsid w:val="00AE67B3"/>
    <w:rsid w:val="00AE68FC"/>
    <w:rsid w:val="00AE704D"/>
    <w:rsid w:val="00AE7397"/>
    <w:rsid w:val="00AE739A"/>
    <w:rsid w:val="00AE77E5"/>
    <w:rsid w:val="00AE7864"/>
    <w:rsid w:val="00AE7933"/>
    <w:rsid w:val="00AE7949"/>
    <w:rsid w:val="00AE7E1B"/>
    <w:rsid w:val="00AF0B68"/>
    <w:rsid w:val="00AF0EBC"/>
    <w:rsid w:val="00AF1528"/>
    <w:rsid w:val="00AF1C6C"/>
    <w:rsid w:val="00AF25D5"/>
    <w:rsid w:val="00AF26F1"/>
    <w:rsid w:val="00AF2AFC"/>
    <w:rsid w:val="00AF3DBB"/>
    <w:rsid w:val="00AF4017"/>
    <w:rsid w:val="00AF4394"/>
    <w:rsid w:val="00AF43E9"/>
    <w:rsid w:val="00AF4B8D"/>
    <w:rsid w:val="00AF5021"/>
    <w:rsid w:val="00AF5194"/>
    <w:rsid w:val="00AF53EF"/>
    <w:rsid w:val="00AF60E1"/>
    <w:rsid w:val="00AF73C3"/>
    <w:rsid w:val="00AF795C"/>
    <w:rsid w:val="00AF7ADA"/>
    <w:rsid w:val="00B00752"/>
    <w:rsid w:val="00B01928"/>
    <w:rsid w:val="00B0193D"/>
    <w:rsid w:val="00B026C1"/>
    <w:rsid w:val="00B02B9C"/>
    <w:rsid w:val="00B02C89"/>
    <w:rsid w:val="00B02D41"/>
    <w:rsid w:val="00B0353B"/>
    <w:rsid w:val="00B040B2"/>
    <w:rsid w:val="00B04184"/>
    <w:rsid w:val="00B04D88"/>
    <w:rsid w:val="00B057F2"/>
    <w:rsid w:val="00B05BC0"/>
    <w:rsid w:val="00B06010"/>
    <w:rsid w:val="00B069D8"/>
    <w:rsid w:val="00B07150"/>
    <w:rsid w:val="00B07A6D"/>
    <w:rsid w:val="00B10558"/>
    <w:rsid w:val="00B12EF9"/>
    <w:rsid w:val="00B137EF"/>
    <w:rsid w:val="00B143EF"/>
    <w:rsid w:val="00B14680"/>
    <w:rsid w:val="00B149F1"/>
    <w:rsid w:val="00B156A9"/>
    <w:rsid w:val="00B15F83"/>
    <w:rsid w:val="00B15FC2"/>
    <w:rsid w:val="00B160FF"/>
    <w:rsid w:val="00B16322"/>
    <w:rsid w:val="00B164EA"/>
    <w:rsid w:val="00B1662E"/>
    <w:rsid w:val="00B16A6F"/>
    <w:rsid w:val="00B16BBE"/>
    <w:rsid w:val="00B1734E"/>
    <w:rsid w:val="00B176DC"/>
    <w:rsid w:val="00B178F9"/>
    <w:rsid w:val="00B17FAF"/>
    <w:rsid w:val="00B204A9"/>
    <w:rsid w:val="00B206BF"/>
    <w:rsid w:val="00B20B13"/>
    <w:rsid w:val="00B21118"/>
    <w:rsid w:val="00B226C7"/>
    <w:rsid w:val="00B22743"/>
    <w:rsid w:val="00B22C0D"/>
    <w:rsid w:val="00B22FB9"/>
    <w:rsid w:val="00B2334E"/>
    <w:rsid w:val="00B23927"/>
    <w:rsid w:val="00B23AF4"/>
    <w:rsid w:val="00B23B6D"/>
    <w:rsid w:val="00B23C15"/>
    <w:rsid w:val="00B243F2"/>
    <w:rsid w:val="00B24E29"/>
    <w:rsid w:val="00B24F5E"/>
    <w:rsid w:val="00B25762"/>
    <w:rsid w:val="00B25981"/>
    <w:rsid w:val="00B25B40"/>
    <w:rsid w:val="00B25FDE"/>
    <w:rsid w:val="00B26961"/>
    <w:rsid w:val="00B26AB0"/>
    <w:rsid w:val="00B26AD2"/>
    <w:rsid w:val="00B26CA2"/>
    <w:rsid w:val="00B2746D"/>
    <w:rsid w:val="00B27947"/>
    <w:rsid w:val="00B30B4E"/>
    <w:rsid w:val="00B30FED"/>
    <w:rsid w:val="00B31246"/>
    <w:rsid w:val="00B315E3"/>
    <w:rsid w:val="00B31D6D"/>
    <w:rsid w:val="00B32347"/>
    <w:rsid w:val="00B323DF"/>
    <w:rsid w:val="00B32475"/>
    <w:rsid w:val="00B326FF"/>
    <w:rsid w:val="00B32864"/>
    <w:rsid w:val="00B3378D"/>
    <w:rsid w:val="00B33CEE"/>
    <w:rsid w:val="00B340AA"/>
    <w:rsid w:val="00B3455B"/>
    <w:rsid w:val="00B34A9F"/>
    <w:rsid w:val="00B34B80"/>
    <w:rsid w:val="00B3501B"/>
    <w:rsid w:val="00B350D6"/>
    <w:rsid w:val="00B35CDA"/>
    <w:rsid w:val="00B372F2"/>
    <w:rsid w:val="00B37D97"/>
    <w:rsid w:val="00B40BC3"/>
    <w:rsid w:val="00B411BD"/>
    <w:rsid w:val="00B41559"/>
    <w:rsid w:val="00B418E8"/>
    <w:rsid w:val="00B42285"/>
    <w:rsid w:val="00B4229B"/>
    <w:rsid w:val="00B4274B"/>
    <w:rsid w:val="00B42E38"/>
    <w:rsid w:val="00B43518"/>
    <w:rsid w:val="00B435B1"/>
    <w:rsid w:val="00B4367F"/>
    <w:rsid w:val="00B438BA"/>
    <w:rsid w:val="00B4399C"/>
    <w:rsid w:val="00B44264"/>
    <w:rsid w:val="00B44292"/>
    <w:rsid w:val="00B44493"/>
    <w:rsid w:val="00B4469B"/>
    <w:rsid w:val="00B44F99"/>
    <w:rsid w:val="00B45679"/>
    <w:rsid w:val="00B45876"/>
    <w:rsid w:val="00B46082"/>
    <w:rsid w:val="00B46976"/>
    <w:rsid w:val="00B4732E"/>
    <w:rsid w:val="00B4758D"/>
    <w:rsid w:val="00B47A15"/>
    <w:rsid w:val="00B47B0A"/>
    <w:rsid w:val="00B505C1"/>
    <w:rsid w:val="00B50E34"/>
    <w:rsid w:val="00B51130"/>
    <w:rsid w:val="00B5115A"/>
    <w:rsid w:val="00B51542"/>
    <w:rsid w:val="00B51D1D"/>
    <w:rsid w:val="00B529DF"/>
    <w:rsid w:val="00B5310E"/>
    <w:rsid w:val="00B5321B"/>
    <w:rsid w:val="00B53F3A"/>
    <w:rsid w:val="00B5447A"/>
    <w:rsid w:val="00B54ACC"/>
    <w:rsid w:val="00B54B63"/>
    <w:rsid w:val="00B54DCB"/>
    <w:rsid w:val="00B5528A"/>
    <w:rsid w:val="00B55518"/>
    <w:rsid w:val="00B55AC2"/>
    <w:rsid w:val="00B560C9"/>
    <w:rsid w:val="00B561C6"/>
    <w:rsid w:val="00B56372"/>
    <w:rsid w:val="00B5641C"/>
    <w:rsid w:val="00B56533"/>
    <w:rsid w:val="00B56569"/>
    <w:rsid w:val="00B56CFC"/>
    <w:rsid w:val="00B57657"/>
    <w:rsid w:val="00B57777"/>
    <w:rsid w:val="00B57A17"/>
    <w:rsid w:val="00B57A37"/>
    <w:rsid w:val="00B60D0E"/>
    <w:rsid w:val="00B6186B"/>
    <w:rsid w:val="00B61BE2"/>
    <w:rsid w:val="00B62026"/>
    <w:rsid w:val="00B6266F"/>
    <w:rsid w:val="00B62907"/>
    <w:rsid w:val="00B62E0B"/>
    <w:rsid w:val="00B63430"/>
    <w:rsid w:val="00B63BC2"/>
    <w:rsid w:val="00B63C32"/>
    <w:rsid w:val="00B64434"/>
    <w:rsid w:val="00B64AEF"/>
    <w:rsid w:val="00B6503B"/>
    <w:rsid w:val="00B654BD"/>
    <w:rsid w:val="00B65741"/>
    <w:rsid w:val="00B657E1"/>
    <w:rsid w:val="00B659C5"/>
    <w:rsid w:val="00B65BC8"/>
    <w:rsid w:val="00B66085"/>
    <w:rsid w:val="00B66559"/>
    <w:rsid w:val="00B66979"/>
    <w:rsid w:val="00B66E1B"/>
    <w:rsid w:val="00B6715F"/>
    <w:rsid w:val="00B67D81"/>
    <w:rsid w:val="00B70260"/>
    <w:rsid w:val="00B70D58"/>
    <w:rsid w:val="00B70F4B"/>
    <w:rsid w:val="00B711CE"/>
    <w:rsid w:val="00B714F0"/>
    <w:rsid w:val="00B71CA8"/>
    <w:rsid w:val="00B71DC8"/>
    <w:rsid w:val="00B722A4"/>
    <w:rsid w:val="00B736D1"/>
    <w:rsid w:val="00B73A6A"/>
    <w:rsid w:val="00B746C6"/>
    <w:rsid w:val="00B74B5B"/>
    <w:rsid w:val="00B75330"/>
    <w:rsid w:val="00B753C6"/>
    <w:rsid w:val="00B75E8D"/>
    <w:rsid w:val="00B7604C"/>
    <w:rsid w:val="00B7652C"/>
    <w:rsid w:val="00B76639"/>
    <w:rsid w:val="00B766BF"/>
    <w:rsid w:val="00B76FA6"/>
    <w:rsid w:val="00B76FA7"/>
    <w:rsid w:val="00B774B7"/>
    <w:rsid w:val="00B8037A"/>
    <w:rsid w:val="00B80910"/>
    <w:rsid w:val="00B80B71"/>
    <w:rsid w:val="00B81386"/>
    <w:rsid w:val="00B818F4"/>
    <w:rsid w:val="00B81BC9"/>
    <w:rsid w:val="00B8220F"/>
    <w:rsid w:val="00B8222F"/>
    <w:rsid w:val="00B822B7"/>
    <w:rsid w:val="00B82615"/>
    <w:rsid w:val="00B829BE"/>
    <w:rsid w:val="00B82CF3"/>
    <w:rsid w:val="00B82EA0"/>
    <w:rsid w:val="00B83444"/>
    <w:rsid w:val="00B836ED"/>
    <w:rsid w:val="00B8389B"/>
    <w:rsid w:val="00B842B0"/>
    <w:rsid w:val="00B84306"/>
    <w:rsid w:val="00B8432F"/>
    <w:rsid w:val="00B84720"/>
    <w:rsid w:val="00B84BFE"/>
    <w:rsid w:val="00B853BE"/>
    <w:rsid w:val="00B85573"/>
    <w:rsid w:val="00B8579F"/>
    <w:rsid w:val="00B85846"/>
    <w:rsid w:val="00B86476"/>
    <w:rsid w:val="00B8658F"/>
    <w:rsid w:val="00B86896"/>
    <w:rsid w:val="00B86A3D"/>
    <w:rsid w:val="00B86A65"/>
    <w:rsid w:val="00B875C7"/>
    <w:rsid w:val="00B879BB"/>
    <w:rsid w:val="00B87C56"/>
    <w:rsid w:val="00B87EC9"/>
    <w:rsid w:val="00B90D10"/>
    <w:rsid w:val="00B90FE5"/>
    <w:rsid w:val="00B910C7"/>
    <w:rsid w:val="00B919AD"/>
    <w:rsid w:val="00B91A2B"/>
    <w:rsid w:val="00B922A2"/>
    <w:rsid w:val="00B925E3"/>
    <w:rsid w:val="00B92C4A"/>
    <w:rsid w:val="00B93204"/>
    <w:rsid w:val="00B9455D"/>
    <w:rsid w:val="00B94E17"/>
    <w:rsid w:val="00B957FE"/>
    <w:rsid w:val="00B958CD"/>
    <w:rsid w:val="00B959ED"/>
    <w:rsid w:val="00B95F02"/>
    <w:rsid w:val="00B96BEF"/>
    <w:rsid w:val="00B96D20"/>
    <w:rsid w:val="00B96FC0"/>
    <w:rsid w:val="00B9703B"/>
    <w:rsid w:val="00B97260"/>
    <w:rsid w:val="00B974E0"/>
    <w:rsid w:val="00B97747"/>
    <w:rsid w:val="00B97A69"/>
    <w:rsid w:val="00BA029E"/>
    <w:rsid w:val="00BA0375"/>
    <w:rsid w:val="00BA0632"/>
    <w:rsid w:val="00BA0AAA"/>
    <w:rsid w:val="00BA0AE9"/>
    <w:rsid w:val="00BA0DFB"/>
    <w:rsid w:val="00BA0FD1"/>
    <w:rsid w:val="00BA2542"/>
    <w:rsid w:val="00BA2FEF"/>
    <w:rsid w:val="00BA3D6F"/>
    <w:rsid w:val="00BA4F1C"/>
    <w:rsid w:val="00BA584C"/>
    <w:rsid w:val="00BA5E62"/>
    <w:rsid w:val="00BA6425"/>
    <w:rsid w:val="00BA66A2"/>
    <w:rsid w:val="00BA6D52"/>
    <w:rsid w:val="00BA7E34"/>
    <w:rsid w:val="00BA7E4E"/>
    <w:rsid w:val="00BA7E92"/>
    <w:rsid w:val="00BA7F3D"/>
    <w:rsid w:val="00BB001A"/>
    <w:rsid w:val="00BB0149"/>
    <w:rsid w:val="00BB0A97"/>
    <w:rsid w:val="00BB1548"/>
    <w:rsid w:val="00BB18A9"/>
    <w:rsid w:val="00BB1CC4"/>
    <w:rsid w:val="00BB1CE7"/>
    <w:rsid w:val="00BB26A8"/>
    <w:rsid w:val="00BB2FD3"/>
    <w:rsid w:val="00BB2FDF"/>
    <w:rsid w:val="00BB2FFF"/>
    <w:rsid w:val="00BB3BB3"/>
    <w:rsid w:val="00BB4196"/>
    <w:rsid w:val="00BB53DE"/>
    <w:rsid w:val="00BB5FCB"/>
    <w:rsid w:val="00BB604B"/>
    <w:rsid w:val="00BB6681"/>
    <w:rsid w:val="00BB7A6B"/>
    <w:rsid w:val="00BB7E2F"/>
    <w:rsid w:val="00BC00EC"/>
    <w:rsid w:val="00BC01DD"/>
    <w:rsid w:val="00BC04E1"/>
    <w:rsid w:val="00BC08C5"/>
    <w:rsid w:val="00BC1141"/>
    <w:rsid w:val="00BC1206"/>
    <w:rsid w:val="00BC12FB"/>
    <w:rsid w:val="00BC13BA"/>
    <w:rsid w:val="00BC160A"/>
    <w:rsid w:val="00BC1C3C"/>
    <w:rsid w:val="00BC28A5"/>
    <w:rsid w:val="00BC2A22"/>
    <w:rsid w:val="00BC307F"/>
    <w:rsid w:val="00BC3159"/>
    <w:rsid w:val="00BC31A1"/>
    <w:rsid w:val="00BC3257"/>
    <w:rsid w:val="00BC39DB"/>
    <w:rsid w:val="00BC3A32"/>
    <w:rsid w:val="00BC3B07"/>
    <w:rsid w:val="00BC3D67"/>
    <w:rsid w:val="00BC42D0"/>
    <w:rsid w:val="00BC4343"/>
    <w:rsid w:val="00BC442C"/>
    <w:rsid w:val="00BC46EF"/>
    <w:rsid w:val="00BC4A0D"/>
    <w:rsid w:val="00BC50E7"/>
    <w:rsid w:val="00BC6BC1"/>
    <w:rsid w:val="00BC6FD6"/>
    <w:rsid w:val="00BC793D"/>
    <w:rsid w:val="00BD008E"/>
    <w:rsid w:val="00BD03A8"/>
    <w:rsid w:val="00BD0444"/>
    <w:rsid w:val="00BD051B"/>
    <w:rsid w:val="00BD0653"/>
    <w:rsid w:val="00BD0F02"/>
    <w:rsid w:val="00BD1B9B"/>
    <w:rsid w:val="00BD28AA"/>
    <w:rsid w:val="00BD2F3B"/>
    <w:rsid w:val="00BD3038"/>
    <w:rsid w:val="00BD3372"/>
    <w:rsid w:val="00BD4708"/>
    <w:rsid w:val="00BD50AA"/>
    <w:rsid w:val="00BD5135"/>
    <w:rsid w:val="00BD596B"/>
    <w:rsid w:val="00BD5B20"/>
    <w:rsid w:val="00BD5F76"/>
    <w:rsid w:val="00BD6879"/>
    <w:rsid w:val="00BD7291"/>
    <w:rsid w:val="00BD7E7D"/>
    <w:rsid w:val="00BD7EA3"/>
    <w:rsid w:val="00BD7FE2"/>
    <w:rsid w:val="00BE0849"/>
    <w:rsid w:val="00BE0B19"/>
    <w:rsid w:val="00BE0DD8"/>
    <w:rsid w:val="00BE13F0"/>
    <w:rsid w:val="00BE1D82"/>
    <w:rsid w:val="00BE1EE4"/>
    <w:rsid w:val="00BE1F8B"/>
    <w:rsid w:val="00BE25CC"/>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5AF"/>
    <w:rsid w:val="00BE684E"/>
    <w:rsid w:val="00BE6C02"/>
    <w:rsid w:val="00BE6EA1"/>
    <w:rsid w:val="00BE7529"/>
    <w:rsid w:val="00BE7C4D"/>
    <w:rsid w:val="00BE7D16"/>
    <w:rsid w:val="00BE7D1F"/>
    <w:rsid w:val="00BE7F6A"/>
    <w:rsid w:val="00BF00E9"/>
    <w:rsid w:val="00BF0274"/>
    <w:rsid w:val="00BF0296"/>
    <w:rsid w:val="00BF04A6"/>
    <w:rsid w:val="00BF056E"/>
    <w:rsid w:val="00BF08C4"/>
    <w:rsid w:val="00BF0BAF"/>
    <w:rsid w:val="00BF19CE"/>
    <w:rsid w:val="00BF1DCB"/>
    <w:rsid w:val="00BF1FEB"/>
    <w:rsid w:val="00BF2A35"/>
    <w:rsid w:val="00BF2B6F"/>
    <w:rsid w:val="00BF351A"/>
    <w:rsid w:val="00BF3914"/>
    <w:rsid w:val="00BF41C1"/>
    <w:rsid w:val="00BF49B1"/>
    <w:rsid w:val="00BF4ADD"/>
    <w:rsid w:val="00BF4E6F"/>
    <w:rsid w:val="00BF4FEE"/>
    <w:rsid w:val="00BF507C"/>
    <w:rsid w:val="00BF5552"/>
    <w:rsid w:val="00BF559B"/>
    <w:rsid w:val="00BF5A18"/>
    <w:rsid w:val="00BF5ABE"/>
    <w:rsid w:val="00BF5CC9"/>
    <w:rsid w:val="00BF6A84"/>
    <w:rsid w:val="00BF6CBF"/>
    <w:rsid w:val="00BF720C"/>
    <w:rsid w:val="00BF73F2"/>
    <w:rsid w:val="00BF750C"/>
    <w:rsid w:val="00C010A2"/>
    <w:rsid w:val="00C01253"/>
    <w:rsid w:val="00C01671"/>
    <w:rsid w:val="00C019FF"/>
    <w:rsid w:val="00C01BFB"/>
    <w:rsid w:val="00C01D57"/>
    <w:rsid w:val="00C01EA0"/>
    <w:rsid w:val="00C02419"/>
    <w:rsid w:val="00C02766"/>
    <w:rsid w:val="00C027DD"/>
    <w:rsid w:val="00C02F76"/>
    <w:rsid w:val="00C031D9"/>
    <w:rsid w:val="00C03231"/>
    <w:rsid w:val="00C0373A"/>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0908"/>
    <w:rsid w:val="00C1112B"/>
    <w:rsid w:val="00C11933"/>
    <w:rsid w:val="00C11A88"/>
    <w:rsid w:val="00C11BED"/>
    <w:rsid w:val="00C12012"/>
    <w:rsid w:val="00C12874"/>
    <w:rsid w:val="00C12990"/>
    <w:rsid w:val="00C12BC1"/>
    <w:rsid w:val="00C133FF"/>
    <w:rsid w:val="00C13BDA"/>
    <w:rsid w:val="00C13FFD"/>
    <w:rsid w:val="00C14083"/>
    <w:rsid w:val="00C14632"/>
    <w:rsid w:val="00C147BE"/>
    <w:rsid w:val="00C14D3A"/>
    <w:rsid w:val="00C167DB"/>
    <w:rsid w:val="00C16C30"/>
    <w:rsid w:val="00C17952"/>
    <w:rsid w:val="00C17FDB"/>
    <w:rsid w:val="00C20A00"/>
    <w:rsid w:val="00C20BA6"/>
    <w:rsid w:val="00C21673"/>
    <w:rsid w:val="00C21C7A"/>
    <w:rsid w:val="00C23130"/>
    <w:rsid w:val="00C2428B"/>
    <w:rsid w:val="00C24631"/>
    <w:rsid w:val="00C255A5"/>
    <w:rsid w:val="00C25758"/>
    <w:rsid w:val="00C2584B"/>
    <w:rsid w:val="00C25942"/>
    <w:rsid w:val="00C25D34"/>
    <w:rsid w:val="00C25D65"/>
    <w:rsid w:val="00C25DD9"/>
    <w:rsid w:val="00C25EF0"/>
    <w:rsid w:val="00C25F31"/>
    <w:rsid w:val="00C2663F"/>
    <w:rsid w:val="00C267B2"/>
    <w:rsid w:val="00C267CC"/>
    <w:rsid w:val="00C26DB8"/>
    <w:rsid w:val="00C272EF"/>
    <w:rsid w:val="00C27663"/>
    <w:rsid w:val="00C30E58"/>
    <w:rsid w:val="00C3109B"/>
    <w:rsid w:val="00C312BD"/>
    <w:rsid w:val="00C31BFF"/>
    <w:rsid w:val="00C32217"/>
    <w:rsid w:val="00C322C1"/>
    <w:rsid w:val="00C327E7"/>
    <w:rsid w:val="00C32B5A"/>
    <w:rsid w:val="00C32EC0"/>
    <w:rsid w:val="00C3397A"/>
    <w:rsid w:val="00C3400F"/>
    <w:rsid w:val="00C344A0"/>
    <w:rsid w:val="00C34B64"/>
    <w:rsid w:val="00C34C36"/>
    <w:rsid w:val="00C34F37"/>
    <w:rsid w:val="00C352B3"/>
    <w:rsid w:val="00C35C24"/>
    <w:rsid w:val="00C3654C"/>
    <w:rsid w:val="00C3656F"/>
    <w:rsid w:val="00C36BF5"/>
    <w:rsid w:val="00C36DBC"/>
    <w:rsid w:val="00C376BA"/>
    <w:rsid w:val="00C3787F"/>
    <w:rsid w:val="00C37ED3"/>
    <w:rsid w:val="00C40373"/>
    <w:rsid w:val="00C4082D"/>
    <w:rsid w:val="00C40971"/>
    <w:rsid w:val="00C40AA9"/>
    <w:rsid w:val="00C40AE6"/>
    <w:rsid w:val="00C411AF"/>
    <w:rsid w:val="00C41385"/>
    <w:rsid w:val="00C4138D"/>
    <w:rsid w:val="00C413CB"/>
    <w:rsid w:val="00C415BC"/>
    <w:rsid w:val="00C41D0E"/>
    <w:rsid w:val="00C41D4B"/>
    <w:rsid w:val="00C41E3A"/>
    <w:rsid w:val="00C4208D"/>
    <w:rsid w:val="00C4304C"/>
    <w:rsid w:val="00C43315"/>
    <w:rsid w:val="00C43F62"/>
    <w:rsid w:val="00C441EA"/>
    <w:rsid w:val="00C44677"/>
    <w:rsid w:val="00C44EA4"/>
    <w:rsid w:val="00C452F5"/>
    <w:rsid w:val="00C45465"/>
    <w:rsid w:val="00C454AC"/>
    <w:rsid w:val="00C4617E"/>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9D2"/>
    <w:rsid w:val="00C53EB3"/>
    <w:rsid w:val="00C542D4"/>
    <w:rsid w:val="00C54D71"/>
    <w:rsid w:val="00C55178"/>
    <w:rsid w:val="00C55751"/>
    <w:rsid w:val="00C55832"/>
    <w:rsid w:val="00C55E7C"/>
    <w:rsid w:val="00C5615F"/>
    <w:rsid w:val="00C563F5"/>
    <w:rsid w:val="00C570F7"/>
    <w:rsid w:val="00C574BB"/>
    <w:rsid w:val="00C60EE5"/>
    <w:rsid w:val="00C61A40"/>
    <w:rsid w:val="00C61C91"/>
    <w:rsid w:val="00C61E91"/>
    <w:rsid w:val="00C62254"/>
    <w:rsid w:val="00C62CD5"/>
    <w:rsid w:val="00C636E6"/>
    <w:rsid w:val="00C639D6"/>
    <w:rsid w:val="00C63F8E"/>
    <w:rsid w:val="00C647FB"/>
    <w:rsid w:val="00C64BE7"/>
    <w:rsid w:val="00C654E0"/>
    <w:rsid w:val="00C67719"/>
    <w:rsid w:val="00C67EAB"/>
    <w:rsid w:val="00C70DFF"/>
    <w:rsid w:val="00C71CB4"/>
    <w:rsid w:val="00C72B94"/>
    <w:rsid w:val="00C72D64"/>
    <w:rsid w:val="00C745E6"/>
    <w:rsid w:val="00C74FEE"/>
    <w:rsid w:val="00C7542E"/>
    <w:rsid w:val="00C75A6B"/>
    <w:rsid w:val="00C761FE"/>
    <w:rsid w:val="00C763B6"/>
    <w:rsid w:val="00C7644F"/>
    <w:rsid w:val="00C768F6"/>
    <w:rsid w:val="00C76FF3"/>
    <w:rsid w:val="00C77848"/>
    <w:rsid w:val="00C80073"/>
    <w:rsid w:val="00C800C3"/>
    <w:rsid w:val="00C805E7"/>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646D"/>
    <w:rsid w:val="00C864DD"/>
    <w:rsid w:val="00C86EB6"/>
    <w:rsid w:val="00C8710F"/>
    <w:rsid w:val="00C871EC"/>
    <w:rsid w:val="00C875D5"/>
    <w:rsid w:val="00C876BC"/>
    <w:rsid w:val="00C87C30"/>
    <w:rsid w:val="00C9088B"/>
    <w:rsid w:val="00C90FA1"/>
    <w:rsid w:val="00C91DE3"/>
    <w:rsid w:val="00C92C7F"/>
    <w:rsid w:val="00C9369D"/>
    <w:rsid w:val="00C9383D"/>
    <w:rsid w:val="00C944FA"/>
    <w:rsid w:val="00C95617"/>
    <w:rsid w:val="00C957B6"/>
    <w:rsid w:val="00C95854"/>
    <w:rsid w:val="00C959FD"/>
    <w:rsid w:val="00C95D24"/>
    <w:rsid w:val="00C95E71"/>
    <w:rsid w:val="00C95EFF"/>
    <w:rsid w:val="00C96A2A"/>
    <w:rsid w:val="00C96AE7"/>
    <w:rsid w:val="00C96E6F"/>
    <w:rsid w:val="00C97872"/>
    <w:rsid w:val="00CA0532"/>
    <w:rsid w:val="00CA0818"/>
    <w:rsid w:val="00CA0B4C"/>
    <w:rsid w:val="00CA17DE"/>
    <w:rsid w:val="00CA221D"/>
    <w:rsid w:val="00CA2241"/>
    <w:rsid w:val="00CA3CDD"/>
    <w:rsid w:val="00CA3F67"/>
    <w:rsid w:val="00CA402A"/>
    <w:rsid w:val="00CA403B"/>
    <w:rsid w:val="00CA46C8"/>
    <w:rsid w:val="00CA505A"/>
    <w:rsid w:val="00CA53BD"/>
    <w:rsid w:val="00CA572A"/>
    <w:rsid w:val="00CA59DD"/>
    <w:rsid w:val="00CA6849"/>
    <w:rsid w:val="00CB008E"/>
    <w:rsid w:val="00CB01FA"/>
    <w:rsid w:val="00CB0737"/>
    <w:rsid w:val="00CB097A"/>
    <w:rsid w:val="00CB0E3E"/>
    <w:rsid w:val="00CB1BF3"/>
    <w:rsid w:val="00CB24A2"/>
    <w:rsid w:val="00CB26EC"/>
    <w:rsid w:val="00CB2881"/>
    <w:rsid w:val="00CB2D2A"/>
    <w:rsid w:val="00CB32E4"/>
    <w:rsid w:val="00CB3808"/>
    <w:rsid w:val="00CB4073"/>
    <w:rsid w:val="00CB4793"/>
    <w:rsid w:val="00CB514C"/>
    <w:rsid w:val="00CB577C"/>
    <w:rsid w:val="00CB5B1E"/>
    <w:rsid w:val="00CB73B1"/>
    <w:rsid w:val="00CB787A"/>
    <w:rsid w:val="00CC0C4A"/>
    <w:rsid w:val="00CC12E2"/>
    <w:rsid w:val="00CC17F0"/>
    <w:rsid w:val="00CC1853"/>
    <w:rsid w:val="00CC1B01"/>
    <w:rsid w:val="00CC1D13"/>
    <w:rsid w:val="00CC1FAE"/>
    <w:rsid w:val="00CC27A0"/>
    <w:rsid w:val="00CC39A4"/>
    <w:rsid w:val="00CC3A23"/>
    <w:rsid w:val="00CC3BD5"/>
    <w:rsid w:val="00CC3CD6"/>
    <w:rsid w:val="00CC4258"/>
    <w:rsid w:val="00CC426A"/>
    <w:rsid w:val="00CC5080"/>
    <w:rsid w:val="00CC50D9"/>
    <w:rsid w:val="00CC603E"/>
    <w:rsid w:val="00CC70D9"/>
    <w:rsid w:val="00CC737C"/>
    <w:rsid w:val="00CC737E"/>
    <w:rsid w:val="00CD0643"/>
    <w:rsid w:val="00CD087D"/>
    <w:rsid w:val="00CD0F5D"/>
    <w:rsid w:val="00CD1C0B"/>
    <w:rsid w:val="00CD239A"/>
    <w:rsid w:val="00CD256A"/>
    <w:rsid w:val="00CD469A"/>
    <w:rsid w:val="00CD47AB"/>
    <w:rsid w:val="00CD48BB"/>
    <w:rsid w:val="00CD4BE7"/>
    <w:rsid w:val="00CD5098"/>
    <w:rsid w:val="00CD50B1"/>
    <w:rsid w:val="00CD5512"/>
    <w:rsid w:val="00CD5BCB"/>
    <w:rsid w:val="00CD6A95"/>
    <w:rsid w:val="00CD6B7C"/>
    <w:rsid w:val="00CD6E3D"/>
    <w:rsid w:val="00CD71AB"/>
    <w:rsid w:val="00CD7283"/>
    <w:rsid w:val="00CD7766"/>
    <w:rsid w:val="00CD7958"/>
    <w:rsid w:val="00CD7CB1"/>
    <w:rsid w:val="00CE0109"/>
    <w:rsid w:val="00CE0699"/>
    <w:rsid w:val="00CE1FC5"/>
    <w:rsid w:val="00CE4365"/>
    <w:rsid w:val="00CE46E5"/>
    <w:rsid w:val="00CE485A"/>
    <w:rsid w:val="00CE5279"/>
    <w:rsid w:val="00CE5528"/>
    <w:rsid w:val="00CE5A78"/>
    <w:rsid w:val="00CE5D63"/>
    <w:rsid w:val="00CE6972"/>
    <w:rsid w:val="00CE75DD"/>
    <w:rsid w:val="00CE78AE"/>
    <w:rsid w:val="00CE7E62"/>
    <w:rsid w:val="00CF1390"/>
    <w:rsid w:val="00CF195E"/>
    <w:rsid w:val="00CF19DA"/>
    <w:rsid w:val="00CF1C7F"/>
    <w:rsid w:val="00CF1CC0"/>
    <w:rsid w:val="00CF24F8"/>
    <w:rsid w:val="00CF2628"/>
    <w:rsid w:val="00CF2653"/>
    <w:rsid w:val="00CF2E6A"/>
    <w:rsid w:val="00CF3CD3"/>
    <w:rsid w:val="00CF3D5A"/>
    <w:rsid w:val="00CF4247"/>
    <w:rsid w:val="00CF5190"/>
    <w:rsid w:val="00CF5239"/>
    <w:rsid w:val="00CF5263"/>
    <w:rsid w:val="00CF5418"/>
    <w:rsid w:val="00CF5A56"/>
    <w:rsid w:val="00CF5E61"/>
    <w:rsid w:val="00CF60B5"/>
    <w:rsid w:val="00CF721A"/>
    <w:rsid w:val="00CF7408"/>
    <w:rsid w:val="00CF7ACF"/>
    <w:rsid w:val="00CF7F77"/>
    <w:rsid w:val="00D001A4"/>
    <w:rsid w:val="00D004FA"/>
    <w:rsid w:val="00D01967"/>
    <w:rsid w:val="00D01B21"/>
    <w:rsid w:val="00D01E2F"/>
    <w:rsid w:val="00D01E9C"/>
    <w:rsid w:val="00D028FF"/>
    <w:rsid w:val="00D030B7"/>
    <w:rsid w:val="00D03102"/>
    <w:rsid w:val="00D03420"/>
    <w:rsid w:val="00D03727"/>
    <w:rsid w:val="00D0378A"/>
    <w:rsid w:val="00D03D32"/>
    <w:rsid w:val="00D04289"/>
    <w:rsid w:val="00D04E17"/>
    <w:rsid w:val="00D05132"/>
    <w:rsid w:val="00D0545E"/>
    <w:rsid w:val="00D05479"/>
    <w:rsid w:val="00D05EA9"/>
    <w:rsid w:val="00D05F0A"/>
    <w:rsid w:val="00D067FB"/>
    <w:rsid w:val="00D071F8"/>
    <w:rsid w:val="00D07252"/>
    <w:rsid w:val="00D074F4"/>
    <w:rsid w:val="00D07A3B"/>
    <w:rsid w:val="00D07CE1"/>
    <w:rsid w:val="00D1026A"/>
    <w:rsid w:val="00D103E6"/>
    <w:rsid w:val="00D107CF"/>
    <w:rsid w:val="00D10893"/>
    <w:rsid w:val="00D10CEB"/>
    <w:rsid w:val="00D10E56"/>
    <w:rsid w:val="00D111C8"/>
    <w:rsid w:val="00D11B0B"/>
    <w:rsid w:val="00D11FC2"/>
    <w:rsid w:val="00D12075"/>
    <w:rsid w:val="00D12293"/>
    <w:rsid w:val="00D13A98"/>
    <w:rsid w:val="00D1415C"/>
    <w:rsid w:val="00D1418A"/>
    <w:rsid w:val="00D14236"/>
    <w:rsid w:val="00D14553"/>
    <w:rsid w:val="00D1456F"/>
    <w:rsid w:val="00D1474F"/>
    <w:rsid w:val="00D149D2"/>
    <w:rsid w:val="00D14DB1"/>
    <w:rsid w:val="00D15263"/>
    <w:rsid w:val="00D15327"/>
    <w:rsid w:val="00D1583B"/>
    <w:rsid w:val="00D15F43"/>
    <w:rsid w:val="00D16024"/>
    <w:rsid w:val="00D16326"/>
    <w:rsid w:val="00D16E87"/>
    <w:rsid w:val="00D17204"/>
    <w:rsid w:val="00D17C6A"/>
    <w:rsid w:val="00D20B8B"/>
    <w:rsid w:val="00D2162C"/>
    <w:rsid w:val="00D217E9"/>
    <w:rsid w:val="00D21A3C"/>
    <w:rsid w:val="00D233F1"/>
    <w:rsid w:val="00D23BA4"/>
    <w:rsid w:val="00D241D2"/>
    <w:rsid w:val="00D24765"/>
    <w:rsid w:val="00D256F8"/>
    <w:rsid w:val="00D257E4"/>
    <w:rsid w:val="00D259EB"/>
    <w:rsid w:val="00D25AA0"/>
    <w:rsid w:val="00D2685C"/>
    <w:rsid w:val="00D26A3B"/>
    <w:rsid w:val="00D26D2A"/>
    <w:rsid w:val="00D302FD"/>
    <w:rsid w:val="00D3038A"/>
    <w:rsid w:val="00D3098D"/>
    <w:rsid w:val="00D3187F"/>
    <w:rsid w:val="00D31A02"/>
    <w:rsid w:val="00D31BCF"/>
    <w:rsid w:val="00D32786"/>
    <w:rsid w:val="00D328DA"/>
    <w:rsid w:val="00D32A09"/>
    <w:rsid w:val="00D3323C"/>
    <w:rsid w:val="00D33456"/>
    <w:rsid w:val="00D336CF"/>
    <w:rsid w:val="00D3396F"/>
    <w:rsid w:val="00D33D4D"/>
    <w:rsid w:val="00D34988"/>
    <w:rsid w:val="00D34A0B"/>
    <w:rsid w:val="00D3567F"/>
    <w:rsid w:val="00D36234"/>
    <w:rsid w:val="00D36371"/>
    <w:rsid w:val="00D364C2"/>
    <w:rsid w:val="00D37547"/>
    <w:rsid w:val="00D3768F"/>
    <w:rsid w:val="00D41005"/>
    <w:rsid w:val="00D41A6F"/>
    <w:rsid w:val="00D41C80"/>
    <w:rsid w:val="00D41CC4"/>
    <w:rsid w:val="00D4229C"/>
    <w:rsid w:val="00D42B94"/>
    <w:rsid w:val="00D437D8"/>
    <w:rsid w:val="00D44994"/>
    <w:rsid w:val="00D44E40"/>
    <w:rsid w:val="00D45630"/>
    <w:rsid w:val="00D45C8D"/>
    <w:rsid w:val="00D45DF3"/>
    <w:rsid w:val="00D46174"/>
    <w:rsid w:val="00D47DD0"/>
    <w:rsid w:val="00D50183"/>
    <w:rsid w:val="00D505A3"/>
    <w:rsid w:val="00D51D12"/>
    <w:rsid w:val="00D521B2"/>
    <w:rsid w:val="00D523C9"/>
    <w:rsid w:val="00D52F94"/>
    <w:rsid w:val="00D5362B"/>
    <w:rsid w:val="00D53C29"/>
    <w:rsid w:val="00D54500"/>
    <w:rsid w:val="00D54536"/>
    <w:rsid w:val="00D547F8"/>
    <w:rsid w:val="00D547FE"/>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76F"/>
    <w:rsid w:val="00D61F24"/>
    <w:rsid w:val="00D61FE0"/>
    <w:rsid w:val="00D61FF0"/>
    <w:rsid w:val="00D62106"/>
    <w:rsid w:val="00D6211D"/>
    <w:rsid w:val="00D62BD2"/>
    <w:rsid w:val="00D62C97"/>
    <w:rsid w:val="00D63517"/>
    <w:rsid w:val="00D6394B"/>
    <w:rsid w:val="00D63B75"/>
    <w:rsid w:val="00D63D97"/>
    <w:rsid w:val="00D63EA4"/>
    <w:rsid w:val="00D648A1"/>
    <w:rsid w:val="00D64F4F"/>
    <w:rsid w:val="00D65315"/>
    <w:rsid w:val="00D65569"/>
    <w:rsid w:val="00D659B1"/>
    <w:rsid w:val="00D66D92"/>
    <w:rsid w:val="00D66E18"/>
    <w:rsid w:val="00D6734D"/>
    <w:rsid w:val="00D67733"/>
    <w:rsid w:val="00D67823"/>
    <w:rsid w:val="00D679CF"/>
    <w:rsid w:val="00D679D3"/>
    <w:rsid w:val="00D70A36"/>
    <w:rsid w:val="00D713D7"/>
    <w:rsid w:val="00D718A2"/>
    <w:rsid w:val="00D72615"/>
    <w:rsid w:val="00D72B31"/>
    <w:rsid w:val="00D72DE1"/>
    <w:rsid w:val="00D73469"/>
    <w:rsid w:val="00D7356F"/>
    <w:rsid w:val="00D73587"/>
    <w:rsid w:val="00D73EBB"/>
    <w:rsid w:val="00D73F90"/>
    <w:rsid w:val="00D74B92"/>
    <w:rsid w:val="00D751FB"/>
    <w:rsid w:val="00D754D6"/>
    <w:rsid w:val="00D75895"/>
    <w:rsid w:val="00D75B44"/>
    <w:rsid w:val="00D761AA"/>
    <w:rsid w:val="00D76CC6"/>
    <w:rsid w:val="00D76FAE"/>
    <w:rsid w:val="00D77040"/>
    <w:rsid w:val="00D777D7"/>
    <w:rsid w:val="00D77948"/>
    <w:rsid w:val="00D805E6"/>
    <w:rsid w:val="00D807ED"/>
    <w:rsid w:val="00D80AB8"/>
    <w:rsid w:val="00D80FEC"/>
    <w:rsid w:val="00D81792"/>
    <w:rsid w:val="00D819B1"/>
    <w:rsid w:val="00D81BA1"/>
    <w:rsid w:val="00D822EB"/>
    <w:rsid w:val="00D82494"/>
    <w:rsid w:val="00D830C6"/>
    <w:rsid w:val="00D8344F"/>
    <w:rsid w:val="00D8375D"/>
    <w:rsid w:val="00D83898"/>
    <w:rsid w:val="00D83AE9"/>
    <w:rsid w:val="00D83F48"/>
    <w:rsid w:val="00D84266"/>
    <w:rsid w:val="00D847E8"/>
    <w:rsid w:val="00D84C46"/>
    <w:rsid w:val="00D857B8"/>
    <w:rsid w:val="00D85D1F"/>
    <w:rsid w:val="00D87175"/>
    <w:rsid w:val="00D87ABF"/>
    <w:rsid w:val="00D87C75"/>
    <w:rsid w:val="00D9068F"/>
    <w:rsid w:val="00D90CD3"/>
    <w:rsid w:val="00D90D8D"/>
    <w:rsid w:val="00D90E2C"/>
    <w:rsid w:val="00D919E6"/>
    <w:rsid w:val="00D919F0"/>
    <w:rsid w:val="00D91BE1"/>
    <w:rsid w:val="00D91F8B"/>
    <w:rsid w:val="00D92B24"/>
    <w:rsid w:val="00D92C29"/>
    <w:rsid w:val="00D93252"/>
    <w:rsid w:val="00D936E2"/>
    <w:rsid w:val="00D93D35"/>
    <w:rsid w:val="00D945B3"/>
    <w:rsid w:val="00D94A9F"/>
    <w:rsid w:val="00D94F5D"/>
    <w:rsid w:val="00D9503C"/>
    <w:rsid w:val="00D95104"/>
    <w:rsid w:val="00D95600"/>
    <w:rsid w:val="00D957DB"/>
    <w:rsid w:val="00D95900"/>
    <w:rsid w:val="00D9683C"/>
    <w:rsid w:val="00D977A0"/>
    <w:rsid w:val="00D97884"/>
    <w:rsid w:val="00D97A30"/>
    <w:rsid w:val="00D97C79"/>
    <w:rsid w:val="00D97F43"/>
    <w:rsid w:val="00DA0101"/>
    <w:rsid w:val="00DA0712"/>
    <w:rsid w:val="00DA0A7F"/>
    <w:rsid w:val="00DA1C31"/>
    <w:rsid w:val="00DA20BC"/>
    <w:rsid w:val="00DA249F"/>
    <w:rsid w:val="00DA2575"/>
    <w:rsid w:val="00DA26BA"/>
    <w:rsid w:val="00DA272E"/>
    <w:rsid w:val="00DA2DBA"/>
    <w:rsid w:val="00DA2ED7"/>
    <w:rsid w:val="00DA33B7"/>
    <w:rsid w:val="00DA3E7A"/>
    <w:rsid w:val="00DA3EF7"/>
    <w:rsid w:val="00DA3F5B"/>
    <w:rsid w:val="00DA430C"/>
    <w:rsid w:val="00DA4DE3"/>
    <w:rsid w:val="00DA4E38"/>
    <w:rsid w:val="00DA5471"/>
    <w:rsid w:val="00DA615D"/>
    <w:rsid w:val="00DA6598"/>
    <w:rsid w:val="00DA6C0F"/>
    <w:rsid w:val="00DA702F"/>
    <w:rsid w:val="00DA714D"/>
    <w:rsid w:val="00DA7500"/>
    <w:rsid w:val="00DA764C"/>
    <w:rsid w:val="00DA7F8A"/>
    <w:rsid w:val="00DB0176"/>
    <w:rsid w:val="00DB0404"/>
    <w:rsid w:val="00DB0545"/>
    <w:rsid w:val="00DB069C"/>
    <w:rsid w:val="00DB06C9"/>
    <w:rsid w:val="00DB08DD"/>
    <w:rsid w:val="00DB0E59"/>
    <w:rsid w:val="00DB0F03"/>
    <w:rsid w:val="00DB11F8"/>
    <w:rsid w:val="00DB18F8"/>
    <w:rsid w:val="00DB1F2A"/>
    <w:rsid w:val="00DB2175"/>
    <w:rsid w:val="00DB297F"/>
    <w:rsid w:val="00DB2C83"/>
    <w:rsid w:val="00DB3153"/>
    <w:rsid w:val="00DB317A"/>
    <w:rsid w:val="00DB370F"/>
    <w:rsid w:val="00DB3AA2"/>
    <w:rsid w:val="00DB3B82"/>
    <w:rsid w:val="00DB485D"/>
    <w:rsid w:val="00DB4C6E"/>
    <w:rsid w:val="00DB4FF4"/>
    <w:rsid w:val="00DB5293"/>
    <w:rsid w:val="00DB5432"/>
    <w:rsid w:val="00DB5C4F"/>
    <w:rsid w:val="00DB6A68"/>
    <w:rsid w:val="00DB6ED8"/>
    <w:rsid w:val="00DC1301"/>
    <w:rsid w:val="00DC1327"/>
    <w:rsid w:val="00DC1350"/>
    <w:rsid w:val="00DC1821"/>
    <w:rsid w:val="00DC1CDA"/>
    <w:rsid w:val="00DC3237"/>
    <w:rsid w:val="00DC367A"/>
    <w:rsid w:val="00DC36F3"/>
    <w:rsid w:val="00DC3BE6"/>
    <w:rsid w:val="00DC41A4"/>
    <w:rsid w:val="00DC4C33"/>
    <w:rsid w:val="00DC5150"/>
    <w:rsid w:val="00DC52CD"/>
    <w:rsid w:val="00DC5672"/>
    <w:rsid w:val="00DC5726"/>
    <w:rsid w:val="00DC5839"/>
    <w:rsid w:val="00DC5B56"/>
    <w:rsid w:val="00DC60A2"/>
    <w:rsid w:val="00DC6600"/>
    <w:rsid w:val="00DC67BD"/>
    <w:rsid w:val="00DC6924"/>
    <w:rsid w:val="00DC71F2"/>
    <w:rsid w:val="00DC7770"/>
    <w:rsid w:val="00DC7E52"/>
    <w:rsid w:val="00DD0485"/>
    <w:rsid w:val="00DD12C5"/>
    <w:rsid w:val="00DD2025"/>
    <w:rsid w:val="00DD219C"/>
    <w:rsid w:val="00DD22EA"/>
    <w:rsid w:val="00DD23A0"/>
    <w:rsid w:val="00DD24CC"/>
    <w:rsid w:val="00DD38EE"/>
    <w:rsid w:val="00DD3EF5"/>
    <w:rsid w:val="00DD4227"/>
    <w:rsid w:val="00DD53FA"/>
    <w:rsid w:val="00DD5662"/>
    <w:rsid w:val="00DD58C2"/>
    <w:rsid w:val="00DD5F42"/>
    <w:rsid w:val="00DD617B"/>
    <w:rsid w:val="00DD6238"/>
    <w:rsid w:val="00DD64C0"/>
    <w:rsid w:val="00DD64C2"/>
    <w:rsid w:val="00DD6D4E"/>
    <w:rsid w:val="00DD7072"/>
    <w:rsid w:val="00DD79A6"/>
    <w:rsid w:val="00DE0443"/>
    <w:rsid w:val="00DE068C"/>
    <w:rsid w:val="00DE0E59"/>
    <w:rsid w:val="00DE0F6C"/>
    <w:rsid w:val="00DE12F0"/>
    <w:rsid w:val="00DE1A69"/>
    <w:rsid w:val="00DE219B"/>
    <w:rsid w:val="00DE22AE"/>
    <w:rsid w:val="00DE3407"/>
    <w:rsid w:val="00DE37CA"/>
    <w:rsid w:val="00DE3979"/>
    <w:rsid w:val="00DE4B54"/>
    <w:rsid w:val="00DE4C15"/>
    <w:rsid w:val="00DE52E3"/>
    <w:rsid w:val="00DE57FA"/>
    <w:rsid w:val="00DE70CB"/>
    <w:rsid w:val="00DE73E6"/>
    <w:rsid w:val="00DE788B"/>
    <w:rsid w:val="00DE7C00"/>
    <w:rsid w:val="00DF03E9"/>
    <w:rsid w:val="00DF03ED"/>
    <w:rsid w:val="00DF04EE"/>
    <w:rsid w:val="00DF0BF4"/>
    <w:rsid w:val="00DF0D17"/>
    <w:rsid w:val="00DF0E41"/>
    <w:rsid w:val="00DF0E91"/>
    <w:rsid w:val="00DF10B2"/>
    <w:rsid w:val="00DF179D"/>
    <w:rsid w:val="00DF196C"/>
    <w:rsid w:val="00DF1E9C"/>
    <w:rsid w:val="00DF2168"/>
    <w:rsid w:val="00DF2D2C"/>
    <w:rsid w:val="00DF3B17"/>
    <w:rsid w:val="00DF4572"/>
    <w:rsid w:val="00DF4658"/>
    <w:rsid w:val="00DF4C46"/>
    <w:rsid w:val="00DF5A1C"/>
    <w:rsid w:val="00DF5C5B"/>
    <w:rsid w:val="00DF6C8B"/>
    <w:rsid w:val="00DF6F17"/>
    <w:rsid w:val="00DF6F28"/>
    <w:rsid w:val="00DF6F88"/>
    <w:rsid w:val="00DF7636"/>
    <w:rsid w:val="00DF78FA"/>
    <w:rsid w:val="00DF7960"/>
    <w:rsid w:val="00DF7AE1"/>
    <w:rsid w:val="00E00221"/>
    <w:rsid w:val="00E002F1"/>
    <w:rsid w:val="00E0055A"/>
    <w:rsid w:val="00E0082C"/>
    <w:rsid w:val="00E00B0D"/>
    <w:rsid w:val="00E00F45"/>
    <w:rsid w:val="00E00F55"/>
    <w:rsid w:val="00E01DAA"/>
    <w:rsid w:val="00E023E5"/>
    <w:rsid w:val="00E02432"/>
    <w:rsid w:val="00E0387D"/>
    <w:rsid w:val="00E0394C"/>
    <w:rsid w:val="00E04022"/>
    <w:rsid w:val="00E041C1"/>
    <w:rsid w:val="00E04446"/>
    <w:rsid w:val="00E04A6D"/>
    <w:rsid w:val="00E04DC9"/>
    <w:rsid w:val="00E0543F"/>
    <w:rsid w:val="00E06521"/>
    <w:rsid w:val="00E06528"/>
    <w:rsid w:val="00E066DB"/>
    <w:rsid w:val="00E0728F"/>
    <w:rsid w:val="00E0749C"/>
    <w:rsid w:val="00E0755C"/>
    <w:rsid w:val="00E07679"/>
    <w:rsid w:val="00E10021"/>
    <w:rsid w:val="00E1010C"/>
    <w:rsid w:val="00E112CA"/>
    <w:rsid w:val="00E113C6"/>
    <w:rsid w:val="00E128E9"/>
    <w:rsid w:val="00E12BE1"/>
    <w:rsid w:val="00E12DA1"/>
    <w:rsid w:val="00E142BE"/>
    <w:rsid w:val="00E14A7E"/>
    <w:rsid w:val="00E151E1"/>
    <w:rsid w:val="00E15AB0"/>
    <w:rsid w:val="00E15E0E"/>
    <w:rsid w:val="00E16766"/>
    <w:rsid w:val="00E16771"/>
    <w:rsid w:val="00E174A2"/>
    <w:rsid w:val="00E17619"/>
    <w:rsid w:val="00E17805"/>
    <w:rsid w:val="00E178F3"/>
    <w:rsid w:val="00E17CAC"/>
    <w:rsid w:val="00E20112"/>
    <w:rsid w:val="00E203CF"/>
    <w:rsid w:val="00E20AD3"/>
    <w:rsid w:val="00E20F79"/>
    <w:rsid w:val="00E21278"/>
    <w:rsid w:val="00E2150A"/>
    <w:rsid w:val="00E2152C"/>
    <w:rsid w:val="00E22CCD"/>
    <w:rsid w:val="00E23296"/>
    <w:rsid w:val="00E239FC"/>
    <w:rsid w:val="00E23A11"/>
    <w:rsid w:val="00E23FB7"/>
    <w:rsid w:val="00E24A27"/>
    <w:rsid w:val="00E24B5C"/>
    <w:rsid w:val="00E25907"/>
    <w:rsid w:val="00E25934"/>
    <w:rsid w:val="00E25F89"/>
    <w:rsid w:val="00E26009"/>
    <w:rsid w:val="00E26387"/>
    <w:rsid w:val="00E271D9"/>
    <w:rsid w:val="00E274C4"/>
    <w:rsid w:val="00E27894"/>
    <w:rsid w:val="00E27CC0"/>
    <w:rsid w:val="00E3016C"/>
    <w:rsid w:val="00E30808"/>
    <w:rsid w:val="00E3117A"/>
    <w:rsid w:val="00E311C3"/>
    <w:rsid w:val="00E3138E"/>
    <w:rsid w:val="00E31A7E"/>
    <w:rsid w:val="00E32D62"/>
    <w:rsid w:val="00E33955"/>
    <w:rsid w:val="00E339DC"/>
    <w:rsid w:val="00E33E15"/>
    <w:rsid w:val="00E352B0"/>
    <w:rsid w:val="00E353A4"/>
    <w:rsid w:val="00E35923"/>
    <w:rsid w:val="00E361B8"/>
    <w:rsid w:val="00E36A1B"/>
    <w:rsid w:val="00E37DDE"/>
    <w:rsid w:val="00E40703"/>
    <w:rsid w:val="00E40876"/>
    <w:rsid w:val="00E40949"/>
    <w:rsid w:val="00E40C38"/>
    <w:rsid w:val="00E42428"/>
    <w:rsid w:val="00E429ED"/>
    <w:rsid w:val="00E43F37"/>
    <w:rsid w:val="00E441E6"/>
    <w:rsid w:val="00E450ED"/>
    <w:rsid w:val="00E467B6"/>
    <w:rsid w:val="00E46C47"/>
    <w:rsid w:val="00E4765D"/>
    <w:rsid w:val="00E4791B"/>
    <w:rsid w:val="00E47AD7"/>
    <w:rsid w:val="00E47E31"/>
    <w:rsid w:val="00E50960"/>
    <w:rsid w:val="00E50A11"/>
    <w:rsid w:val="00E50AC6"/>
    <w:rsid w:val="00E50FCA"/>
    <w:rsid w:val="00E5108D"/>
    <w:rsid w:val="00E51DDD"/>
    <w:rsid w:val="00E51E20"/>
    <w:rsid w:val="00E51FDD"/>
    <w:rsid w:val="00E523C6"/>
    <w:rsid w:val="00E52435"/>
    <w:rsid w:val="00E52904"/>
    <w:rsid w:val="00E53122"/>
    <w:rsid w:val="00E5351B"/>
    <w:rsid w:val="00E536D3"/>
    <w:rsid w:val="00E53FA9"/>
    <w:rsid w:val="00E5414C"/>
    <w:rsid w:val="00E5431F"/>
    <w:rsid w:val="00E547B3"/>
    <w:rsid w:val="00E55307"/>
    <w:rsid w:val="00E55717"/>
    <w:rsid w:val="00E55FDE"/>
    <w:rsid w:val="00E57050"/>
    <w:rsid w:val="00E5733D"/>
    <w:rsid w:val="00E57613"/>
    <w:rsid w:val="00E576AB"/>
    <w:rsid w:val="00E57EAC"/>
    <w:rsid w:val="00E604EF"/>
    <w:rsid w:val="00E61CA6"/>
    <w:rsid w:val="00E61CC0"/>
    <w:rsid w:val="00E6277B"/>
    <w:rsid w:val="00E62EA7"/>
    <w:rsid w:val="00E63278"/>
    <w:rsid w:val="00E64424"/>
    <w:rsid w:val="00E64C99"/>
    <w:rsid w:val="00E64CD3"/>
    <w:rsid w:val="00E64E8F"/>
    <w:rsid w:val="00E65CE6"/>
    <w:rsid w:val="00E66248"/>
    <w:rsid w:val="00E66945"/>
    <w:rsid w:val="00E671C9"/>
    <w:rsid w:val="00E6743F"/>
    <w:rsid w:val="00E6758E"/>
    <w:rsid w:val="00E67DD9"/>
    <w:rsid w:val="00E67E23"/>
    <w:rsid w:val="00E70016"/>
    <w:rsid w:val="00E70018"/>
    <w:rsid w:val="00E70625"/>
    <w:rsid w:val="00E70658"/>
    <w:rsid w:val="00E708FB"/>
    <w:rsid w:val="00E70BC7"/>
    <w:rsid w:val="00E70F07"/>
    <w:rsid w:val="00E70F22"/>
    <w:rsid w:val="00E70FBC"/>
    <w:rsid w:val="00E718B4"/>
    <w:rsid w:val="00E7266E"/>
    <w:rsid w:val="00E72BDF"/>
    <w:rsid w:val="00E72C01"/>
    <w:rsid w:val="00E736D9"/>
    <w:rsid w:val="00E7401B"/>
    <w:rsid w:val="00E741AC"/>
    <w:rsid w:val="00E747AA"/>
    <w:rsid w:val="00E74F75"/>
    <w:rsid w:val="00E75174"/>
    <w:rsid w:val="00E753B5"/>
    <w:rsid w:val="00E75531"/>
    <w:rsid w:val="00E75EBA"/>
    <w:rsid w:val="00E763B4"/>
    <w:rsid w:val="00E77433"/>
    <w:rsid w:val="00E77530"/>
    <w:rsid w:val="00E77848"/>
    <w:rsid w:val="00E779B3"/>
    <w:rsid w:val="00E804D2"/>
    <w:rsid w:val="00E80514"/>
    <w:rsid w:val="00E80B26"/>
    <w:rsid w:val="00E80E5B"/>
    <w:rsid w:val="00E81167"/>
    <w:rsid w:val="00E81579"/>
    <w:rsid w:val="00E816C5"/>
    <w:rsid w:val="00E81CA5"/>
    <w:rsid w:val="00E81CE0"/>
    <w:rsid w:val="00E81E7C"/>
    <w:rsid w:val="00E82087"/>
    <w:rsid w:val="00E8224D"/>
    <w:rsid w:val="00E82391"/>
    <w:rsid w:val="00E823B0"/>
    <w:rsid w:val="00E838A0"/>
    <w:rsid w:val="00E83D4A"/>
    <w:rsid w:val="00E84275"/>
    <w:rsid w:val="00E84459"/>
    <w:rsid w:val="00E844D8"/>
    <w:rsid w:val="00E84657"/>
    <w:rsid w:val="00E85080"/>
    <w:rsid w:val="00E8519F"/>
    <w:rsid w:val="00E85387"/>
    <w:rsid w:val="00E85724"/>
    <w:rsid w:val="00E85CC3"/>
    <w:rsid w:val="00E85D07"/>
    <w:rsid w:val="00E8644A"/>
    <w:rsid w:val="00E870A9"/>
    <w:rsid w:val="00E8724B"/>
    <w:rsid w:val="00E87266"/>
    <w:rsid w:val="00E90230"/>
    <w:rsid w:val="00E90279"/>
    <w:rsid w:val="00E90635"/>
    <w:rsid w:val="00E909A1"/>
    <w:rsid w:val="00E90BFF"/>
    <w:rsid w:val="00E91099"/>
    <w:rsid w:val="00E91F04"/>
    <w:rsid w:val="00E91F35"/>
    <w:rsid w:val="00E9259E"/>
    <w:rsid w:val="00E93024"/>
    <w:rsid w:val="00E95BA6"/>
    <w:rsid w:val="00E95DD9"/>
    <w:rsid w:val="00E974B8"/>
    <w:rsid w:val="00E97648"/>
    <w:rsid w:val="00EA07E9"/>
    <w:rsid w:val="00EA0E4A"/>
    <w:rsid w:val="00EA161E"/>
    <w:rsid w:val="00EA1A54"/>
    <w:rsid w:val="00EA1DC7"/>
    <w:rsid w:val="00EA2226"/>
    <w:rsid w:val="00EA2483"/>
    <w:rsid w:val="00EA26FC"/>
    <w:rsid w:val="00EA2948"/>
    <w:rsid w:val="00EA2ABC"/>
    <w:rsid w:val="00EA2CD9"/>
    <w:rsid w:val="00EA2FD5"/>
    <w:rsid w:val="00EA354A"/>
    <w:rsid w:val="00EA3B5A"/>
    <w:rsid w:val="00EA3E8D"/>
    <w:rsid w:val="00EA4100"/>
    <w:rsid w:val="00EA410E"/>
    <w:rsid w:val="00EA4155"/>
    <w:rsid w:val="00EA4FD1"/>
    <w:rsid w:val="00EA53C2"/>
    <w:rsid w:val="00EA55ED"/>
    <w:rsid w:val="00EA5695"/>
    <w:rsid w:val="00EA5B0A"/>
    <w:rsid w:val="00EA5B4B"/>
    <w:rsid w:val="00EA65AD"/>
    <w:rsid w:val="00EA7487"/>
    <w:rsid w:val="00EA7FCF"/>
    <w:rsid w:val="00EB0728"/>
    <w:rsid w:val="00EB0C55"/>
    <w:rsid w:val="00EB0CA3"/>
    <w:rsid w:val="00EB104F"/>
    <w:rsid w:val="00EB15F2"/>
    <w:rsid w:val="00EB1B27"/>
    <w:rsid w:val="00EB1DA8"/>
    <w:rsid w:val="00EB28C3"/>
    <w:rsid w:val="00EB2A69"/>
    <w:rsid w:val="00EB2D2E"/>
    <w:rsid w:val="00EB326C"/>
    <w:rsid w:val="00EB3AE8"/>
    <w:rsid w:val="00EB4938"/>
    <w:rsid w:val="00EB4B75"/>
    <w:rsid w:val="00EB4CFF"/>
    <w:rsid w:val="00EB53A6"/>
    <w:rsid w:val="00EB5476"/>
    <w:rsid w:val="00EB5FB6"/>
    <w:rsid w:val="00EB5FF6"/>
    <w:rsid w:val="00EB626C"/>
    <w:rsid w:val="00EB6ABF"/>
    <w:rsid w:val="00EB6F02"/>
    <w:rsid w:val="00EB70B0"/>
    <w:rsid w:val="00EB7140"/>
    <w:rsid w:val="00EB74F4"/>
    <w:rsid w:val="00EB7633"/>
    <w:rsid w:val="00EB7736"/>
    <w:rsid w:val="00EB7808"/>
    <w:rsid w:val="00EC05FD"/>
    <w:rsid w:val="00EC13E2"/>
    <w:rsid w:val="00EC1DCD"/>
    <w:rsid w:val="00EC2ADC"/>
    <w:rsid w:val="00EC2BF5"/>
    <w:rsid w:val="00EC2E2D"/>
    <w:rsid w:val="00EC363A"/>
    <w:rsid w:val="00EC370B"/>
    <w:rsid w:val="00EC391D"/>
    <w:rsid w:val="00EC420E"/>
    <w:rsid w:val="00EC462B"/>
    <w:rsid w:val="00EC4723"/>
    <w:rsid w:val="00EC4ECF"/>
    <w:rsid w:val="00EC56E0"/>
    <w:rsid w:val="00EC6057"/>
    <w:rsid w:val="00EC6847"/>
    <w:rsid w:val="00EC6C07"/>
    <w:rsid w:val="00EC6EB4"/>
    <w:rsid w:val="00EC7789"/>
    <w:rsid w:val="00EC7DB6"/>
    <w:rsid w:val="00ED162F"/>
    <w:rsid w:val="00ED1738"/>
    <w:rsid w:val="00ED2AE0"/>
    <w:rsid w:val="00ED2E52"/>
    <w:rsid w:val="00ED3024"/>
    <w:rsid w:val="00ED31DB"/>
    <w:rsid w:val="00ED35EE"/>
    <w:rsid w:val="00ED3BB8"/>
    <w:rsid w:val="00ED3C23"/>
    <w:rsid w:val="00ED49B0"/>
    <w:rsid w:val="00ED4B76"/>
    <w:rsid w:val="00ED512D"/>
    <w:rsid w:val="00ED51C0"/>
    <w:rsid w:val="00ED5E5B"/>
    <w:rsid w:val="00ED5FE4"/>
    <w:rsid w:val="00ED63CC"/>
    <w:rsid w:val="00ED664B"/>
    <w:rsid w:val="00ED6FAD"/>
    <w:rsid w:val="00ED71C5"/>
    <w:rsid w:val="00EE0D44"/>
    <w:rsid w:val="00EE16FA"/>
    <w:rsid w:val="00EE17C0"/>
    <w:rsid w:val="00EE18B9"/>
    <w:rsid w:val="00EE1C27"/>
    <w:rsid w:val="00EE32CE"/>
    <w:rsid w:val="00EE3C42"/>
    <w:rsid w:val="00EE3D4F"/>
    <w:rsid w:val="00EE3E3B"/>
    <w:rsid w:val="00EE4C49"/>
    <w:rsid w:val="00EE534D"/>
    <w:rsid w:val="00EE5560"/>
    <w:rsid w:val="00EE596F"/>
    <w:rsid w:val="00EE5AD0"/>
    <w:rsid w:val="00EE5DE1"/>
    <w:rsid w:val="00EE6ABC"/>
    <w:rsid w:val="00EE6E76"/>
    <w:rsid w:val="00EE6EA6"/>
    <w:rsid w:val="00EE6F1E"/>
    <w:rsid w:val="00EE7D82"/>
    <w:rsid w:val="00EE7D83"/>
    <w:rsid w:val="00EF0348"/>
    <w:rsid w:val="00EF05BC"/>
    <w:rsid w:val="00EF1765"/>
    <w:rsid w:val="00EF1BFD"/>
    <w:rsid w:val="00EF1F9C"/>
    <w:rsid w:val="00EF21E0"/>
    <w:rsid w:val="00EF25C1"/>
    <w:rsid w:val="00EF4366"/>
    <w:rsid w:val="00EF449D"/>
    <w:rsid w:val="00EF44F3"/>
    <w:rsid w:val="00EF4CD6"/>
    <w:rsid w:val="00EF50DF"/>
    <w:rsid w:val="00EF55A0"/>
    <w:rsid w:val="00EF57E3"/>
    <w:rsid w:val="00EF5E04"/>
    <w:rsid w:val="00EF63D1"/>
    <w:rsid w:val="00EF6513"/>
    <w:rsid w:val="00EF6683"/>
    <w:rsid w:val="00EF6CAC"/>
    <w:rsid w:val="00EF7002"/>
    <w:rsid w:val="00EF7089"/>
    <w:rsid w:val="00EF712D"/>
    <w:rsid w:val="00EF71D4"/>
    <w:rsid w:val="00EF7228"/>
    <w:rsid w:val="00EF769B"/>
    <w:rsid w:val="00F00889"/>
    <w:rsid w:val="00F02651"/>
    <w:rsid w:val="00F027BA"/>
    <w:rsid w:val="00F03129"/>
    <w:rsid w:val="00F0350A"/>
    <w:rsid w:val="00F03599"/>
    <w:rsid w:val="00F035C8"/>
    <w:rsid w:val="00F03CC3"/>
    <w:rsid w:val="00F03E3F"/>
    <w:rsid w:val="00F03E79"/>
    <w:rsid w:val="00F041DC"/>
    <w:rsid w:val="00F053AA"/>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3243"/>
    <w:rsid w:val="00F133A1"/>
    <w:rsid w:val="00F1369E"/>
    <w:rsid w:val="00F13ECD"/>
    <w:rsid w:val="00F13F71"/>
    <w:rsid w:val="00F14D13"/>
    <w:rsid w:val="00F155CE"/>
    <w:rsid w:val="00F159EC"/>
    <w:rsid w:val="00F16702"/>
    <w:rsid w:val="00F16750"/>
    <w:rsid w:val="00F16977"/>
    <w:rsid w:val="00F16BF2"/>
    <w:rsid w:val="00F176FA"/>
    <w:rsid w:val="00F17DCE"/>
    <w:rsid w:val="00F17EAE"/>
    <w:rsid w:val="00F17F6E"/>
    <w:rsid w:val="00F20BBC"/>
    <w:rsid w:val="00F2117B"/>
    <w:rsid w:val="00F2135D"/>
    <w:rsid w:val="00F218D4"/>
    <w:rsid w:val="00F21E9A"/>
    <w:rsid w:val="00F2250A"/>
    <w:rsid w:val="00F22738"/>
    <w:rsid w:val="00F22840"/>
    <w:rsid w:val="00F23264"/>
    <w:rsid w:val="00F23DAF"/>
    <w:rsid w:val="00F23F55"/>
    <w:rsid w:val="00F245A3"/>
    <w:rsid w:val="00F2468D"/>
    <w:rsid w:val="00F24788"/>
    <w:rsid w:val="00F24D98"/>
    <w:rsid w:val="00F24DA7"/>
    <w:rsid w:val="00F24E21"/>
    <w:rsid w:val="00F24E27"/>
    <w:rsid w:val="00F24F0E"/>
    <w:rsid w:val="00F256ED"/>
    <w:rsid w:val="00F25A20"/>
    <w:rsid w:val="00F260B0"/>
    <w:rsid w:val="00F26252"/>
    <w:rsid w:val="00F2640F"/>
    <w:rsid w:val="00F272FD"/>
    <w:rsid w:val="00F27C34"/>
    <w:rsid w:val="00F27E46"/>
    <w:rsid w:val="00F301C2"/>
    <w:rsid w:val="00F30291"/>
    <w:rsid w:val="00F302E1"/>
    <w:rsid w:val="00F30366"/>
    <w:rsid w:val="00F3065B"/>
    <w:rsid w:val="00F3125E"/>
    <w:rsid w:val="00F31536"/>
    <w:rsid w:val="00F31B22"/>
    <w:rsid w:val="00F31B49"/>
    <w:rsid w:val="00F322FA"/>
    <w:rsid w:val="00F3284D"/>
    <w:rsid w:val="00F3287D"/>
    <w:rsid w:val="00F3288D"/>
    <w:rsid w:val="00F32D66"/>
    <w:rsid w:val="00F32F56"/>
    <w:rsid w:val="00F33D4F"/>
    <w:rsid w:val="00F340DC"/>
    <w:rsid w:val="00F3410B"/>
    <w:rsid w:val="00F34607"/>
    <w:rsid w:val="00F34884"/>
    <w:rsid w:val="00F34CD6"/>
    <w:rsid w:val="00F35873"/>
    <w:rsid w:val="00F35920"/>
    <w:rsid w:val="00F35E02"/>
    <w:rsid w:val="00F365FB"/>
    <w:rsid w:val="00F366A5"/>
    <w:rsid w:val="00F36C5F"/>
    <w:rsid w:val="00F37259"/>
    <w:rsid w:val="00F37691"/>
    <w:rsid w:val="00F40421"/>
    <w:rsid w:val="00F405A4"/>
    <w:rsid w:val="00F406F4"/>
    <w:rsid w:val="00F407FC"/>
    <w:rsid w:val="00F41595"/>
    <w:rsid w:val="00F41F05"/>
    <w:rsid w:val="00F433BD"/>
    <w:rsid w:val="00F43B95"/>
    <w:rsid w:val="00F43D00"/>
    <w:rsid w:val="00F444ED"/>
    <w:rsid w:val="00F44630"/>
    <w:rsid w:val="00F44EC5"/>
    <w:rsid w:val="00F4566B"/>
    <w:rsid w:val="00F470D6"/>
    <w:rsid w:val="00F47498"/>
    <w:rsid w:val="00F512B2"/>
    <w:rsid w:val="00F513A8"/>
    <w:rsid w:val="00F5283D"/>
    <w:rsid w:val="00F52ABA"/>
    <w:rsid w:val="00F52BC7"/>
    <w:rsid w:val="00F53BF4"/>
    <w:rsid w:val="00F54266"/>
    <w:rsid w:val="00F55043"/>
    <w:rsid w:val="00F5626D"/>
    <w:rsid w:val="00F56681"/>
    <w:rsid w:val="00F56B69"/>
    <w:rsid w:val="00F56DCF"/>
    <w:rsid w:val="00F57034"/>
    <w:rsid w:val="00F57B1F"/>
    <w:rsid w:val="00F60BE9"/>
    <w:rsid w:val="00F61B7B"/>
    <w:rsid w:val="00F61BBC"/>
    <w:rsid w:val="00F61FD8"/>
    <w:rsid w:val="00F62478"/>
    <w:rsid w:val="00F6263C"/>
    <w:rsid w:val="00F62DBF"/>
    <w:rsid w:val="00F63017"/>
    <w:rsid w:val="00F6411C"/>
    <w:rsid w:val="00F641FC"/>
    <w:rsid w:val="00F643C3"/>
    <w:rsid w:val="00F647F7"/>
    <w:rsid w:val="00F65409"/>
    <w:rsid w:val="00F6583C"/>
    <w:rsid w:val="00F6589A"/>
    <w:rsid w:val="00F65D3B"/>
    <w:rsid w:val="00F6665C"/>
    <w:rsid w:val="00F66920"/>
    <w:rsid w:val="00F66B71"/>
    <w:rsid w:val="00F673EE"/>
    <w:rsid w:val="00F676DE"/>
    <w:rsid w:val="00F6783E"/>
    <w:rsid w:val="00F67B53"/>
    <w:rsid w:val="00F70807"/>
    <w:rsid w:val="00F70822"/>
    <w:rsid w:val="00F70DBE"/>
    <w:rsid w:val="00F71124"/>
    <w:rsid w:val="00F71888"/>
    <w:rsid w:val="00F719CD"/>
    <w:rsid w:val="00F71AF5"/>
    <w:rsid w:val="00F71BB8"/>
    <w:rsid w:val="00F71DC2"/>
    <w:rsid w:val="00F71E53"/>
    <w:rsid w:val="00F7222B"/>
    <w:rsid w:val="00F72584"/>
    <w:rsid w:val="00F7260C"/>
    <w:rsid w:val="00F7264F"/>
    <w:rsid w:val="00F7290D"/>
    <w:rsid w:val="00F7302F"/>
    <w:rsid w:val="00F732EC"/>
    <w:rsid w:val="00F73D08"/>
    <w:rsid w:val="00F743D9"/>
    <w:rsid w:val="00F746C2"/>
    <w:rsid w:val="00F749CD"/>
    <w:rsid w:val="00F7586B"/>
    <w:rsid w:val="00F75D45"/>
    <w:rsid w:val="00F75F2F"/>
    <w:rsid w:val="00F76445"/>
    <w:rsid w:val="00F76D0C"/>
    <w:rsid w:val="00F76ECC"/>
    <w:rsid w:val="00F779FD"/>
    <w:rsid w:val="00F80399"/>
    <w:rsid w:val="00F80549"/>
    <w:rsid w:val="00F812C8"/>
    <w:rsid w:val="00F8132D"/>
    <w:rsid w:val="00F8136A"/>
    <w:rsid w:val="00F81663"/>
    <w:rsid w:val="00F818AE"/>
    <w:rsid w:val="00F81B40"/>
    <w:rsid w:val="00F81C81"/>
    <w:rsid w:val="00F820C4"/>
    <w:rsid w:val="00F8249E"/>
    <w:rsid w:val="00F82783"/>
    <w:rsid w:val="00F82CC8"/>
    <w:rsid w:val="00F8306A"/>
    <w:rsid w:val="00F83258"/>
    <w:rsid w:val="00F834E7"/>
    <w:rsid w:val="00F834F1"/>
    <w:rsid w:val="00F83829"/>
    <w:rsid w:val="00F84069"/>
    <w:rsid w:val="00F843D7"/>
    <w:rsid w:val="00F84997"/>
    <w:rsid w:val="00F850CD"/>
    <w:rsid w:val="00F85536"/>
    <w:rsid w:val="00F85AB2"/>
    <w:rsid w:val="00F8631D"/>
    <w:rsid w:val="00F8657A"/>
    <w:rsid w:val="00F86637"/>
    <w:rsid w:val="00F8679A"/>
    <w:rsid w:val="00F86F07"/>
    <w:rsid w:val="00F87117"/>
    <w:rsid w:val="00F8736C"/>
    <w:rsid w:val="00F9030E"/>
    <w:rsid w:val="00F90ADB"/>
    <w:rsid w:val="00F90AFF"/>
    <w:rsid w:val="00F90E78"/>
    <w:rsid w:val="00F91209"/>
    <w:rsid w:val="00F9221F"/>
    <w:rsid w:val="00F92333"/>
    <w:rsid w:val="00F92960"/>
    <w:rsid w:val="00F931C7"/>
    <w:rsid w:val="00F93539"/>
    <w:rsid w:val="00F93559"/>
    <w:rsid w:val="00F93D72"/>
    <w:rsid w:val="00F93D7E"/>
    <w:rsid w:val="00F93E65"/>
    <w:rsid w:val="00F94070"/>
    <w:rsid w:val="00F94142"/>
    <w:rsid w:val="00F94146"/>
    <w:rsid w:val="00F9469E"/>
    <w:rsid w:val="00F950B5"/>
    <w:rsid w:val="00F9513F"/>
    <w:rsid w:val="00F951B3"/>
    <w:rsid w:val="00F95315"/>
    <w:rsid w:val="00F956A6"/>
    <w:rsid w:val="00F95781"/>
    <w:rsid w:val="00F95CDA"/>
    <w:rsid w:val="00F960D6"/>
    <w:rsid w:val="00F9632B"/>
    <w:rsid w:val="00F965CF"/>
    <w:rsid w:val="00F96727"/>
    <w:rsid w:val="00F96CDF"/>
    <w:rsid w:val="00F96F76"/>
    <w:rsid w:val="00F97120"/>
    <w:rsid w:val="00F97908"/>
    <w:rsid w:val="00F97B43"/>
    <w:rsid w:val="00FA04D0"/>
    <w:rsid w:val="00FA07F8"/>
    <w:rsid w:val="00FA105C"/>
    <w:rsid w:val="00FA1475"/>
    <w:rsid w:val="00FA148A"/>
    <w:rsid w:val="00FA17C1"/>
    <w:rsid w:val="00FA26BA"/>
    <w:rsid w:val="00FA2740"/>
    <w:rsid w:val="00FA27C8"/>
    <w:rsid w:val="00FA2D22"/>
    <w:rsid w:val="00FA3122"/>
    <w:rsid w:val="00FA35E3"/>
    <w:rsid w:val="00FA3B76"/>
    <w:rsid w:val="00FA45EE"/>
    <w:rsid w:val="00FA479C"/>
    <w:rsid w:val="00FA4D66"/>
    <w:rsid w:val="00FA5088"/>
    <w:rsid w:val="00FA56AE"/>
    <w:rsid w:val="00FA58D9"/>
    <w:rsid w:val="00FA5A4E"/>
    <w:rsid w:val="00FA6157"/>
    <w:rsid w:val="00FA71F2"/>
    <w:rsid w:val="00FA7A6B"/>
    <w:rsid w:val="00FB0082"/>
    <w:rsid w:val="00FB0243"/>
    <w:rsid w:val="00FB0AC3"/>
    <w:rsid w:val="00FB1283"/>
    <w:rsid w:val="00FB1527"/>
    <w:rsid w:val="00FB1E67"/>
    <w:rsid w:val="00FB20A0"/>
    <w:rsid w:val="00FB2537"/>
    <w:rsid w:val="00FB31BD"/>
    <w:rsid w:val="00FB338E"/>
    <w:rsid w:val="00FB33DC"/>
    <w:rsid w:val="00FB4338"/>
    <w:rsid w:val="00FB477E"/>
    <w:rsid w:val="00FB494F"/>
    <w:rsid w:val="00FB4C2A"/>
    <w:rsid w:val="00FB4C9C"/>
    <w:rsid w:val="00FB5148"/>
    <w:rsid w:val="00FB534F"/>
    <w:rsid w:val="00FB570B"/>
    <w:rsid w:val="00FB6165"/>
    <w:rsid w:val="00FB6244"/>
    <w:rsid w:val="00FB78E7"/>
    <w:rsid w:val="00FC0150"/>
    <w:rsid w:val="00FC0333"/>
    <w:rsid w:val="00FC03AB"/>
    <w:rsid w:val="00FC0F0A"/>
    <w:rsid w:val="00FC223F"/>
    <w:rsid w:val="00FC272A"/>
    <w:rsid w:val="00FC2E01"/>
    <w:rsid w:val="00FC4668"/>
    <w:rsid w:val="00FC4729"/>
    <w:rsid w:val="00FC4A8C"/>
    <w:rsid w:val="00FC4B5F"/>
    <w:rsid w:val="00FC53DB"/>
    <w:rsid w:val="00FC573C"/>
    <w:rsid w:val="00FC5E13"/>
    <w:rsid w:val="00FC5ED5"/>
    <w:rsid w:val="00FC5FC2"/>
    <w:rsid w:val="00FC6177"/>
    <w:rsid w:val="00FC6223"/>
    <w:rsid w:val="00FC6288"/>
    <w:rsid w:val="00FC63D1"/>
    <w:rsid w:val="00FC6E56"/>
    <w:rsid w:val="00FC7528"/>
    <w:rsid w:val="00FD0572"/>
    <w:rsid w:val="00FD0A9B"/>
    <w:rsid w:val="00FD1A97"/>
    <w:rsid w:val="00FD285E"/>
    <w:rsid w:val="00FD2A02"/>
    <w:rsid w:val="00FD2D7B"/>
    <w:rsid w:val="00FD3027"/>
    <w:rsid w:val="00FD3292"/>
    <w:rsid w:val="00FD37F6"/>
    <w:rsid w:val="00FD3E64"/>
    <w:rsid w:val="00FD40FA"/>
    <w:rsid w:val="00FD4589"/>
    <w:rsid w:val="00FD4608"/>
    <w:rsid w:val="00FD473E"/>
    <w:rsid w:val="00FD4C01"/>
    <w:rsid w:val="00FD5928"/>
    <w:rsid w:val="00FD5EAA"/>
    <w:rsid w:val="00FD66F4"/>
    <w:rsid w:val="00FD7520"/>
    <w:rsid w:val="00FD7606"/>
    <w:rsid w:val="00FD7814"/>
    <w:rsid w:val="00FD7BD3"/>
    <w:rsid w:val="00FD7DF9"/>
    <w:rsid w:val="00FD7FC9"/>
    <w:rsid w:val="00FE0564"/>
    <w:rsid w:val="00FE0A29"/>
    <w:rsid w:val="00FE0B51"/>
    <w:rsid w:val="00FE0B78"/>
    <w:rsid w:val="00FE0ED4"/>
    <w:rsid w:val="00FE1164"/>
    <w:rsid w:val="00FE191D"/>
    <w:rsid w:val="00FE1EAB"/>
    <w:rsid w:val="00FE23ED"/>
    <w:rsid w:val="00FE284B"/>
    <w:rsid w:val="00FE28FC"/>
    <w:rsid w:val="00FE2ACE"/>
    <w:rsid w:val="00FE2F3A"/>
    <w:rsid w:val="00FE3004"/>
    <w:rsid w:val="00FE3465"/>
    <w:rsid w:val="00FE35A6"/>
    <w:rsid w:val="00FE3CC4"/>
    <w:rsid w:val="00FE4681"/>
    <w:rsid w:val="00FE4C50"/>
    <w:rsid w:val="00FE4F6C"/>
    <w:rsid w:val="00FE5C6B"/>
    <w:rsid w:val="00FE5E83"/>
    <w:rsid w:val="00FE67CF"/>
    <w:rsid w:val="00FE6D20"/>
    <w:rsid w:val="00FE6FB9"/>
    <w:rsid w:val="00FE7549"/>
    <w:rsid w:val="00FE7BCC"/>
    <w:rsid w:val="00FE7CA0"/>
    <w:rsid w:val="00FF0832"/>
    <w:rsid w:val="00FF1153"/>
    <w:rsid w:val="00FF116C"/>
    <w:rsid w:val="00FF126D"/>
    <w:rsid w:val="00FF2310"/>
    <w:rsid w:val="00FF2319"/>
    <w:rsid w:val="00FF26BC"/>
    <w:rsid w:val="00FF2701"/>
    <w:rsid w:val="00FF293B"/>
    <w:rsid w:val="00FF2B98"/>
    <w:rsid w:val="00FF2E73"/>
    <w:rsid w:val="00FF34D1"/>
    <w:rsid w:val="00FF35C8"/>
    <w:rsid w:val="00FF3FE2"/>
    <w:rsid w:val="00FF424B"/>
    <w:rsid w:val="00FF47E1"/>
    <w:rsid w:val="00FF4AE2"/>
    <w:rsid w:val="00FF50A8"/>
    <w:rsid w:val="00FF55ED"/>
    <w:rsid w:val="00FF571E"/>
    <w:rsid w:val="00FF5BC1"/>
    <w:rsid w:val="00FF6533"/>
    <w:rsid w:val="00FF6A38"/>
    <w:rsid w:val="00FF6BD1"/>
    <w:rsid w:val="00FF6CC0"/>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654"/>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21654"/>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21654"/>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qFormat/>
    <w:locked/>
    <w:rsid w:val="00235E55"/>
    <w:rPr>
      <w:rFonts w:ascii="Arial" w:hAnsi="Arial" w:cs="Arial"/>
      <w:sz w:val="18"/>
    </w:rPr>
  </w:style>
  <w:style w:type="paragraph" w:customStyle="1" w:styleId="TAL">
    <w:name w:val="TAL"/>
    <w:basedOn w:val="Normal"/>
    <w:link w:val="TALCar"/>
    <w:qFormat/>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qFormat/>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qFormat/>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B2Char">
    <w:name w:val="B2 Char"/>
    <w:link w:val="B2"/>
    <w:qFormat/>
    <w:locked/>
    <w:rsid w:val="00A004C8"/>
    <w:rPr>
      <w:rFonts w:ascii="MS Mincho" w:eastAsia="MS Mincho" w:hAnsi="MS Mincho" w:cs="Calibri"/>
      <w:lang w:eastAsia="zh-CN"/>
    </w:rPr>
  </w:style>
  <w:style w:type="paragraph" w:customStyle="1" w:styleId="B2">
    <w:name w:val="B2"/>
    <w:basedOn w:val="List2"/>
    <w:link w:val="B2Char"/>
    <w:qFormat/>
    <w:rsid w:val="00A004C8"/>
    <w:pPr>
      <w:autoSpaceDE/>
      <w:autoSpaceDN/>
      <w:adjustRightInd/>
      <w:snapToGrid/>
      <w:spacing w:after="180"/>
      <w:ind w:left="851" w:hanging="284"/>
      <w:contextualSpacing w:val="0"/>
      <w:jc w:val="left"/>
    </w:pPr>
    <w:rPr>
      <w:rFonts w:ascii="MS Mincho" w:eastAsia="MS Mincho" w:hAnsi="MS Mincho" w:cs="Calibri"/>
      <w:sz w:val="20"/>
      <w:szCs w:val="20"/>
      <w:lang w:eastAsia="zh-CN"/>
    </w:rPr>
  </w:style>
  <w:style w:type="paragraph" w:customStyle="1" w:styleId="b110">
    <w:name w:val="b110"/>
    <w:basedOn w:val="Normal"/>
    <w:rsid w:val="00A004C8"/>
    <w:pPr>
      <w:autoSpaceDE/>
      <w:autoSpaceDN/>
      <w:adjustRightInd/>
      <w:snapToGrid/>
      <w:spacing w:before="75" w:after="75"/>
      <w:jc w:val="left"/>
    </w:pPr>
    <w:rPr>
      <w:rFonts w:eastAsia="Times New Roman"/>
      <w:sz w:val="24"/>
      <w:szCs w:val="24"/>
      <w:lang w:eastAsia="zh-CN"/>
    </w:rPr>
  </w:style>
  <w:style w:type="paragraph" w:styleId="List2">
    <w:name w:val="List 2"/>
    <w:basedOn w:val="Normal"/>
    <w:semiHidden/>
    <w:unhideWhenUsed/>
    <w:rsid w:val="00A004C8"/>
    <w:pPr>
      <w:ind w:left="720" w:hanging="360"/>
      <w:contextualSpacing/>
    </w:pPr>
  </w:style>
  <w:style w:type="paragraph" w:customStyle="1" w:styleId="2222">
    <w:name w:val="스타일 스타일 스타일 스타일 양쪽 첫 줄:  2 글자 + 첫 줄:  2 글자 + 첫 줄:  2 글자 + 첫 줄:  2..."/>
    <w:basedOn w:val="Normal"/>
    <w:link w:val="2222Char"/>
    <w:rsid w:val="00A004C8"/>
    <w:pPr>
      <w:autoSpaceDE/>
      <w:autoSpaceDN/>
      <w:adjustRightInd/>
      <w:snapToGrid/>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A004C8"/>
    <w:rPr>
      <w:rFonts w:eastAsia="Malgun Gothic" w:cs="Batang"/>
      <w:sz w:val="22"/>
      <w:lang w:val="en-GB"/>
    </w:rPr>
  </w:style>
  <w:style w:type="paragraph" w:customStyle="1" w:styleId="Default">
    <w:name w:val="Default"/>
    <w:rsid w:val="00072164"/>
    <w:pPr>
      <w:autoSpaceDE w:val="0"/>
      <w:autoSpaceDN w:val="0"/>
      <w:adjustRightInd w:val="0"/>
    </w:pPr>
    <w:rPr>
      <w:color w:val="000000"/>
      <w:sz w:val="24"/>
      <w:szCs w:val="24"/>
    </w:rPr>
  </w:style>
  <w:style w:type="paragraph" w:styleId="TableofFigures">
    <w:name w:val="table of figures"/>
    <w:basedOn w:val="BodyText"/>
    <w:next w:val="Normal"/>
    <w:uiPriority w:val="99"/>
    <w:rsid w:val="00BE0849"/>
    <w:pPr>
      <w:overflowPunct w:val="0"/>
      <w:snapToGrid/>
      <w:ind w:left="1701" w:hanging="1701"/>
      <w:jc w:val="left"/>
      <w:textAlignment w:val="baseline"/>
    </w:pPr>
    <w:rPr>
      <w:rFonts w:ascii="Arial" w:eastAsia="Times New Roman" w:hAnsi="Arial"/>
      <w:b/>
      <w:lang w:eastAsia="zh-CN"/>
    </w:rPr>
  </w:style>
  <w:style w:type="table" w:customStyle="1" w:styleId="LightList-Accent31">
    <w:name w:val="Light List - Accent 31"/>
    <w:basedOn w:val="TableNormal"/>
    <w:next w:val="LightList-Accent3"/>
    <w:uiPriority w:val="61"/>
    <w:semiHidden/>
    <w:unhideWhenUsed/>
    <w:rsid w:val="00591341"/>
    <w:rPr>
      <w:rFonts w:ascii="Calibri" w:hAnsi="Calibri"/>
      <w:sz w:val="22"/>
      <w:szCs w:val="22"/>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3">
    <w:name w:val="Light List Accent 3"/>
    <w:basedOn w:val="TableNormal"/>
    <w:uiPriority w:val="61"/>
    <w:semiHidden/>
    <w:unhideWhenUsed/>
    <w:rsid w:val="00591341"/>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customStyle="1" w:styleId="TFChar">
    <w:name w:val="TF Char"/>
    <w:link w:val="TF"/>
    <w:locked/>
    <w:rsid w:val="003C6800"/>
    <w:rPr>
      <w:rFonts w:ascii="Arial" w:eastAsia="Times New Roman" w:hAnsi="Arial"/>
      <w:b/>
      <w:lang w:val="x-none" w:eastAsia="x-none"/>
    </w:rPr>
  </w:style>
  <w:style w:type="paragraph" w:customStyle="1" w:styleId="TF">
    <w:name w:val="TF"/>
    <w:basedOn w:val="Normal"/>
    <w:link w:val="TFChar"/>
    <w:rsid w:val="003C6800"/>
    <w:pPr>
      <w:keepNext/>
      <w:keepLines/>
      <w:overflowPunct w:val="0"/>
      <w:snapToGrid/>
      <w:spacing w:before="240"/>
      <w:jc w:val="center"/>
    </w:pPr>
    <w:rPr>
      <w:rFonts w:ascii="Arial" w:eastAsia="Times New Roman" w:hAnsi="Arial"/>
      <w:b/>
      <w:sz w:val="20"/>
      <w:szCs w:val="20"/>
      <w:lang w:val="x-none" w:eastAsia="x-none"/>
    </w:rPr>
  </w:style>
  <w:style w:type="paragraph" w:customStyle="1" w:styleId="Observation">
    <w:name w:val="Observation"/>
    <w:basedOn w:val="Normal"/>
    <w:qFormat/>
    <w:rsid w:val="003702D6"/>
    <w:pPr>
      <w:numPr>
        <w:numId w:val="18"/>
      </w:numPr>
      <w:tabs>
        <w:tab w:val="left" w:pos="1701"/>
      </w:tabs>
      <w:overflowPunct w:val="0"/>
      <w:snapToGrid/>
      <w:ind w:left="1701" w:hanging="1701"/>
    </w:pPr>
    <w:rPr>
      <w:rFonts w:ascii="Arial" w:eastAsia="Times New Roman" w:hAnsi="Arial"/>
      <w:b/>
      <w:bCs/>
      <w:sz w:val="20"/>
      <w:szCs w:val="20"/>
      <w:lang w:eastAsia="ja-JP"/>
    </w:rPr>
  </w:style>
  <w:style w:type="paragraph" w:customStyle="1" w:styleId="TAN">
    <w:name w:val="TAN"/>
    <w:basedOn w:val="Normal"/>
    <w:link w:val="TANChar"/>
    <w:qFormat/>
    <w:rsid w:val="00FE4F6C"/>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FE4F6C"/>
    <w:rPr>
      <w:rFonts w:ascii="Arial" w:hAnsi="Arial"/>
      <w:sz w:val="18"/>
      <w:lang w:val="en-GB"/>
    </w:rPr>
  </w:style>
  <w:style w:type="character" w:customStyle="1" w:styleId="B1Char1">
    <w:name w:val="B1 Char1"/>
    <w:locked/>
    <w:rsid w:val="00951553"/>
    <w:rPr>
      <w:lang w:val="en-GB" w:eastAsia="en-GB"/>
    </w:rPr>
  </w:style>
  <w:style w:type="character" w:customStyle="1" w:styleId="Heading2Char">
    <w:name w:val="Heading 2 Char"/>
    <w:basedOn w:val="DefaultParagraphFont"/>
    <w:link w:val="Heading2"/>
    <w:rsid w:val="00905E8D"/>
    <w:rPr>
      <w:rFonts w:ascii="Arial" w:hAnsi="Arial"/>
      <w:b/>
      <w:bCs/>
      <w:sz w:val="24"/>
      <w:szCs w:val="22"/>
    </w:rPr>
  </w:style>
  <w:style w:type="character" w:customStyle="1" w:styleId="discussionpointChar">
    <w:name w:val="discussion point Char"/>
    <w:link w:val="discussionpoint"/>
    <w:locked/>
    <w:rsid w:val="00D847E8"/>
    <w:rPr>
      <w:rFonts w:ascii="Batang" w:hAnsi="Batang"/>
    </w:rPr>
  </w:style>
  <w:style w:type="paragraph" w:customStyle="1" w:styleId="discussionpoint">
    <w:name w:val="discussion point"/>
    <w:basedOn w:val="Normal"/>
    <w:link w:val="discussionpointChar"/>
    <w:rsid w:val="00D847E8"/>
    <w:pPr>
      <w:overflowPunct w:val="0"/>
      <w:adjustRightInd/>
      <w:spacing w:after="60" w:line="252" w:lineRule="auto"/>
    </w:pPr>
    <w:rPr>
      <w:rFonts w:ascii="Batang" w:hAnsi="Batang"/>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86350">
      <w:bodyDiv w:val="1"/>
      <w:marLeft w:val="0"/>
      <w:marRight w:val="0"/>
      <w:marTop w:val="0"/>
      <w:marBottom w:val="0"/>
      <w:divBdr>
        <w:top w:val="none" w:sz="0" w:space="0" w:color="auto"/>
        <w:left w:val="none" w:sz="0" w:space="0" w:color="auto"/>
        <w:bottom w:val="none" w:sz="0" w:space="0" w:color="auto"/>
        <w:right w:val="none" w:sz="0" w:space="0" w:color="auto"/>
      </w:divBdr>
    </w:div>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87896551">
      <w:bodyDiv w:val="1"/>
      <w:marLeft w:val="0"/>
      <w:marRight w:val="0"/>
      <w:marTop w:val="0"/>
      <w:marBottom w:val="0"/>
      <w:divBdr>
        <w:top w:val="none" w:sz="0" w:space="0" w:color="auto"/>
        <w:left w:val="none" w:sz="0" w:space="0" w:color="auto"/>
        <w:bottom w:val="none" w:sz="0" w:space="0" w:color="auto"/>
        <w:right w:val="none" w:sz="0" w:space="0" w:color="auto"/>
      </w:divBdr>
    </w:div>
    <w:div w:id="9255615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13585625">
      <w:bodyDiv w:val="1"/>
      <w:marLeft w:val="0"/>
      <w:marRight w:val="0"/>
      <w:marTop w:val="0"/>
      <w:marBottom w:val="0"/>
      <w:divBdr>
        <w:top w:val="none" w:sz="0" w:space="0" w:color="auto"/>
        <w:left w:val="none" w:sz="0" w:space="0" w:color="auto"/>
        <w:bottom w:val="none" w:sz="0" w:space="0" w:color="auto"/>
        <w:right w:val="none" w:sz="0" w:space="0" w:color="auto"/>
      </w:divBdr>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1346733">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1737">
      <w:bodyDiv w:val="1"/>
      <w:marLeft w:val="0"/>
      <w:marRight w:val="0"/>
      <w:marTop w:val="0"/>
      <w:marBottom w:val="0"/>
      <w:divBdr>
        <w:top w:val="none" w:sz="0" w:space="0" w:color="auto"/>
        <w:left w:val="none" w:sz="0" w:space="0" w:color="auto"/>
        <w:bottom w:val="none" w:sz="0" w:space="0" w:color="auto"/>
        <w:right w:val="none" w:sz="0" w:space="0" w:color="auto"/>
      </w:divBdr>
    </w:div>
    <w:div w:id="386879051">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503129773">
      <w:bodyDiv w:val="1"/>
      <w:marLeft w:val="0"/>
      <w:marRight w:val="0"/>
      <w:marTop w:val="0"/>
      <w:marBottom w:val="0"/>
      <w:divBdr>
        <w:top w:val="none" w:sz="0" w:space="0" w:color="auto"/>
        <w:left w:val="none" w:sz="0" w:space="0" w:color="auto"/>
        <w:bottom w:val="none" w:sz="0" w:space="0" w:color="auto"/>
        <w:right w:val="none" w:sz="0" w:space="0" w:color="auto"/>
      </w:divBdr>
    </w:div>
    <w:div w:id="505558685">
      <w:bodyDiv w:val="1"/>
      <w:marLeft w:val="0"/>
      <w:marRight w:val="0"/>
      <w:marTop w:val="0"/>
      <w:marBottom w:val="0"/>
      <w:divBdr>
        <w:top w:val="none" w:sz="0" w:space="0" w:color="auto"/>
        <w:left w:val="none" w:sz="0" w:space="0" w:color="auto"/>
        <w:bottom w:val="none" w:sz="0" w:space="0" w:color="auto"/>
        <w:right w:val="none" w:sz="0" w:space="0" w:color="auto"/>
      </w:divBdr>
    </w:div>
    <w:div w:id="55438900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610933">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652493134">
      <w:bodyDiv w:val="1"/>
      <w:marLeft w:val="0"/>
      <w:marRight w:val="0"/>
      <w:marTop w:val="0"/>
      <w:marBottom w:val="0"/>
      <w:divBdr>
        <w:top w:val="none" w:sz="0" w:space="0" w:color="auto"/>
        <w:left w:val="none" w:sz="0" w:space="0" w:color="auto"/>
        <w:bottom w:val="none" w:sz="0" w:space="0" w:color="auto"/>
        <w:right w:val="none" w:sz="0" w:space="0" w:color="auto"/>
      </w:divBdr>
    </w:div>
    <w:div w:id="707024121">
      <w:bodyDiv w:val="1"/>
      <w:marLeft w:val="0"/>
      <w:marRight w:val="0"/>
      <w:marTop w:val="0"/>
      <w:marBottom w:val="0"/>
      <w:divBdr>
        <w:top w:val="none" w:sz="0" w:space="0" w:color="auto"/>
        <w:left w:val="none" w:sz="0" w:space="0" w:color="auto"/>
        <w:bottom w:val="none" w:sz="0" w:space="0" w:color="auto"/>
        <w:right w:val="none" w:sz="0" w:space="0" w:color="auto"/>
      </w:divBdr>
    </w:div>
    <w:div w:id="746877759">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01844598">
      <w:bodyDiv w:val="1"/>
      <w:marLeft w:val="0"/>
      <w:marRight w:val="0"/>
      <w:marTop w:val="0"/>
      <w:marBottom w:val="0"/>
      <w:divBdr>
        <w:top w:val="none" w:sz="0" w:space="0" w:color="auto"/>
        <w:left w:val="none" w:sz="0" w:space="0" w:color="auto"/>
        <w:bottom w:val="none" w:sz="0" w:space="0" w:color="auto"/>
        <w:right w:val="none" w:sz="0" w:space="0" w:color="auto"/>
      </w:divBdr>
    </w:div>
    <w:div w:id="83414615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69414982">
      <w:bodyDiv w:val="1"/>
      <w:marLeft w:val="0"/>
      <w:marRight w:val="0"/>
      <w:marTop w:val="0"/>
      <w:marBottom w:val="0"/>
      <w:divBdr>
        <w:top w:val="none" w:sz="0" w:space="0" w:color="auto"/>
        <w:left w:val="none" w:sz="0" w:space="0" w:color="auto"/>
        <w:bottom w:val="none" w:sz="0" w:space="0" w:color="auto"/>
        <w:right w:val="none" w:sz="0" w:space="0" w:color="auto"/>
      </w:divBdr>
    </w:div>
    <w:div w:id="879825714">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6498007">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51011092">
      <w:bodyDiv w:val="1"/>
      <w:marLeft w:val="0"/>
      <w:marRight w:val="0"/>
      <w:marTop w:val="0"/>
      <w:marBottom w:val="0"/>
      <w:divBdr>
        <w:top w:val="none" w:sz="0" w:space="0" w:color="auto"/>
        <w:left w:val="none" w:sz="0" w:space="0" w:color="auto"/>
        <w:bottom w:val="none" w:sz="0" w:space="0" w:color="auto"/>
        <w:right w:val="none" w:sz="0" w:space="0" w:color="auto"/>
      </w:divBdr>
    </w:div>
    <w:div w:id="96226678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435440">
      <w:bodyDiv w:val="1"/>
      <w:marLeft w:val="0"/>
      <w:marRight w:val="0"/>
      <w:marTop w:val="0"/>
      <w:marBottom w:val="0"/>
      <w:divBdr>
        <w:top w:val="none" w:sz="0" w:space="0" w:color="auto"/>
        <w:left w:val="none" w:sz="0" w:space="0" w:color="auto"/>
        <w:bottom w:val="none" w:sz="0" w:space="0" w:color="auto"/>
        <w:right w:val="none" w:sz="0" w:space="0" w:color="auto"/>
      </w:divBdr>
    </w:div>
    <w:div w:id="992952114">
      <w:bodyDiv w:val="1"/>
      <w:marLeft w:val="0"/>
      <w:marRight w:val="0"/>
      <w:marTop w:val="0"/>
      <w:marBottom w:val="0"/>
      <w:divBdr>
        <w:top w:val="none" w:sz="0" w:space="0" w:color="auto"/>
        <w:left w:val="none" w:sz="0" w:space="0" w:color="auto"/>
        <w:bottom w:val="none" w:sz="0" w:space="0" w:color="auto"/>
        <w:right w:val="none" w:sz="0" w:space="0" w:color="auto"/>
      </w:divBdr>
    </w:div>
    <w:div w:id="1010719535">
      <w:bodyDiv w:val="1"/>
      <w:marLeft w:val="0"/>
      <w:marRight w:val="0"/>
      <w:marTop w:val="0"/>
      <w:marBottom w:val="0"/>
      <w:divBdr>
        <w:top w:val="none" w:sz="0" w:space="0" w:color="auto"/>
        <w:left w:val="none" w:sz="0" w:space="0" w:color="auto"/>
        <w:bottom w:val="none" w:sz="0" w:space="0" w:color="auto"/>
        <w:right w:val="none" w:sz="0" w:space="0" w:color="auto"/>
      </w:divBdr>
    </w:div>
    <w:div w:id="1027023548">
      <w:bodyDiv w:val="1"/>
      <w:marLeft w:val="0"/>
      <w:marRight w:val="0"/>
      <w:marTop w:val="0"/>
      <w:marBottom w:val="0"/>
      <w:divBdr>
        <w:top w:val="none" w:sz="0" w:space="0" w:color="auto"/>
        <w:left w:val="none" w:sz="0" w:space="0" w:color="auto"/>
        <w:bottom w:val="none" w:sz="0" w:space="0" w:color="auto"/>
        <w:right w:val="none" w:sz="0" w:space="0" w:color="auto"/>
      </w:divBdr>
    </w:div>
    <w:div w:id="1055157032">
      <w:bodyDiv w:val="1"/>
      <w:marLeft w:val="0"/>
      <w:marRight w:val="0"/>
      <w:marTop w:val="0"/>
      <w:marBottom w:val="0"/>
      <w:divBdr>
        <w:top w:val="none" w:sz="0" w:space="0" w:color="auto"/>
        <w:left w:val="none" w:sz="0" w:space="0" w:color="auto"/>
        <w:bottom w:val="none" w:sz="0" w:space="0" w:color="auto"/>
        <w:right w:val="none" w:sz="0" w:space="0" w:color="auto"/>
      </w:divBdr>
    </w:div>
    <w:div w:id="1130325779">
      <w:bodyDiv w:val="1"/>
      <w:marLeft w:val="0"/>
      <w:marRight w:val="0"/>
      <w:marTop w:val="0"/>
      <w:marBottom w:val="0"/>
      <w:divBdr>
        <w:top w:val="none" w:sz="0" w:space="0" w:color="auto"/>
        <w:left w:val="none" w:sz="0" w:space="0" w:color="auto"/>
        <w:bottom w:val="none" w:sz="0" w:space="0" w:color="auto"/>
        <w:right w:val="none" w:sz="0" w:space="0" w:color="auto"/>
      </w:divBdr>
    </w:div>
    <w:div w:id="1130366190">
      <w:bodyDiv w:val="1"/>
      <w:marLeft w:val="0"/>
      <w:marRight w:val="0"/>
      <w:marTop w:val="0"/>
      <w:marBottom w:val="0"/>
      <w:divBdr>
        <w:top w:val="none" w:sz="0" w:space="0" w:color="auto"/>
        <w:left w:val="none" w:sz="0" w:space="0" w:color="auto"/>
        <w:bottom w:val="none" w:sz="0" w:space="0" w:color="auto"/>
        <w:right w:val="none" w:sz="0" w:space="0" w:color="auto"/>
      </w:divBdr>
    </w:div>
    <w:div w:id="1164510824">
      <w:bodyDiv w:val="1"/>
      <w:marLeft w:val="0"/>
      <w:marRight w:val="0"/>
      <w:marTop w:val="0"/>
      <w:marBottom w:val="0"/>
      <w:divBdr>
        <w:top w:val="none" w:sz="0" w:space="0" w:color="auto"/>
        <w:left w:val="none" w:sz="0" w:space="0" w:color="auto"/>
        <w:bottom w:val="none" w:sz="0" w:space="0" w:color="auto"/>
        <w:right w:val="none" w:sz="0" w:space="0" w:color="auto"/>
      </w:divBdr>
    </w:div>
    <w:div w:id="1220942210">
      <w:bodyDiv w:val="1"/>
      <w:marLeft w:val="0"/>
      <w:marRight w:val="0"/>
      <w:marTop w:val="0"/>
      <w:marBottom w:val="0"/>
      <w:divBdr>
        <w:top w:val="none" w:sz="0" w:space="0" w:color="auto"/>
        <w:left w:val="none" w:sz="0" w:space="0" w:color="auto"/>
        <w:bottom w:val="none" w:sz="0" w:space="0" w:color="auto"/>
        <w:right w:val="none" w:sz="0" w:space="0" w:color="auto"/>
      </w:divBdr>
    </w:div>
    <w:div w:id="1312563672">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62247123">
      <w:bodyDiv w:val="1"/>
      <w:marLeft w:val="0"/>
      <w:marRight w:val="0"/>
      <w:marTop w:val="0"/>
      <w:marBottom w:val="0"/>
      <w:divBdr>
        <w:top w:val="none" w:sz="0" w:space="0" w:color="auto"/>
        <w:left w:val="none" w:sz="0" w:space="0" w:color="auto"/>
        <w:bottom w:val="none" w:sz="0" w:space="0" w:color="auto"/>
        <w:right w:val="none" w:sz="0" w:space="0" w:color="auto"/>
      </w:divBdr>
    </w:div>
    <w:div w:id="1393429353">
      <w:bodyDiv w:val="1"/>
      <w:marLeft w:val="0"/>
      <w:marRight w:val="0"/>
      <w:marTop w:val="0"/>
      <w:marBottom w:val="0"/>
      <w:divBdr>
        <w:top w:val="none" w:sz="0" w:space="0" w:color="auto"/>
        <w:left w:val="none" w:sz="0" w:space="0" w:color="auto"/>
        <w:bottom w:val="none" w:sz="0" w:space="0" w:color="auto"/>
        <w:right w:val="none" w:sz="0" w:space="0" w:color="auto"/>
      </w:divBdr>
    </w:div>
    <w:div w:id="1559127965">
      <w:bodyDiv w:val="1"/>
      <w:marLeft w:val="0"/>
      <w:marRight w:val="0"/>
      <w:marTop w:val="0"/>
      <w:marBottom w:val="0"/>
      <w:divBdr>
        <w:top w:val="none" w:sz="0" w:space="0" w:color="auto"/>
        <w:left w:val="none" w:sz="0" w:space="0" w:color="auto"/>
        <w:bottom w:val="none" w:sz="0" w:space="0" w:color="auto"/>
        <w:right w:val="none" w:sz="0" w:space="0" w:color="auto"/>
      </w:divBdr>
    </w:div>
    <w:div w:id="1570265818">
      <w:bodyDiv w:val="1"/>
      <w:marLeft w:val="0"/>
      <w:marRight w:val="0"/>
      <w:marTop w:val="0"/>
      <w:marBottom w:val="0"/>
      <w:divBdr>
        <w:top w:val="none" w:sz="0" w:space="0" w:color="auto"/>
        <w:left w:val="none" w:sz="0" w:space="0" w:color="auto"/>
        <w:bottom w:val="none" w:sz="0" w:space="0" w:color="auto"/>
        <w:right w:val="none" w:sz="0" w:space="0" w:color="auto"/>
      </w:divBdr>
    </w:div>
    <w:div w:id="1627006462">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2054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6923955">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2990966">
      <w:bodyDiv w:val="1"/>
      <w:marLeft w:val="0"/>
      <w:marRight w:val="0"/>
      <w:marTop w:val="0"/>
      <w:marBottom w:val="0"/>
      <w:divBdr>
        <w:top w:val="none" w:sz="0" w:space="0" w:color="auto"/>
        <w:left w:val="none" w:sz="0" w:space="0" w:color="auto"/>
        <w:bottom w:val="none" w:sz="0" w:space="0" w:color="auto"/>
        <w:right w:val="none" w:sz="0" w:space="0" w:color="auto"/>
      </w:divBdr>
    </w:div>
    <w:div w:id="1806508110">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5722962">
      <w:bodyDiv w:val="1"/>
      <w:marLeft w:val="0"/>
      <w:marRight w:val="0"/>
      <w:marTop w:val="0"/>
      <w:marBottom w:val="0"/>
      <w:divBdr>
        <w:top w:val="none" w:sz="0" w:space="0" w:color="auto"/>
        <w:left w:val="none" w:sz="0" w:space="0" w:color="auto"/>
        <w:bottom w:val="none" w:sz="0" w:space="0" w:color="auto"/>
        <w:right w:val="none" w:sz="0" w:space="0" w:color="auto"/>
      </w:divBdr>
    </w:div>
    <w:div w:id="2054767054">
      <w:bodyDiv w:val="1"/>
      <w:marLeft w:val="0"/>
      <w:marRight w:val="0"/>
      <w:marTop w:val="0"/>
      <w:marBottom w:val="0"/>
      <w:divBdr>
        <w:top w:val="none" w:sz="0" w:space="0" w:color="auto"/>
        <w:left w:val="none" w:sz="0" w:space="0" w:color="auto"/>
        <w:bottom w:val="none" w:sz="0" w:space="0" w:color="auto"/>
        <w:right w:val="none" w:sz="0" w:space="0" w:color="auto"/>
      </w:divBdr>
    </w:div>
    <w:div w:id="2077164725">
      <w:bodyDiv w:val="1"/>
      <w:marLeft w:val="0"/>
      <w:marRight w:val="0"/>
      <w:marTop w:val="0"/>
      <w:marBottom w:val="0"/>
      <w:divBdr>
        <w:top w:val="none" w:sz="0" w:space="0" w:color="auto"/>
        <w:left w:val="none" w:sz="0" w:space="0" w:color="auto"/>
        <w:bottom w:val="none" w:sz="0" w:space="0" w:color="auto"/>
        <w:right w:val="none" w:sz="0" w:space="0" w:color="auto"/>
      </w:divBdr>
    </w:div>
    <w:div w:id="2082172507">
      <w:bodyDiv w:val="1"/>
      <w:marLeft w:val="0"/>
      <w:marRight w:val="0"/>
      <w:marTop w:val="0"/>
      <w:marBottom w:val="0"/>
      <w:divBdr>
        <w:top w:val="none" w:sz="0" w:space="0" w:color="auto"/>
        <w:left w:val="none" w:sz="0" w:space="0" w:color="auto"/>
        <w:bottom w:val="none" w:sz="0" w:space="0" w:color="auto"/>
        <w:right w:val="none" w:sz="0" w:space="0" w:color="auto"/>
      </w:divBdr>
    </w:div>
    <w:div w:id="213767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38214</b:Tag>
    <b:SourceType>Book</b:SourceType>
    <b:Guid>{4C424FC2-30D9-4A80-9AAB-C56E1C52BE04}</b:Guid>
    <b:Title>Physical layer procedures for data</b:Title>
    <b:Year>2020</b:Year>
    <b:Publisher>3GPP</b:Publisher>
    <b:Author>
      <b:Author>
        <b:NameList>
          <b:Person>
            <b:Last>TR38.214</b:Last>
          </b:Person>
        </b:NameList>
      </b:Author>
    </b:Author>
    <b:URL>https://www.3gpp.org/ftp//Specs/archive/38_series/38.214/38214-g30.zip</b:URL>
    <b:RefOrder>1</b:RefOrder>
  </b:Source>
</b:Sources>
</file>

<file path=customXml/itemProps1.xml><?xml version="1.0" encoding="utf-8"?>
<ds:datastoreItem xmlns:ds="http://schemas.openxmlformats.org/officeDocument/2006/customXml" ds:itemID="{C73CFF84-C12B-4FDD-986F-1267EF0CF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2005</Words>
  <Characters>11432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George Calcev</cp:lastModifiedBy>
  <cp:revision>3</cp:revision>
  <cp:lastPrinted>2007-06-18T23:08:00Z</cp:lastPrinted>
  <dcterms:created xsi:type="dcterms:W3CDTF">2021-09-30T02:00:00Z</dcterms:created>
  <dcterms:modified xsi:type="dcterms:W3CDTF">2021-10-01T17:03:00Z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