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r>
        <w:t>ynamic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6"/>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1"/>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r>
        <w:t>ynamic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6"/>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6"/>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3"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4"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1"/>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lastRenderedPageBreak/>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FL proposal is mad</w:t>
      </w:r>
      <w:bookmarkStart w:id="14" w:name="_GoBack"/>
      <w:bookmarkEnd w:id="14"/>
      <w:r w:rsidRPr="007F7AF5">
        <w:rPr>
          <w:color w:val="000000" w:themeColor="text1"/>
          <w:lang w:val="en-GB"/>
        </w:rPr>
        <w:t xml:space="preserve">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6"/>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6"/>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1"/>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40B69DCD" w:rsidR="001D01D7" w:rsidRPr="00BC555F" w:rsidRDefault="001D01D7" w:rsidP="00267511">
            <w:pPr>
              <w:spacing w:before="0" w:after="0"/>
              <w:rPr>
                <w:rFonts w:eastAsia="MS Mincho"/>
                <w:bCs/>
                <w:lang w:eastAsia="ja-JP"/>
              </w:rPr>
            </w:pPr>
          </w:p>
        </w:tc>
        <w:tc>
          <w:tcPr>
            <w:tcW w:w="7627" w:type="dxa"/>
            <w:shd w:val="clear" w:color="auto" w:fill="auto"/>
          </w:tcPr>
          <w:p w14:paraId="6F9299F3" w14:textId="2874E4DA" w:rsidR="001D01D7" w:rsidRPr="00BC555F" w:rsidRDefault="001D01D7" w:rsidP="00267511">
            <w:pPr>
              <w:spacing w:before="0" w:after="0"/>
              <w:rPr>
                <w:rFonts w:eastAsia="MS Mincho"/>
                <w:lang w:eastAsia="ja-JP"/>
              </w:rPr>
            </w:pPr>
          </w:p>
        </w:tc>
      </w:tr>
      <w:tr w:rsidR="001D01D7" w14:paraId="60AF1F51" w14:textId="77777777" w:rsidTr="00267511">
        <w:tc>
          <w:tcPr>
            <w:tcW w:w="2335" w:type="dxa"/>
          </w:tcPr>
          <w:p w14:paraId="4C56F505" w14:textId="77777777" w:rsidR="001D01D7" w:rsidRDefault="001D01D7" w:rsidP="00267511">
            <w:pPr>
              <w:spacing w:before="0" w:after="0"/>
              <w:rPr>
                <w:bCs/>
                <w:lang w:eastAsia="zh-CN"/>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149747AA" w14:textId="77777777" w:rsidR="00AC0A3E" w:rsidRDefault="008120F9">
      <w:pPr>
        <w:pStyle w:val="af6"/>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6"/>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6"/>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6"/>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6"/>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6"/>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6"/>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5" w:name="_Hlk7978836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6"/>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t>
            </w:r>
            <w:r w:rsidRPr="009E2F13">
              <w:rPr>
                <w:rFonts w:ascii="Times New Roman" w:eastAsiaTheme="minorEastAsia" w:hAnsi="Times New Roman"/>
                <w:sz w:val="20"/>
                <w:lang w:eastAsia="zh-CN"/>
              </w:rPr>
              <w:lastRenderedPageBreak/>
              <w:t>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af6"/>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5"/>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nrofSlots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267511">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af6"/>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267511">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267511">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PUCCH-FormatConfig.</w:t>
      </w:r>
    </w:p>
    <w:p w14:paraId="1E4BBDA6" w14:textId="77777777" w:rsidR="00AC0A3E" w:rsidRDefault="00267511">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6"/>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6"/>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lastRenderedPageBreak/>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af6"/>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32DAEEB8" w:rsidR="001D01D7" w:rsidRDefault="001D01D7" w:rsidP="00267511">
            <w:pPr>
              <w:spacing w:after="0"/>
              <w:rPr>
                <w:bCs/>
                <w:lang w:eastAsia="zh-CN"/>
              </w:rPr>
            </w:pPr>
          </w:p>
        </w:tc>
        <w:tc>
          <w:tcPr>
            <w:tcW w:w="7627" w:type="dxa"/>
          </w:tcPr>
          <w:p w14:paraId="76692B07" w14:textId="4BBD2901" w:rsidR="001D01D7" w:rsidRDefault="001D01D7" w:rsidP="00267511">
            <w:pPr>
              <w:spacing w:after="0"/>
              <w:rPr>
                <w:lang w:eastAsia="zh-CN"/>
              </w:rPr>
            </w:pP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267511">
      <w:pPr>
        <w:pStyle w:val="af6"/>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267511">
      <w:pPr>
        <w:pStyle w:val="af6"/>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267511">
      <w:pPr>
        <w:pStyle w:val="af6"/>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267511">
      <w:pPr>
        <w:pStyle w:val="af6"/>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1"/>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w:t>
            </w:r>
            <w:r>
              <w:rPr>
                <w:lang w:eastAsia="zh-CN"/>
              </w:rPr>
              <w:lastRenderedPageBreak/>
              <w:t>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77777777" w:rsidR="001D01D7" w:rsidRDefault="001D01D7" w:rsidP="00267511">
            <w:pPr>
              <w:spacing w:after="0"/>
              <w:rPr>
                <w:bCs/>
                <w:lang w:eastAsia="zh-CN"/>
              </w:rPr>
            </w:pPr>
          </w:p>
        </w:tc>
        <w:tc>
          <w:tcPr>
            <w:tcW w:w="7627" w:type="dxa"/>
          </w:tcPr>
          <w:p w14:paraId="3DBE21C6" w14:textId="77777777" w:rsidR="001D01D7" w:rsidRDefault="001D01D7" w:rsidP="00267511">
            <w:pPr>
              <w:spacing w:after="0"/>
              <w:rPr>
                <w:lang w:eastAsia="zh-CN"/>
              </w:rPr>
            </w:pPr>
          </w:p>
        </w:tc>
      </w:tr>
    </w:tbl>
    <w:p w14:paraId="0803A7AB" w14:textId="77777777"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267511">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6"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7" w:name="_Hlk61599417"/>
      <w:r>
        <w:t xml:space="preserve">different interpretations of a single dynamic indication of PUCCH repetition factor, for different PUCCH formats and UCI sizes, or different PUCCH resource sets. </w:t>
      </w:r>
    </w:p>
    <w:bookmarkEnd w:id="16"/>
    <w:bookmarkEnd w:id="17"/>
    <w:p w14:paraId="0E7045D4" w14:textId="77777777" w:rsidR="00AC0A3E" w:rsidRDefault="008120F9">
      <w:r>
        <w:t xml:space="preserve">Companies are welcome to provide comments to the two proposals in the following table.  </w:t>
      </w:r>
    </w:p>
    <w:tbl>
      <w:tblPr>
        <w:tblStyle w:val="af1"/>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w:t>
            </w:r>
            <w:r>
              <w:rPr>
                <w:lang w:eastAsia="zh-CN"/>
              </w:rPr>
              <w:lastRenderedPageBreak/>
              <w:t xml:space="preserve">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267511">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267511">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267511">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267511">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6"/>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6"/>
        <w:ind w:left="1440"/>
        <w:rPr>
          <w:rFonts w:ascii="Times New Roman" w:hAnsi="Times New Roman"/>
          <w:sz w:val="20"/>
          <w:szCs w:val="20"/>
        </w:rPr>
      </w:pPr>
    </w:p>
    <w:p w14:paraId="0442CE51" w14:textId="77777777" w:rsidR="00AC0A3E" w:rsidRDefault="00267511">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lastRenderedPageBreak/>
        <w:t>PUCCH repetition is indicated by PRI and/or system information.</w:t>
      </w:r>
    </w:p>
    <w:p w14:paraId="1B24F2CA" w14:textId="77777777" w:rsidR="00AC0A3E" w:rsidRDefault="008120F9">
      <w:pPr>
        <w:pStyle w:val="af6"/>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267511">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267511">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8" w:name="_Hlk79057964"/>
      <w:r w:rsidR="008120F9">
        <w:t>in addition to PRI and starting CCE index, to indicate the PUCCH resource</w:t>
      </w:r>
      <w:bookmarkEnd w:id="18"/>
      <w:r w:rsidR="008120F9">
        <w:t>.cation of PUCCH resource.</w:t>
      </w:r>
    </w:p>
    <w:p w14:paraId="48FA3CB1" w14:textId="77777777" w:rsidR="00AC0A3E" w:rsidRDefault="00267511">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9" w:name="_Ref72009114"/>
      <w:r>
        <w:t>DMRS bundling across PUCCH repetitions</w:t>
      </w:r>
      <w:bookmarkEnd w:id="19"/>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20"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20"/>
    </w:p>
    <w:p w14:paraId="5BE50DBD" w14:textId="77777777" w:rsidR="00AC0A3E" w:rsidRDefault="00267511">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267511">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267511">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267511">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9"/>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9"/>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w:t>
            </w:r>
            <w:r>
              <w:rPr>
                <w:bCs/>
                <w:lang w:eastAsia="zh-CN"/>
              </w:rPr>
              <w:lastRenderedPageBreak/>
              <w:t>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6"/>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lastRenderedPageBreak/>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6"/>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6"/>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6"/>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vise versa. </w:t>
      </w:r>
    </w:p>
    <w:tbl>
      <w:tblPr>
        <w:tblStyle w:val="af1"/>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w:t>
            </w:r>
            <w:r>
              <w:rPr>
                <w:rFonts w:eastAsia="MS Mincho"/>
                <w:bCs/>
                <w:lang w:eastAsia="ja-JP"/>
              </w:rPr>
              <w:lastRenderedPageBreak/>
              <w:t>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77777777" w:rsidR="001D01D7" w:rsidRDefault="001D01D7" w:rsidP="00267511">
            <w:pPr>
              <w:spacing w:after="0"/>
              <w:rPr>
                <w:bCs/>
                <w:lang w:eastAsia="zh-CN"/>
              </w:rPr>
            </w:pPr>
          </w:p>
        </w:tc>
        <w:tc>
          <w:tcPr>
            <w:tcW w:w="7627" w:type="dxa"/>
          </w:tcPr>
          <w:p w14:paraId="60669B28" w14:textId="77777777" w:rsidR="001D01D7" w:rsidRDefault="001D01D7" w:rsidP="00267511">
            <w:pPr>
              <w:spacing w:after="0"/>
              <w:rPr>
                <w:lang w:eastAsia="zh-CN"/>
              </w:rPr>
            </w:pP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af6"/>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lastRenderedPageBreak/>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r>
              <w:rPr>
                <w:lang w:eastAsia="zh-CN"/>
              </w:rPr>
              <w:t xml:space="preserve">ignallin is sufficient for enabling/disabling PUCCH repetitions with DMRS bundling. We do not think dynamic </w:t>
            </w:r>
            <w:r>
              <w:rPr>
                <w:lang w:eastAsia="zh-CN"/>
              </w:rPr>
              <w:pgNum/>
            </w:r>
            <w:r>
              <w:rPr>
                <w:lang w:eastAsia="zh-CN"/>
              </w:rPr>
              <w:t xml:space="preserve">ignallin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r>
              <w:rPr>
                <w:lang w:val="en-GB" w:eastAsia="ko-KR"/>
              </w:rPr>
              <w:t>ignalling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lastRenderedPageBreak/>
        <w:t>Based on the input collected in the above table, companies’ views are the following:</w:t>
      </w:r>
    </w:p>
    <w:p w14:paraId="1A74D696" w14:textId="45E5FAD5"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af6"/>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1"/>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7777777" w:rsidR="001D01D7" w:rsidRDefault="001D01D7" w:rsidP="00267511">
            <w:pPr>
              <w:spacing w:after="0"/>
              <w:rPr>
                <w:bCs/>
                <w:lang w:eastAsia="zh-CN"/>
              </w:rPr>
            </w:pPr>
          </w:p>
        </w:tc>
        <w:tc>
          <w:tcPr>
            <w:tcW w:w="7627" w:type="dxa"/>
          </w:tcPr>
          <w:p w14:paraId="5DE10850" w14:textId="77777777" w:rsidR="001D01D7" w:rsidRDefault="001D01D7" w:rsidP="00267511">
            <w:pPr>
              <w:spacing w:after="0"/>
              <w:rPr>
                <w:lang w:eastAsia="zh-CN"/>
              </w:rPr>
            </w:pP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AC0A3E" w14:paraId="46B4642C" w14:textId="77777777">
        <w:tc>
          <w:tcPr>
            <w:tcW w:w="2335" w:type="dxa"/>
            <w:shd w:val="clear" w:color="auto" w:fill="auto"/>
          </w:tcPr>
          <w:p w14:paraId="7DC785CE" w14:textId="6998C8CF" w:rsidR="00AC0A3E" w:rsidRPr="003C6B79" w:rsidRDefault="00AC0A3E">
            <w:pPr>
              <w:spacing w:before="0" w:after="0"/>
              <w:rPr>
                <w:rFonts w:eastAsia="MS Mincho"/>
                <w:bCs/>
                <w:lang w:eastAsia="ja-JP"/>
              </w:rPr>
            </w:pPr>
          </w:p>
        </w:tc>
        <w:tc>
          <w:tcPr>
            <w:tcW w:w="7627" w:type="dxa"/>
            <w:shd w:val="clear" w:color="auto" w:fill="auto"/>
          </w:tcPr>
          <w:p w14:paraId="6A652E76" w14:textId="77777777" w:rsidR="00AC0A3E" w:rsidRDefault="00AC0A3E">
            <w:pPr>
              <w:spacing w:before="0" w:after="0"/>
              <w:rPr>
                <w:lang w:eastAsia="zh-CN"/>
              </w:rPr>
            </w:pPr>
          </w:p>
        </w:tc>
      </w:tr>
      <w:tr w:rsidR="00AC0A3E" w14:paraId="24EB8285" w14:textId="77777777">
        <w:tc>
          <w:tcPr>
            <w:tcW w:w="2335" w:type="dxa"/>
          </w:tcPr>
          <w:p w14:paraId="1173B6C4" w14:textId="77777777" w:rsidR="00AC0A3E" w:rsidRDefault="00AC0A3E">
            <w:pPr>
              <w:spacing w:before="0" w:after="0"/>
              <w:rPr>
                <w:bCs/>
                <w:lang w:eastAsia="zh-CN"/>
              </w:rPr>
            </w:pPr>
          </w:p>
        </w:tc>
        <w:tc>
          <w:tcPr>
            <w:tcW w:w="7627" w:type="dxa"/>
          </w:tcPr>
          <w:p w14:paraId="1F373B52" w14:textId="77777777" w:rsidR="00AC0A3E" w:rsidRDefault="00AC0A3E">
            <w:pPr>
              <w:spacing w:before="0" w:after="0"/>
              <w:rPr>
                <w:bCs/>
                <w:lang w:eastAsia="zh-CN"/>
              </w:rPr>
            </w:pPr>
          </w:p>
        </w:tc>
      </w:tr>
    </w:tbl>
    <w:p w14:paraId="79FAF7F6" w14:textId="77777777" w:rsidR="00AC0A3E" w:rsidRDefault="008120F9">
      <w:pPr>
        <w:pStyle w:val="2"/>
      </w:pPr>
      <w:r>
        <w:t>Inter slot freq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6"/>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6"/>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In RAN1 104bis-e, the following agreements were made under AI 8.8.1.3. Since RAN1 should trive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lastRenderedPageBreak/>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6"/>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maybe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1"/>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w:t>
            </w:r>
            <w:r>
              <w:rPr>
                <w:bCs/>
                <w:lang w:eastAsia="zh-CN"/>
              </w:rPr>
              <w:lastRenderedPageBreak/>
              <w:t xml:space="preserve">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Ues in a cell may be configured for, or even support, DMRS bundling.  In order to have spectrally efficient use of PUCCH, Ues not configured for bundling but that share the same PRBs should be able to hop with Ues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2"/>
      </w:pPr>
      <w:r>
        <w:lastRenderedPageBreak/>
        <w:t>Other proposals</w:t>
      </w:r>
    </w:p>
    <w:p w14:paraId="32531284" w14:textId="77777777" w:rsidR="00AC0A3E" w:rsidRDefault="00267511">
      <w:pPr>
        <w:pStyle w:val="a9"/>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a9"/>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9"/>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9"/>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9"/>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lastRenderedPageBreak/>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267511">
      <w:pPr>
        <w:pStyle w:val="a9"/>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can not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9"/>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1"/>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Our view is that as gNB is aware of UEs that perform DMRS bundling for PUSCH repetition, gNB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w:t>
            </w:r>
            <w:r>
              <w:rPr>
                <w:bCs/>
                <w:lang w:eastAsia="zh-CN"/>
              </w:rPr>
              <w:lastRenderedPageBreak/>
              <w:t>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bl>
    <w:p w14:paraId="4CB33BE9" w14:textId="77777777" w:rsidR="00AC0A3E" w:rsidRDefault="008120F9">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267511">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267511">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267511">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267511">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267511">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267511">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267511">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267511">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267511">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267511">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267511">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267511">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267511">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267511">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267511">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267511">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267511">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267511">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267511">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267511">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267511">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267511">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267511">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footerReference w:type="even" r:id="rId67"/>
      <w:footerReference w:type="default" r:id="rId6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5F850" w14:textId="77777777" w:rsidR="00F039BC" w:rsidRDefault="00F039BC">
      <w:pPr>
        <w:spacing w:after="0" w:line="240" w:lineRule="auto"/>
      </w:pPr>
      <w:r>
        <w:separator/>
      </w:r>
    </w:p>
  </w:endnote>
  <w:endnote w:type="continuationSeparator" w:id="0">
    <w:p w14:paraId="77896417" w14:textId="77777777" w:rsidR="00F039BC" w:rsidRDefault="00F0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5715E" w14:textId="77777777" w:rsidR="00267511" w:rsidRDefault="00267511">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BCB0921" w14:textId="77777777" w:rsidR="00267511" w:rsidRDefault="0026751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DFACF" w14:textId="77777777" w:rsidR="00267511" w:rsidRDefault="00267511">
    <w:pPr>
      <w:pStyle w:val="ab"/>
      <w:ind w:right="360"/>
    </w:pPr>
    <w:r>
      <w:rPr>
        <w:rStyle w:val="af2"/>
      </w:rPr>
      <w:fldChar w:fldCharType="begin"/>
    </w:r>
    <w:r>
      <w:rPr>
        <w:rStyle w:val="af2"/>
      </w:rPr>
      <w:instrText xml:space="preserve"> PAGE </w:instrText>
    </w:r>
    <w:r>
      <w:rPr>
        <w:rStyle w:val="af2"/>
      </w:rPr>
      <w:fldChar w:fldCharType="separate"/>
    </w:r>
    <w:r w:rsidR="007B7AD4">
      <w:rPr>
        <w:rStyle w:val="af2"/>
        <w:noProof/>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B7AD4">
      <w:rPr>
        <w:rStyle w:val="af2"/>
        <w:noProof/>
      </w:rPr>
      <w:t>25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440476" w14:textId="77777777" w:rsidR="00F039BC" w:rsidRDefault="00F039BC">
      <w:pPr>
        <w:spacing w:after="0" w:line="240" w:lineRule="auto"/>
      </w:pPr>
      <w:r>
        <w:separator/>
      </w:r>
    </w:p>
  </w:footnote>
  <w:footnote w:type="continuationSeparator" w:id="0">
    <w:p w14:paraId="11A5CD26" w14:textId="77777777" w:rsidR="00F039BC" w:rsidRDefault="00F03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252F7" w14:textId="77777777" w:rsidR="00267511" w:rsidRDefault="002675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905.zip" TargetMode="External"/><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6-e/Docs/R1-21071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1.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footer" Target="footer1.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7F870AEA-F991-49CE-9C1A-2FCD6C2F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10312</Words>
  <Characters>58784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Feiyongqiang-b</cp:lastModifiedBy>
  <cp:revision>2</cp:revision>
  <cp:lastPrinted>2014-11-07T05:38:00Z</cp:lastPrinted>
  <dcterms:created xsi:type="dcterms:W3CDTF">2021-08-18T07:31:00Z</dcterms:created>
  <dcterms:modified xsi:type="dcterms:W3CDTF">2021-08-18T07:31:00Z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