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1E2B4" w14:textId="3E758BF3" w:rsidR="000E3E45" w:rsidRDefault="005F480B">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Heading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Heading1"/>
      </w:pPr>
      <w:r>
        <w:rPr>
          <w:rFonts w:eastAsia="SimSun"/>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fr-FR"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ZTE, Sanechips</w:t>
            </w:r>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3BCB7E3" w14:textId="57FD165C" w:rsidR="00D81C3B" w:rsidRDefault="00D81C3B" w:rsidP="00A5077A">
            <w:pPr>
              <w:tabs>
                <w:tab w:val="left" w:pos="551"/>
              </w:tabs>
              <w:rPr>
                <w:rFonts w:eastAsia="DengXian"/>
                <w:lang w:val="en-US" w:eastAsia="zh-CN"/>
              </w:rPr>
            </w:pPr>
            <w:r>
              <w:rPr>
                <w:rFonts w:eastAsia="DengXian" w:hint="eastAsia"/>
                <w:lang w:val="en-US" w:eastAsia="zh-CN"/>
              </w:rPr>
              <w:t>Y</w:t>
            </w:r>
          </w:p>
        </w:tc>
        <w:tc>
          <w:tcPr>
            <w:tcW w:w="6780" w:type="dxa"/>
          </w:tcPr>
          <w:p w14:paraId="69E75435" w14:textId="2AEE05D2" w:rsidR="00D81C3B" w:rsidRDefault="00D81C3B" w:rsidP="00A5077A">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DengXian"/>
                <w:lang w:val="en-US" w:eastAsia="zh-CN"/>
              </w:rPr>
            </w:pPr>
            <w:r>
              <w:rPr>
                <w:rFonts w:eastAsia="DengXian"/>
                <w:lang w:val="en-US" w:eastAsia="zh-CN"/>
              </w:rPr>
              <w:lastRenderedPageBreak/>
              <w:t>Sierra Wireless</w:t>
            </w:r>
          </w:p>
        </w:tc>
        <w:tc>
          <w:tcPr>
            <w:tcW w:w="1372" w:type="dxa"/>
          </w:tcPr>
          <w:p w14:paraId="47944B58" w14:textId="07AE3102" w:rsidR="00F54410" w:rsidRDefault="00C20EF7" w:rsidP="00A5077A">
            <w:pPr>
              <w:tabs>
                <w:tab w:val="left" w:pos="551"/>
              </w:tabs>
              <w:rPr>
                <w:rFonts w:eastAsia="DengXian"/>
                <w:lang w:val="en-US" w:eastAsia="zh-CN"/>
              </w:rPr>
            </w:pPr>
            <w:r>
              <w:rPr>
                <w:rFonts w:eastAsia="DengXian"/>
                <w:lang w:val="en-US" w:eastAsia="zh-CN"/>
              </w:rPr>
              <w:t>Y</w:t>
            </w:r>
          </w:p>
        </w:tc>
        <w:tc>
          <w:tcPr>
            <w:tcW w:w="6780" w:type="dxa"/>
          </w:tcPr>
          <w:p w14:paraId="1F1B46F0" w14:textId="35BC2B44" w:rsidR="00F54410" w:rsidRDefault="00C20EF7" w:rsidP="00A5077A">
            <w:pPr>
              <w:rPr>
                <w:rFonts w:eastAsia="DengXian"/>
                <w:lang w:val="en-US" w:eastAsia="zh-CN"/>
              </w:rPr>
            </w:pPr>
            <w:r>
              <w:rPr>
                <w:rFonts w:eastAsia="DengXian"/>
                <w:lang w:val="en-US" w:eastAsia="zh-CN"/>
              </w:rPr>
              <w:t>Support</w:t>
            </w: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ListParagraph"/>
              <w:numPr>
                <w:ilvl w:val="0"/>
                <w:numId w:val="11"/>
              </w:numPr>
              <w:rPr>
                <w:lang w:val="en-US"/>
              </w:rPr>
            </w:pPr>
            <w:r>
              <w:rPr>
                <w:lang w:val="en-US"/>
              </w:rPr>
              <w:t xml:space="preserve">The minimum number of Rx branches/DL MIMO layers supported </w:t>
            </w:r>
          </w:p>
          <w:p w14:paraId="1CF1E348" w14:textId="77777777" w:rsidR="000E3E45" w:rsidRDefault="005F480B">
            <w:pPr>
              <w:pStyle w:val="ListParagraph"/>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lastRenderedPageBreak/>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DengXian"/>
                <w:lang w:val="en-US" w:eastAsia="zh-CN"/>
              </w:rPr>
            </w:pPr>
            <w:r>
              <w:rPr>
                <w:rFonts w:eastAsia="DengXian" w:hint="eastAsia"/>
                <w:lang w:val="en-US" w:eastAsia="zh-CN"/>
              </w:rPr>
              <w:t>A</w:t>
            </w:r>
            <w:r>
              <w:rPr>
                <w:rFonts w:eastAsia="DengXian"/>
                <w:lang w:val="en-US" w:eastAsia="zh-CN"/>
              </w:rPr>
              <w:t>gree with Huawei, Intel, Apple</w:t>
            </w:r>
            <w:r w:rsidR="00B61D81">
              <w:rPr>
                <w:rFonts w:eastAsia="DengXian"/>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DengXian"/>
                <w:lang w:val="en-US" w:eastAsia="zh-CN"/>
              </w:rPr>
            </w:pPr>
            <w:r>
              <w:rPr>
                <w:rFonts w:eastAsia="DengXian"/>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DengXian"/>
                <w:lang w:val="en-US" w:eastAsia="zh-CN"/>
              </w:rPr>
            </w:pPr>
            <w:r>
              <w:rPr>
                <w:rFonts w:eastAsia="DengXian"/>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DengXian"/>
                <w:lang w:val="en-US" w:eastAsia="zh-CN"/>
              </w:rPr>
            </w:pPr>
            <w:r>
              <w:rPr>
                <w:rFonts w:eastAsia="DengXian"/>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DengXian"/>
                <w:lang w:val="en-US" w:eastAsia="zh-CN"/>
              </w:rPr>
            </w:pPr>
            <w:r>
              <w:rPr>
                <w:rFonts w:eastAsia="DengXian"/>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DengXian"/>
                <w:lang w:val="en-US" w:eastAsia="zh-CN"/>
              </w:rPr>
            </w:pPr>
            <w:r>
              <w:rPr>
                <w:rFonts w:eastAsia="DengXian"/>
                <w:lang w:val="en-US" w:eastAsia="zh-CN"/>
              </w:rPr>
              <w:t>In addition to the maximum BW, a</w:t>
            </w:r>
            <w:r w:rsidRPr="00B143E1">
              <w:rPr>
                <w:rFonts w:eastAsia="DengXian"/>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DengXian"/>
                <w:lang w:val="en-US" w:eastAsia="zh-CN"/>
              </w:rPr>
            </w:pPr>
            <w:r>
              <w:rPr>
                <w:rFonts w:eastAsia="DengXian"/>
                <w:lang w:val="en-US" w:eastAsia="zh-CN"/>
              </w:rPr>
              <w:t>Qualcomm</w:t>
            </w:r>
          </w:p>
        </w:tc>
        <w:tc>
          <w:tcPr>
            <w:tcW w:w="4105" w:type="pct"/>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DengXian"/>
                <w:lang w:val="en-US" w:eastAsia="zh-CN"/>
              </w:rPr>
            </w:pPr>
            <w:r>
              <w:rPr>
                <w:rFonts w:eastAsia="DengXian"/>
                <w:lang w:val="en-US" w:eastAsia="zh-CN"/>
              </w:rPr>
              <w:t xml:space="preserve">In addition to max UE BW, the UE capabilities that need to be supported as mandatory UE features </w:t>
            </w:r>
            <w:r w:rsidR="00AE024C">
              <w:rPr>
                <w:rFonts w:eastAsia="DengXian"/>
                <w:lang w:val="en-US" w:eastAsia="zh-CN"/>
              </w:rPr>
              <w:t>(</w:t>
            </w:r>
            <w:r>
              <w:rPr>
                <w:rFonts w:eastAsia="DengXian"/>
                <w:lang w:val="en-US" w:eastAsia="zh-CN"/>
              </w:rPr>
              <w:t>before capability signaling</w:t>
            </w:r>
            <w:r w:rsidR="005815AF">
              <w:rPr>
                <w:rFonts w:eastAsia="DengXian"/>
                <w:lang w:val="en-US" w:eastAsia="zh-CN"/>
              </w:rPr>
              <w:t xml:space="preserve"> of R17 RedCap devices</w:t>
            </w:r>
            <w:r w:rsidR="00AE024C">
              <w:rPr>
                <w:rFonts w:eastAsia="DengXian"/>
                <w:lang w:val="en-US" w:eastAsia="zh-CN"/>
              </w:rPr>
              <w:t>)</w:t>
            </w:r>
            <w:r>
              <w:rPr>
                <w:rFonts w:eastAsia="DengXian"/>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DengXian"/>
                <w:lang w:val="en-US" w:eastAsia="zh-CN"/>
              </w:rPr>
            </w:pPr>
            <w:r>
              <w:rPr>
                <w:rFonts w:eastAsia="DengXian"/>
                <w:lang w:val="en-US" w:eastAsia="zh-CN"/>
              </w:rPr>
              <w:t>Sierra Wireless</w:t>
            </w:r>
          </w:p>
        </w:tc>
        <w:tc>
          <w:tcPr>
            <w:tcW w:w="4105" w:type="pct"/>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Heading1"/>
      </w:pPr>
      <w:r>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lastRenderedPageBreak/>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lastRenderedPageBreak/>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ListParagraph"/>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ListParagraph"/>
              <w:numPr>
                <w:ilvl w:val="0"/>
                <w:numId w:val="14"/>
              </w:numPr>
              <w:spacing w:after="0"/>
              <w:textAlignment w:val="baseline"/>
              <w:rPr>
                <w:rFonts w:eastAsia="DengXian"/>
                <w:lang w:eastAsia="zh-CN"/>
              </w:rPr>
            </w:pPr>
            <w:r>
              <w:rPr>
                <w:rFonts w:eastAsia="DengXian"/>
                <w:lang w:eastAsia="zh-CN"/>
              </w:rPr>
              <w:t xml:space="preserve">As for the RA-RNTI issue, in our view, RAN1 could continue discuss this case. Whether there is collision issue, it depends on the CSS configuration. For example, if separate CSS is defined for RedCap and non-RedCap, then there is no collision problem. If </w:t>
            </w:r>
            <w:r>
              <w:rPr>
                <w:rFonts w:eastAsia="DengXian"/>
                <w:lang w:eastAsia="zh-CN"/>
              </w:rPr>
              <w:lastRenderedPageBreak/>
              <w:t>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ListParagraph"/>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ListParagraph"/>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xml:space="preserve">”, it is based on the following agreement in the last </w:t>
            </w:r>
            <w:r w:rsidRPr="002839AF">
              <w:rPr>
                <w:rFonts w:eastAsia="Yu Mincho"/>
                <w:lang w:val="en-US" w:eastAsia="ja-JP"/>
              </w:rPr>
              <w:lastRenderedPageBreak/>
              <w:t>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ListParagraph"/>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9377DB" w14:textId="15080FB9" w:rsidR="007D3F12" w:rsidRPr="001663D6" w:rsidRDefault="001663D6" w:rsidP="00A5077A">
            <w:pPr>
              <w:tabs>
                <w:tab w:val="left" w:pos="551"/>
              </w:tabs>
              <w:rPr>
                <w:rFonts w:eastAsia="DengXian"/>
                <w:lang w:val="en-US" w:eastAsia="zh-CN"/>
              </w:rPr>
            </w:pPr>
            <w:r>
              <w:rPr>
                <w:rFonts w:eastAsia="DengXian" w:hint="eastAsia"/>
                <w:lang w:val="en-US" w:eastAsia="zh-CN"/>
              </w:rPr>
              <w:t>N</w:t>
            </w:r>
          </w:p>
        </w:tc>
        <w:tc>
          <w:tcPr>
            <w:tcW w:w="6780" w:type="dxa"/>
          </w:tcPr>
          <w:p w14:paraId="5369C6DA" w14:textId="458AFF01" w:rsidR="007D3F12" w:rsidRPr="001663D6" w:rsidRDefault="001663D6" w:rsidP="00A5077A">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Yu Mincho"/>
                <w:lang w:val="en-US" w:eastAsia="ja-JP"/>
              </w:rPr>
            </w:pPr>
            <w:r>
              <w:rPr>
                <w:rFonts w:eastAsia="Yu Mincho"/>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Yu Mincho"/>
                <w:lang w:val="en-US" w:eastAsia="ja-JP"/>
              </w:rPr>
            </w:pPr>
            <w:r>
              <w:rPr>
                <w:rFonts w:eastAsia="Yu Mincho"/>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Yu Mincho"/>
                <w:lang w:val="en-US" w:eastAsia="ja-JP"/>
              </w:rPr>
            </w:pPr>
            <w:r>
              <w:rPr>
                <w:rFonts w:eastAsia="Yu Mincho"/>
                <w:lang w:val="en-US" w:eastAsia="ja-JP"/>
              </w:rPr>
              <w:t xml:space="preserve">We can leave the RA-RNTI </w:t>
            </w:r>
            <w:r w:rsidR="00842FB6">
              <w:rPr>
                <w:rFonts w:eastAsia="Yu Mincho"/>
                <w:lang w:val="en-US" w:eastAsia="ja-JP"/>
              </w:rPr>
              <w:t>discussion</w:t>
            </w:r>
            <w:r>
              <w:rPr>
                <w:rFonts w:eastAsia="Yu Mincho"/>
                <w:lang w:val="en-US" w:eastAsia="ja-JP"/>
              </w:rPr>
              <w:t xml:space="preserve"> to RAN2</w:t>
            </w:r>
            <w:r w:rsidR="00A26A50">
              <w:rPr>
                <w:rFonts w:eastAsia="Yu Mincho"/>
                <w:lang w:val="en-US" w:eastAsia="ja-JP"/>
              </w:rPr>
              <w:t>, unless there is an</w:t>
            </w:r>
            <w:r w:rsidR="00AD5093">
              <w:rPr>
                <w:rFonts w:eastAsia="Yu Mincho"/>
                <w:lang w:val="en-US" w:eastAsia="ja-JP"/>
              </w:rPr>
              <w:t>y</w:t>
            </w:r>
            <w:r w:rsidR="00A26A50">
              <w:rPr>
                <w:rFonts w:eastAsia="Yu Mincho"/>
                <w:lang w:val="en-US" w:eastAsia="ja-JP"/>
              </w:rPr>
              <w:t xml:space="preserve"> additional request/LS from RAN2.</w:t>
            </w:r>
          </w:p>
          <w:p w14:paraId="6AAD2797" w14:textId="074D961F" w:rsidR="0071641A" w:rsidRDefault="0071641A" w:rsidP="00661CA3">
            <w:pPr>
              <w:rPr>
                <w:rFonts w:eastAsia="Yu Mincho"/>
                <w:lang w:val="en-US" w:eastAsia="ja-JP"/>
              </w:rPr>
            </w:pPr>
          </w:p>
        </w:tc>
      </w:tr>
      <w:tr w:rsidR="00B9059A" w14:paraId="51D08F11" w14:textId="77777777" w:rsidTr="00AE7EFC">
        <w:tc>
          <w:tcPr>
            <w:tcW w:w="1479" w:type="dxa"/>
          </w:tcPr>
          <w:p w14:paraId="2D8202F9" w14:textId="2911F0F6" w:rsidR="00B9059A" w:rsidRDefault="00B9059A" w:rsidP="00661CA3">
            <w:pPr>
              <w:rPr>
                <w:rFonts w:eastAsia="Yu Mincho"/>
                <w:lang w:val="en-US" w:eastAsia="ja-JP"/>
              </w:rPr>
            </w:pPr>
            <w:r>
              <w:rPr>
                <w:rFonts w:eastAsia="Yu Mincho"/>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Yu Mincho"/>
                <w:lang w:val="en-US" w:eastAsia="ja-JP"/>
              </w:rPr>
            </w:pPr>
            <w:r>
              <w:rPr>
                <w:rFonts w:eastAsia="Yu Mincho"/>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Yu Mincho"/>
                <w:lang w:val="en-US" w:eastAsia="ja-JP"/>
              </w:rPr>
            </w:pPr>
            <w:r>
              <w:rPr>
                <w:rFonts w:eastAsia="Yu Mincho"/>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Yu Mincho"/>
                <w:lang w:val="en-US" w:eastAsia="ja-JP"/>
              </w:rPr>
            </w:pPr>
            <w:r>
              <w:rPr>
                <w:rFonts w:eastAsia="Yu Mincho"/>
                <w:lang w:val="en-US" w:eastAsia="ja-JP"/>
              </w:rPr>
              <w:t>Agree with vivo that it is a topic for RAN2.</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w:t>
            </w:r>
            <w:r>
              <w:rPr>
                <w:rFonts w:eastAsia="Times New Roman"/>
              </w:rPr>
              <w:lastRenderedPageBreak/>
              <w:t xml:space="preserve">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ListParagraph"/>
              <w:rPr>
                <w:rFonts w:eastAsia="Yu Mincho"/>
                <w:sz w:val="20"/>
                <w:szCs w:val="20"/>
                <w:lang w:val="en-US"/>
              </w:rPr>
            </w:pPr>
            <w:r>
              <w:rPr>
                <w:rFonts w:eastAsia="Yu Mincho"/>
                <w:sz w:val="20"/>
                <w:szCs w:val="20"/>
                <w:lang w:val="en-US"/>
              </w:rPr>
              <w:t>and</w:t>
            </w:r>
          </w:p>
          <w:p w14:paraId="1CF1E435"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DengXian"/>
                <w:lang w:val="en-US" w:eastAsia="zh-CN"/>
              </w:rPr>
              <w:t>When Msg.1-based early indication is disabled, it implies there is no need to handle the restriction from reduced UE bandwidth. Then in this case, the purpose to ultilize Msg.3-</w:t>
            </w:r>
            <w:r>
              <w:rPr>
                <w:rFonts w:eastAsia="DengXian"/>
                <w:lang w:val="en-US" w:eastAsia="zh-CN"/>
              </w:rPr>
              <w:lastRenderedPageBreak/>
              <w:t xml:space="preserve">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gridSpan w:val="2"/>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ListParagraph"/>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ListParagraph"/>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ListParagraph"/>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ListParagraph"/>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ListParagraph"/>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ListParagraph"/>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ListParagraph"/>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SimSun"/>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SimSun"/>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B8C7558" w14:textId="62C3B5F0" w:rsidR="005D6453" w:rsidRDefault="00804A37" w:rsidP="00A5077A">
            <w:pPr>
              <w:spacing w:after="0"/>
              <w:textAlignment w:val="baseline"/>
              <w:rPr>
                <w:rFonts w:eastAsia="SimSun"/>
                <w:lang w:val="en-US" w:eastAsia="zh-CN"/>
              </w:rPr>
            </w:pPr>
            <w:r>
              <w:rPr>
                <w:rFonts w:eastAsia="SimSun" w:hint="eastAsia"/>
                <w:lang w:val="en-US" w:eastAsia="zh-CN"/>
              </w:rPr>
              <w:t>N</w:t>
            </w:r>
          </w:p>
        </w:tc>
        <w:tc>
          <w:tcPr>
            <w:tcW w:w="3345" w:type="pct"/>
          </w:tcPr>
          <w:p w14:paraId="567EB7EA" w14:textId="326A517B" w:rsidR="005D6453" w:rsidRDefault="00F70DC9" w:rsidP="00A5077A">
            <w:pPr>
              <w:spacing w:after="0"/>
              <w:textAlignment w:val="baseline"/>
              <w:rPr>
                <w:rFonts w:eastAsia="SimSun"/>
                <w:lang w:val="en-US" w:eastAsia="zh-CN"/>
              </w:rPr>
            </w:pPr>
            <w:r>
              <w:rPr>
                <w:rFonts w:eastAsia="SimSun"/>
                <w:lang w:val="en-US" w:eastAsia="zh-CN"/>
              </w:rPr>
              <w:t xml:space="preserve">These questions should not be discussed now.  </w:t>
            </w:r>
            <w:r w:rsidR="00804A37">
              <w:rPr>
                <w:rFonts w:eastAsia="SimSun" w:hint="eastAsia"/>
                <w:lang w:val="en-US" w:eastAsia="zh-CN"/>
              </w:rPr>
              <w:t>I</w:t>
            </w:r>
            <w:r w:rsidR="00804A37">
              <w:rPr>
                <w:rFonts w:eastAsia="SimSun"/>
                <w:lang w:val="en-US" w:eastAsia="zh-CN"/>
              </w:rPr>
              <w:t xml:space="preserve">t was </w:t>
            </w:r>
            <w:r>
              <w:rPr>
                <w:rFonts w:eastAsia="SimSun"/>
                <w:lang w:val="en-US" w:eastAsia="zh-CN"/>
              </w:rPr>
              <w:t xml:space="preserve">explicitly </w:t>
            </w:r>
            <w:r w:rsidR="00804A37">
              <w:rPr>
                <w:rFonts w:eastAsia="SimSun"/>
                <w:lang w:val="en-US" w:eastAsia="zh-CN"/>
              </w:rPr>
              <w:t xml:space="preserve">clarified </w:t>
            </w:r>
            <w:r>
              <w:rPr>
                <w:rFonts w:eastAsia="SimSun"/>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DengXian"/>
                <w:color w:val="000000" w:themeColor="text1"/>
                <w:lang w:val="en-US" w:eastAsia="zh-CN"/>
              </w:rPr>
            </w:pPr>
            <w:r w:rsidRPr="002731C7">
              <w:rPr>
                <w:rFonts w:eastAsia="DengXian"/>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SimSun"/>
                <w:color w:val="000000" w:themeColor="text1"/>
                <w:lang w:val="en-US" w:eastAsia="zh-CN"/>
              </w:rPr>
            </w:pPr>
            <w:r w:rsidRPr="002731C7">
              <w:rPr>
                <w:rFonts w:eastAsia="SimSun"/>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DengXian"/>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lastRenderedPageBreak/>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3B9A6CB6" w14:textId="3FA60552" w:rsidR="00C76784" w:rsidRDefault="00C76784" w:rsidP="00A5077A">
            <w:pPr>
              <w:spacing w:after="0"/>
              <w:textAlignment w:val="baseline"/>
              <w:rPr>
                <w:rFonts w:eastAsia="SimSun"/>
                <w:lang w:val="en-US" w:eastAsia="zh-CN"/>
              </w:rPr>
            </w:pPr>
          </w:p>
        </w:tc>
        <w:tc>
          <w:tcPr>
            <w:tcW w:w="3345" w:type="pct"/>
          </w:tcPr>
          <w:p w14:paraId="2E4965C6" w14:textId="4BB4EA82" w:rsidR="00C76784" w:rsidRDefault="007D10D8" w:rsidP="00A5077A">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DengXian"/>
                <w:lang w:val="en-US" w:eastAsia="zh-CN"/>
              </w:rPr>
            </w:pPr>
            <w:r>
              <w:rPr>
                <w:rFonts w:eastAsia="DengXian"/>
                <w:lang w:val="en-US" w:eastAsia="zh-CN"/>
              </w:rPr>
              <w:t>Ericsson</w:t>
            </w:r>
          </w:p>
        </w:tc>
        <w:tc>
          <w:tcPr>
            <w:tcW w:w="760" w:type="pct"/>
          </w:tcPr>
          <w:p w14:paraId="4C69E82F" w14:textId="77777777" w:rsidR="002C66F5" w:rsidRDefault="002C66F5" w:rsidP="002C66F5">
            <w:pPr>
              <w:spacing w:after="0"/>
              <w:textAlignment w:val="baseline"/>
              <w:rPr>
                <w:rFonts w:eastAsia="SimSun"/>
                <w:lang w:val="en-US" w:eastAsia="zh-CN"/>
              </w:rPr>
            </w:pPr>
            <w:r>
              <w:rPr>
                <w:rFonts w:eastAsia="SimSun"/>
                <w:lang w:val="en-US" w:eastAsia="zh-CN"/>
              </w:rPr>
              <w:t>Q1: Y</w:t>
            </w:r>
          </w:p>
          <w:p w14:paraId="6B4FA17A" w14:textId="3459C45A" w:rsidR="002C66F5" w:rsidRDefault="002C66F5" w:rsidP="002C66F5">
            <w:pPr>
              <w:spacing w:after="0"/>
              <w:textAlignment w:val="baseline"/>
              <w:rPr>
                <w:rFonts w:eastAsia="SimSun"/>
                <w:lang w:val="en-US" w:eastAsia="zh-CN"/>
              </w:rPr>
            </w:pPr>
            <w:r>
              <w:rPr>
                <w:rFonts w:eastAsia="SimSun"/>
                <w:lang w:val="en-US" w:eastAsia="zh-CN"/>
              </w:rPr>
              <w:t>Q2: S1/S2/S3</w:t>
            </w:r>
          </w:p>
        </w:tc>
        <w:tc>
          <w:tcPr>
            <w:tcW w:w="3345" w:type="pct"/>
          </w:tcPr>
          <w:p w14:paraId="68F2AD65" w14:textId="153D45E2" w:rsidR="002C66F5" w:rsidRDefault="002C66F5" w:rsidP="002C66F5">
            <w:pPr>
              <w:spacing w:after="0"/>
              <w:textAlignment w:val="baseline"/>
              <w:rPr>
                <w:rFonts w:eastAsia="SimSun"/>
                <w:lang w:val="en-US" w:eastAsia="zh-CN"/>
              </w:rPr>
            </w:pPr>
            <w:r>
              <w:rPr>
                <w:rFonts w:eastAsia="SimSun"/>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DengXian"/>
                <w:lang w:val="en-US" w:eastAsia="zh-CN"/>
              </w:rPr>
            </w:pPr>
            <w:r>
              <w:rPr>
                <w:rFonts w:eastAsia="DengXian"/>
                <w:lang w:val="en-US" w:eastAsia="zh-CN"/>
              </w:rPr>
              <w:t>FUTUREWEI2</w:t>
            </w:r>
          </w:p>
        </w:tc>
        <w:tc>
          <w:tcPr>
            <w:tcW w:w="760" w:type="pct"/>
          </w:tcPr>
          <w:p w14:paraId="2AD0334C" w14:textId="77777777" w:rsidR="00B143E1" w:rsidRDefault="00B143E1" w:rsidP="002C66F5">
            <w:pPr>
              <w:spacing w:after="0"/>
              <w:textAlignment w:val="baseline"/>
              <w:rPr>
                <w:rFonts w:eastAsia="SimSun"/>
                <w:lang w:val="en-US" w:eastAsia="zh-CN"/>
              </w:rPr>
            </w:pPr>
          </w:p>
        </w:tc>
        <w:tc>
          <w:tcPr>
            <w:tcW w:w="3345" w:type="pct"/>
          </w:tcPr>
          <w:p w14:paraId="104CBD42" w14:textId="6568BF8A" w:rsidR="00B143E1" w:rsidRDefault="00B143E1" w:rsidP="002C66F5">
            <w:pPr>
              <w:spacing w:after="0"/>
              <w:textAlignment w:val="baseline"/>
              <w:rPr>
                <w:rFonts w:eastAsia="SimSun"/>
                <w:lang w:val="en-US" w:eastAsia="zh-CN"/>
              </w:rPr>
            </w:pPr>
            <w:r>
              <w:rPr>
                <w:rFonts w:eastAsia="SimSun"/>
                <w:lang w:val="en-US" w:eastAsia="zh-CN"/>
              </w:rPr>
              <w:t>N</w:t>
            </w:r>
            <w:r w:rsidRPr="00B143E1">
              <w:rPr>
                <w:rFonts w:eastAsia="SimSun"/>
                <w:lang w:val="en-US" w:eastAsia="zh-CN"/>
              </w:rPr>
              <w:t xml:space="preserve">o further discussion </w:t>
            </w:r>
            <w:r w:rsidR="00D10ADB">
              <w:rPr>
                <w:rFonts w:eastAsia="SimSun"/>
                <w:lang w:val="en-US" w:eastAsia="zh-CN"/>
              </w:rPr>
              <w:t xml:space="preserve">in RAN1 </w:t>
            </w:r>
            <w:r w:rsidRPr="00B143E1">
              <w:rPr>
                <w:rFonts w:eastAsia="SimSun"/>
                <w:lang w:val="en-US" w:eastAsia="zh-CN"/>
              </w:rPr>
              <w:t>is needed</w:t>
            </w:r>
            <w:r>
              <w:rPr>
                <w:rFonts w:eastAsia="SimSun"/>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DengXian"/>
                <w:lang w:val="en-US" w:eastAsia="zh-CN"/>
              </w:rPr>
            </w:pPr>
            <w:r>
              <w:rPr>
                <w:rFonts w:eastAsia="DengXian"/>
                <w:lang w:val="en-US" w:eastAsia="zh-CN"/>
              </w:rPr>
              <w:t>Qualcomm</w:t>
            </w:r>
          </w:p>
        </w:tc>
        <w:tc>
          <w:tcPr>
            <w:tcW w:w="760" w:type="pct"/>
          </w:tcPr>
          <w:p w14:paraId="3E4CCEA1" w14:textId="45F9189A" w:rsidR="009A1715" w:rsidRDefault="009451C9" w:rsidP="002C66F5">
            <w:pPr>
              <w:spacing w:after="0"/>
              <w:textAlignment w:val="baseline"/>
              <w:rPr>
                <w:rFonts w:eastAsia="SimSun"/>
                <w:lang w:val="en-US" w:eastAsia="zh-CN"/>
              </w:rPr>
            </w:pPr>
            <w:r>
              <w:rPr>
                <w:rFonts w:eastAsia="SimSun"/>
                <w:lang w:val="en-US" w:eastAsia="zh-CN"/>
              </w:rPr>
              <w:t>N</w:t>
            </w:r>
          </w:p>
        </w:tc>
        <w:tc>
          <w:tcPr>
            <w:tcW w:w="3345" w:type="pct"/>
          </w:tcPr>
          <w:p w14:paraId="3E9BBF8F" w14:textId="77777777" w:rsidR="00AD5093" w:rsidRDefault="00AD5093" w:rsidP="002C66F5">
            <w:pPr>
              <w:spacing w:after="0"/>
              <w:textAlignment w:val="baseline"/>
              <w:rPr>
                <w:rFonts w:eastAsia="SimSun"/>
                <w:lang w:val="en-US" w:eastAsia="zh-CN"/>
              </w:rPr>
            </w:pPr>
            <w:r>
              <w:rPr>
                <w:rFonts w:eastAsia="SimSun"/>
                <w:lang w:val="en-US" w:eastAsia="zh-CN"/>
              </w:rPr>
              <w:t>Agree with the comments of Nokia.</w:t>
            </w:r>
          </w:p>
          <w:p w14:paraId="5C7159B7" w14:textId="7B6075FF" w:rsidR="009451C9" w:rsidRDefault="009451C9" w:rsidP="002C66F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SimSun"/>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DengXian"/>
                <w:lang w:val="en-US" w:eastAsia="zh-CN"/>
              </w:rPr>
            </w:pPr>
            <w:r>
              <w:rPr>
                <w:rFonts w:eastAsia="DengXian"/>
                <w:lang w:val="en-US" w:eastAsia="zh-CN"/>
              </w:rPr>
              <w:t>Sierra Wireless</w:t>
            </w:r>
          </w:p>
        </w:tc>
        <w:tc>
          <w:tcPr>
            <w:tcW w:w="760" w:type="pct"/>
          </w:tcPr>
          <w:p w14:paraId="6412541F" w14:textId="6696C214" w:rsidR="00013A94" w:rsidRDefault="00C1267E" w:rsidP="002C66F5">
            <w:pPr>
              <w:spacing w:after="0"/>
              <w:textAlignment w:val="baseline"/>
              <w:rPr>
                <w:rFonts w:eastAsia="SimSun"/>
                <w:lang w:val="en-US" w:eastAsia="zh-CN"/>
              </w:rPr>
            </w:pPr>
            <w:r>
              <w:rPr>
                <w:rFonts w:eastAsia="SimSun"/>
                <w:lang w:val="en-US" w:eastAsia="zh-CN"/>
              </w:rPr>
              <w:t>N</w:t>
            </w:r>
          </w:p>
        </w:tc>
        <w:tc>
          <w:tcPr>
            <w:tcW w:w="3345" w:type="pct"/>
          </w:tcPr>
          <w:p w14:paraId="2E321695" w14:textId="4808E412" w:rsidR="00013A94" w:rsidRDefault="00455A45" w:rsidP="002C66F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DengXian"/>
                <w:lang w:val="en-US" w:eastAsia="zh-CN"/>
              </w:rPr>
            </w:pPr>
            <w:r>
              <w:rPr>
                <w:rFonts w:eastAsia="DengXian"/>
                <w:lang w:val="en-US" w:eastAsia="zh-CN"/>
              </w:rPr>
              <w:t>Intel</w:t>
            </w:r>
          </w:p>
        </w:tc>
        <w:tc>
          <w:tcPr>
            <w:tcW w:w="760" w:type="pct"/>
          </w:tcPr>
          <w:p w14:paraId="6145EB75" w14:textId="00892982" w:rsidR="0090325C" w:rsidRDefault="0090325C" w:rsidP="0090325C">
            <w:pPr>
              <w:spacing w:after="0"/>
              <w:textAlignment w:val="baseline"/>
              <w:rPr>
                <w:rFonts w:eastAsia="SimSun"/>
                <w:lang w:val="en-US" w:eastAsia="zh-CN"/>
              </w:rPr>
            </w:pPr>
            <w:r>
              <w:rPr>
                <w:rFonts w:eastAsia="SimSun"/>
                <w:lang w:val="en-US" w:eastAsia="zh-CN"/>
              </w:rPr>
              <w:t>N</w:t>
            </w:r>
          </w:p>
        </w:tc>
        <w:tc>
          <w:tcPr>
            <w:tcW w:w="3345" w:type="pct"/>
          </w:tcPr>
          <w:p w14:paraId="5266DBA4" w14:textId="290A19B3" w:rsidR="0090325C" w:rsidRDefault="0090325C" w:rsidP="0090325C">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DengXian"/>
                <w:color w:val="000000" w:themeColor="text1"/>
                <w:lang w:val="en-US" w:eastAsia="zh-CN"/>
              </w:rPr>
            </w:pPr>
            <w:r w:rsidRPr="002731C7">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lastRenderedPageBreak/>
              <w:t>Agreement:</w:t>
            </w:r>
          </w:p>
          <w:p w14:paraId="6E10391E" w14:textId="77777777" w:rsidR="009B45F9" w:rsidRPr="00A6223B" w:rsidRDefault="009B45F9" w:rsidP="009B45F9">
            <w:pPr>
              <w:pStyle w:val="ListParagraph"/>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ListParagraph"/>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ListParagraph"/>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ListParagraph"/>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ListParagraph"/>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ListParagraph"/>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If 2-step RACH based early indication is supported, msgA preamble is preferred since the link budget of msgA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DengXian"/>
                <w:lang w:eastAsia="zh-CN"/>
              </w:rPr>
              <w:t>Adding the indication within the PUSCH of MsgA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2E42D22C" w14:textId="074BB62D" w:rsidR="005C099B" w:rsidRDefault="005C099B" w:rsidP="000B5050">
            <w:pPr>
              <w:spacing w:after="0"/>
              <w:rPr>
                <w:lang w:val="en-US"/>
              </w:rPr>
            </w:pPr>
            <w:r>
              <w:rPr>
                <w:lang w:val="en-US"/>
              </w:rPr>
              <w:t xml:space="preserve">In </w:t>
            </w:r>
            <w:r>
              <w:rPr>
                <w:lang w:val="en-US"/>
              </w:rPr>
              <w:t xml:space="preserve">addition to duplicated functionality, in </w:t>
            </w:r>
            <w:r>
              <w:rPr>
                <w:lang w:val="en-US"/>
              </w:rPr>
              <w:t>our understanding, the indication in MsgA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w:t>
            </w:r>
            <w:r w:rsidR="000B5050" w:rsidRPr="000B5050">
              <w:rPr>
                <w:rFonts w:ascii="Segoe UI" w:eastAsia="Times New Roman" w:hAnsi="Segoe UI" w:cs="Segoe UI"/>
                <w:i/>
                <w:iCs/>
                <w:lang w:val="en-US"/>
              </w:rPr>
              <w:t xml:space="preserve"> </w:t>
            </w:r>
            <w:r w:rsidR="000B5050" w:rsidRPr="000B5050">
              <w:rPr>
                <w:rFonts w:ascii="Segoe UI" w:eastAsia="Times New Roman" w:hAnsi="Segoe UI" w:cs="Segoe UI"/>
                <w:i/>
                <w:iCs/>
                <w:lang w:val="en-US"/>
              </w:rPr>
              <w:t>PRACH preamble is not mapped to a valid PUSCH occasion.</w:t>
            </w:r>
            <w:r w:rsidR="000B5050">
              <w:rPr>
                <w:lang w:val="en-US"/>
              </w:rPr>
              <w:t>”</w:t>
            </w:r>
            <w:r>
              <w:rPr>
                <w:lang w:val="en-US"/>
              </w:rPr>
              <w:t xml:space="preserve">) </w:t>
            </w:r>
            <w:r w:rsidR="00F44F57">
              <w:rPr>
                <w:lang w:val="en-US"/>
              </w:rPr>
              <w:t xml:space="preserve">or just not received correctly at the gNB </w:t>
            </w:r>
            <w:r>
              <w:rPr>
                <w:lang w:val="en-US"/>
              </w:rPr>
              <w:t xml:space="preserve">and the RA procedure falls back to 4-step (for that 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MsgA PUSCH for indication of RedCap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r w:rsidR="00C0133B">
              <w:rPr>
                <w:lang w:val="en-US"/>
              </w:rPr>
              <w:t>gNB receives only the MsgA preamble (</w:t>
            </w:r>
            <w:r w:rsidR="003149D1">
              <w:rPr>
                <w:lang w:val="en-US"/>
              </w:rPr>
              <w:t>UE transmits only the MsgA preamble</w:t>
            </w:r>
            <w:r w:rsidR="00C0133B">
              <w:rPr>
                <w:lang w:val="en-US"/>
              </w:rPr>
              <w:t xml:space="preserve"> or transmitted MsgA PUSCH is not received correctly)</w:t>
            </w:r>
            <w:r>
              <w:rPr>
                <w:lang w:val="en-US"/>
              </w:rPr>
              <w:t xml:space="preserve">,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w:t>
            </w:r>
            <w:r>
              <w:rPr>
                <w:lang w:val="en-US"/>
              </w:rPr>
              <w:lastRenderedPageBreak/>
              <w:t xml:space="preserve">“does nothing” as suggested by Ericsson, due to improper fallback to 4-step RACH. </w:t>
            </w:r>
          </w:p>
          <w:p w14:paraId="1C192286" w14:textId="27ABF489" w:rsidR="005C099B" w:rsidRDefault="005C099B" w:rsidP="005C099B">
            <w:pPr>
              <w:rPr>
                <w:rFonts w:eastAsia="DengXian"/>
                <w:lang w:eastAsia="zh-CN"/>
              </w:rPr>
            </w:pPr>
            <w:r>
              <w:rPr>
                <w:lang w:val="en-US"/>
              </w:rPr>
              <w:t xml:space="preserve">This aspect can be observed from RAN1 perspective, and thus, RAN1 should not be neutral and leave it entirely to RAN2 on this issue. </w:t>
            </w: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Heading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1CF1E46B" w14:textId="77777777" w:rsidR="000E3E45" w:rsidRDefault="005F480B">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lastRenderedPageBreak/>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ZTE, Sanechips</w:t>
            </w:r>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7F3C23" w14:paraId="19C0850F" w14:textId="77777777">
        <w:tc>
          <w:tcPr>
            <w:tcW w:w="1479" w:type="dxa"/>
          </w:tcPr>
          <w:p w14:paraId="18B03743" w14:textId="094DBF61" w:rsidR="007F3C23" w:rsidRPr="007F3C23" w:rsidRDefault="007F3C23"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44C5C7" w14:textId="06B3B140" w:rsidR="007F3C23" w:rsidRDefault="007F3C23" w:rsidP="00A5077A">
            <w:pPr>
              <w:spacing w:after="0"/>
              <w:textAlignment w:val="baseline"/>
              <w:rPr>
                <w:rFonts w:eastAsia="SimSun"/>
                <w:lang w:val="en-US" w:eastAsia="zh-CN"/>
              </w:rPr>
            </w:pPr>
            <w:r>
              <w:rPr>
                <w:rFonts w:eastAsia="SimSun"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DengXian"/>
                <w:lang w:val="en-US" w:eastAsia="zh-CN"/>
              </w:rPr>
            </w:pPr>
            <w:r>
              <w:rPr>
                <w:rFonts w:eastAsia="DengXian"/>
                <w:lang w:val="en-US" w:eastAsia="zh-CN"/>
              </w:rPr>
              <w:t>Nordic</w:t>
            </w:r>
          </w:p>
        </w:tc>
        <w:tc>
          <w:tcPr>
            <w:tcW w:w="1372" w:type="dxa"/>
          </w:tcPr>
          <w:p w14:paraId="10B2F9F5" w14:textId="6B05A448" w:rsidR="00813977" w:rsidRDefault="00813977" w:rsidP="00A5077A">
            <w:pPr>
              <w:spacing w:after="0"/>
              <w:textAlignment w:val="baseline"/>
              <w:rPr>
                <w:rFonts w:eastAsia="SimSun"/>
                <w:lang w:val="en-US" w:eastAsia="zh-CN"/>
              </w:rPr>
            </w:pPr>
            <w:r>
              <w:rPr>
                <w:rFonts w:eastAsia="SimSun"/>
                <w:lang w:val="en-US" w:eastAsia="zh-CN"/>
              </w:rPr>
              <w:t>N</w:t>
            </w:r>
          </w:p>
        </w:tc>
        <w:tc>
          <w:tcPr>
            <w:tcW w:w="6780" w:type="dxa"/>
          </w:tcPr>
          <w:p w14:paraId="3D2BF5A9" w14:textId="79FDD636" w:rsidR="00813977" w:rsidRDefault="00813977" w:rsidP="00A5077A">
            <w:pPr>
              <w:spacing w:after="0"/>
              <w:textAlignment w:val="baseline"/>
              <w:rPr>
                <w:rFonts w:eastAsia="DengXian"/>
                <w:lang w:val="en-US" w:eastAsia="zh-CN"/>
              </w:rPr>
            </w:pPr>
            <w:r>
              <w:rPr>
                <w:rFonts w:eastAsia="DengXian"/>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DengXian"/>
                <w:lang w:val="en-US" w:eastAsia="zh-CN"/>
              </w:rPr>
            </w:pPr>
            <w:r>
              <w:rPr>
                <w:rFonts w:eastAsia="DengXian"/>
                <w:lang w:val="en-US" w:eastAsia="zh-CN"/>
              </w:rPr>
              <w:t>Qualcomm</w:t>
            </w:r>
          </w:p>
        </w:tc>
        <w:tc>
          <w:tcPr>
            <w:tcW w:w="1372" w:type="dxa"/>
          </w:tcPr>
          <w:p w14:paraId="7B9CE4AD" w14:textId="77777777" w:rsidR="00497A6E" w:rsidRDefault="00497A6E" w:rsidP="00A5077A">
            <w:pPr>
              <w:spacing w:after="0"/>
              <w:textAlignment w:val="baseline"/>
              <w:rPr>
                <w:rFonts w:eastAsia="SimSun"/>
                <w:lang w:val="en-US" w:eastAsia="zh-CN"/>
              </w:rPr>
            </w:pPr>
          </w:p>
        </w:tc>
        <w:tc>
          <w:tcPr>
            <w:tcW w:w="6780" w:type="dxa"/>
          </w:tcPr>
          <w:p w14:paraId="4CFDBA4E" w14:textId="4229D02B" w:rsidR="00497A6E" w:rsidRDefault="00497A6E" w:rsidP="00A5077A">
            <w:pPr>
              <w:spacing w:after="0"/>
              <w:textAlignment w:val="baseline"/>
              <w:rPr>
                <w:rFonts w:eastAsia="DengXian"/>
                <w:lang w:val="en-US" w:eastAsia="zh-CN"/>
              </w:rPr>
            </w:pPr>
            <w:r>
              <w:rPr>
                <w:rFonts w:eastAsia="DengXian"/>
                <w:lang w:val="en-US" w:eastAsia="zh-CN"/>
              </w:rPr>
              <w:t>Access control belongs to the scope of RA</w:t>
            </w:r>
            <w:r w:rsidR="00701B5A">
              <w:rPr>
                <w:rFonts w:eastAsia="DengXian"/>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DengXian"/>
                <w:lang w:val="en-US" w:eastAsia="zh-CN"/>
              </w:rPr>
            </w:pPr>
            <w:r>
              <w:rPr>
                <w:rFonts w:eastAsia="DengXian"/>
                <w:lang w:val="en-US" w:eastAsia="zh-CN"/>
              </w:rPr>
              <w:t>Sierra Wireless</w:t>
            </w:r>
          </w:p>
        </w:tc>
        <w:tc>
          <w:tcPr>
            <w:tcW w:w="1372" w:type="dxa"/>
          </w:tcPr>
          <w:p w14:paraId="44F3BFF3" w14:textId="39F8E351" w:rsidR="00325464" w:rsidRDefault="00325464" w:rsidP="00A5077A">
            <w:pPr>
              <w:spacing w:after="0"/>
              <w:textAlignment w:val="baseline"/>
              <w:rPr>
                <w:rFonts w:eastAsia="SimSun"/>
                <w:lang w:val="en-US" w:eastAsia="zh-CN"/>
              </w:rPr>
            </w:pPr>
            <w:r>
              <w:rPr>
                <w:rFonts w:eastAsia="SimSun"/>
                <w:lang w:val="en-US" w:eastAsia="zh-CN"/>
              </w:rPr>
              <w:t>N</w:t>
            </w:r>
          </w:p>
        </w:tc>
        <w:tc>
          <w:tcPr>
            <w:tcW w:w="6780" w:type="dxa"/>
          </w:tcPr>
          <w:p w14:paraId="5617A46B" w14:textId="7E2A67E4" w:rsidR="00325464" w:rsidRDefault="00B07CDC" w:rsidP="00A5077A">
            <w:pPr>
              <w:spacing w:after="0"/>
              <w:textAlignment w:val="baseline"/>
              <w:rPr>
                <w:rFonts w:eastAsia="DengXian"/>
                <w:lang w:val="en-US" w:eastAsia="zh-CN"/>
              </w:rPr>
            </w:pPr>
            <w:r>
              <w:rPr>
                <w:rFonts w:eastAsia="DengXian"/>
                <w:lang w:eastAsia="zh-CN"/>
              </w:rPr>
              <w:t>Agree with Ericsson</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1CF1E4AF" w14:textId="77777777" w:rsidR="000E3E45" w:rsidRDefault="005F480B">
      <w:pPr>
        <w:pStyle w:val="Heading1"/>
      </w:pPr>
      <w:r>
        <w:rPr>
          <w:rFonts w:eastAsia="SimSun"/>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lastRenderedPageBreak/>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1CF1E4B8" w14:textId="77777777" w:rsidR="000E3E45" w:rsidRDefault="005F480B">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CF1E4BC"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CF1E4C8" w14:textId="77777777" w:rsidR="000E3E45" w:rsidRDefault="005F480B">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CF1E4C9" w14:textId="77777777" w:rsidR="000E3E45" w:rsidRDefault="005F480B">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CF1E4CA"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w:t>
                  </w:r>
                  <w:r>
                    <w:rPr>
                      <w:rFonts w:eastAsia="DengXian"/>
                      <w:lang w:eastAsia="zh-CN"/>
                    </w:rPr>
                    <w:lastRenderedPageBreak/>
                    <w:t>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r w:rsidR="00C97CBA" w14:paraId="78E0DE56" w14:textId="77777777">
        <w:tc>
          <w:tcPr>
            <w:tcW w:w="1479" w:type="dxa"/>
          </w:tcPr>
          <w:p w14:paraId="36914EA0" w14:textId="6C143054" w:rsidR="00C97CBA" w:rsidRDefault="00F0635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7F8233ED" w14:textId="77777777" w:rsidR="00C97CBA" w:rsidRDefault="00C97CBA">
            <w:pPr>
              <w:tabs>
                <w:tab w:val="left" w:pos="551"/>
              </w:tabs>
              <w:rPr>
                <w:rFonts w:eastAsia="SimSun"/>
                <w:lang w:val="en-US" w:eastAsia="zh-CN"/>
              </w:rPr>
            </w:pPr>
          </w:p>
        </w:tc>
        <w:tc>
          <w:tcPr>
            <w:tcW w:w="6780" w:type="dxa"/>
          </w:tcPr>
          <w:p w14:paraId="410F0934" w14:textId="20F4CAD9" w:rsidR="00C97CBA" w:rsidRDefault="00F0635A">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SimSun"/>
                <w:lang w:val="en-US" w:eastAsia="zh-CN"/>
              </w:rPr>
            </w:pPr>
            <w:r>
              <w:rPr>
                <w:rFonts w:eastAsia="SimSun"/>
                <w:lang w:val="en-US" w:eastAsia="zh-CN"/>
              </w:rPr>
              <w:t>Nordic</w:t>
            </w:r>
          </w:p>
        </w:tc>
        <w:tc>
          <w:tcPr>
            <w:tcW w:w="1372" w:type="dxa"/>
          </w:tcPr>
          <w:p w14:paraId="5A6EE1FD" w14:textId="4E902C2E" w:rsidR="00C31769" w:rsidRDefault="00B83091">
            <w:pPr>
              <w:tabs>
                <w:tab w:val="left" w:pos="551"/>
              </w:tabs>
              <w:rPr>
                <w:rFonts w:eastAsia="SimSun"/>
                <w:lang w:val="en-US" w:eastAsia="zh-CN"/>
              </w:rPr>
            </w:pPr>
            <w:r>
              <w:rPr>
                <w:rFonts w:eastAsia="SimSun"/>
                <w:lang w:val="en-US" w:eastAsia="zh-CN"/>
              </w:rPr>
              <w:t>N</w:t>
            </w:r>
          </w:p>
        </w:tc>
        <w:tc>
          <w:tcPr>
            <w:tcW w:w="6780" w:type="dxa"/>
          </w:tcPr>
          <w:p w14:paraId="6DC80E8B" w14:textId="43AAE951" w:rsidR="00C31769" w:rsidRPr="00F65917" w:rsidRDefault="00F61AA2" w:rsidP="00611264">
            <w:pPr>
              <w:pStyle w:val="ListParagraph"/>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ListParagraph"/>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r w:rsidRPr="00611264">
              <w:rPr>
                <w:rFonts w:eastAsia="Yu Mincho"/>
                <w:bCs/>
                <w:szCs w:val="21"/>
                <w:lang w:val="en-US"/>
              </w:rPr>
              <w:t xml:space="preserve">urrent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TS38.306 is reused for RedCap Ues by default unless any update is identified</w:t>
            </w:r>
          </w:p>
          <w:p w14:paraId="61B1246C" w14:textId="77777777" w:rsidR="00611264" w:rsidRPr="00F65917" w:rsidRDefault="00611264" w:rsidP="00611264">
            <w:pPr>
              <w:pStyle w:val="ListParagraph"/>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F65917">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SimSun"/>
                <w:lang w:val="en-US" w:eastAsia="zh-CN"/>
              </w:rPr>
            </w:pPr>
            <w:r>
              <w:rPr>
                <w:rFonts w:eastAsia="SimSun"/>
                <w:lang w:val="en-US" w:eastAsia="zh-CN"/>
              </w:rPr>
              <w:t>Qualcomm</w:t>
            </w:r>
          </w:p>
        </w:tc>
        <w:tc>
          <w:tcPr>
            <w:tcW w:w="1372" w:type="dxa"/>
          </w:tcPr>
          <w:p w14:paraId="0D74434C" w14:textId="123F37B6" w:rsidR="00661CA3" w:rsidRDefault="00661CA3">
            <w:pPr>
              <w:tabs>
                <w:tab w:val="left" w:pos="551"/>
              </w:tabs>
              <w:rPr>
                <w:rFonts w:eastAsia="SimSun"/>
                <w:lang w:val="en-US" w:eastAsia="zh-CN"/>
              </w:rPr>
            </w:pPr>
            <w:r>
              <w:rPr>
                <w:rFonts w:eastAsia="SimSun"/>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ListParagraph"/>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In terms of “current definition”, does it refer to NR R15/16 only ? Or, NR R17 is also included ?</w:t>
            </w:r>
          </w:p>
        </w:tc>
      </w:tr>
      <w:tr w:rsidR="002F39CA" w14:paraId="3A6E2287" w14:textId="77777777">
        <w:tc>
          <w:tcPr>
            <w:tcW w:w="1479" w:type="dxa"/>
          </w:tcPr>
          <w:p w14:paraId="489AEA14" w14:textId="0FE96018" w:rsidR="002F39CA" w:rsidRDefault="002F39CA">
            <w:pPr>
              <w:rPr>
                <w:rFonts w:eastAsia="SimSun"/>
                <w:lang w:val="en-US" w:eastAsia="zh-CN"/>
              </w:rPr>
            </w:pPr>
            <w:r>
              <w:rPr>
                <w:rFonts w:eastAsia="SimSun"/>
                <w:lang w:val="en-US" w:eastAsia="zh-CN"/>
              </w:rPr>
              <w:t>Sierra Wireless</w:t>
            </w:r>
          </w:p>
        </w:tc>
        <w:tc>
          <w:tcPr>
            <w:tcW w:w="1372" w:type="dxa"/>
          </w:tcPr>
          <w:p w14:paraId="7A12CBD1" w14:textId="0718254E" w:rsidR="002F39CA" w:rsidRDefault="002F39CA">
            <w:pPr>
              <w:tabs>
                <w:tab w:val="left" w:pos="551"/>
              </w:tabs>
              <w:rPr>
                <w:rFonts w:eastAsia="SimSun"/>
                <w:lang w:val="en-US" w:eastAsia="zh-CN"/>
              </w:rPr>
            </w:pPr>
            <w:r>
              <w:rPr>
                <w:rFonts w:eastAsia="SimSun"/>
                <w:lang w:val="en-US" w:eastAsia="zh-CN"/>
              </w:rPr>
              <w:t>Y</w:t>
            </w:r>
          </w:p>
        </w:tc>
        <w:tc>
          <w:tcPr>
            <w:tcW w:w="6780" w:type="dxa"/>
          </w:tcPr>
          <w:p w14:paraId="3E2206DD" w14:textId="77777777" w:rsidR="002F39CA" w:rsidRDefault="002F39CA" w:rsidP="00661CA3">
            <w:pPr>
              <w:rPr>
                <w:szCs w:val="22"/>
                <w:lang w:val="en-US" w:eastAsia="zh-CN"/>
              </w:rPr>
            </w:pP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Heading1"/>
      </w:pPr>
      <w:r>
        <w:lastRenderedPageBreak/>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1CF1E4F8"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Heading1"/>
      </w:pPr>
      <w:r>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TableGrid"/>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F379B3"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ListParagraph"/>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Heading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Heading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F379B3">
            <w:pPr>
              <w:spacing w:after="0"/>
              <w:rPr>
                <w:rFonts w:eastAsia="DengXian"/>
                <w:lang w:eastAsia="zh-CN"/>
              </w:rPr>
            </w:pPr>
            <w:hyperlink r:id="rId15" w:history="1">
              <w:r w:rsidR="005F480B">
                <w:rPr>
                  <w:rStyle w:val="Hyperlink"/>
                  <w:rFonts w:eastAsia="DengXian" w:hint="eastAsia"/>
                  <w:lang w:eastAsia="zh-CN"/>
                </w:rPr>
                <w:t>p</w:t>
              </w:r>
              <w:r w:rsidR="005F480B">
                <w:rPr>
                  <w:rStyle w:val="Hyperlink"/>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F379B3">
            <w:pPr>
              <w:spacing w:after="0"/>
              <w:rPr>
                <w:rFonts w:eastAsiaTheme="minorEastAsia"/>
                <w:lang w:eastAsia="zh-CN"/>
              </w:rPr>
            </w:pPr>
            <w:hyperlink r:id="rId16" w:history="1">
              <w:r w:rsidR="005F480B">
                <w:rPr>
                  <w:rStyle w:val="Hyperlink"/>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F379B3">
            <w:pPr>
              <w:spacing w:after="0"/>
            </w:pPr>
            <w:hyperlink r:id="rId17" w:history="1">
              <w:r w:rsidR="005F480B">
                <w:rPr>
                  <w:rStyle w:val="Hyperlink"/>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F379B3">
            <w:pPr>
              <w:spacing w:after="0"/>
              <w:rPr>
                <w:rFonts w:eastAsia="DengXian"/>
                <w:lang w:eastAsia="zh-CN"/>
              </w:rPr>
            </w:pPr>
            <w:hyperlink r:id="rId18" w:history="1">
              <w:r w:rsidR="005F480B">
                <w:rPr>
                  <w:rStyle w:val="Hyperlink"/>
                  <w:rFonts w:eastAsia="DengXian" w:hint="eastAsia"/>
                  <w:lang w:eastAsia="zh-CN"/>
                </w:rPr>
                <w:t>m</w:t>
              </w:r>
              <w:r w:rsidR="005F480B">
                <w:rPr>
                  <w:rStyle w:val="Hyperlink"/>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F379B3">
            <w:pPr>
              <w:spacing w:after="0"/>
              <w:rPr>
                <w:rFonts w:eastAsia="DengXian"/>
                <w:lang w:eastAsia="zh-CN"/>
              </w:rPr>
            </w:pPr>
            <w:hyperlink r:id="rId19" w:history="1">
              <w:r w:rsidR="005F480B">
                <w:rPr>
                  <w:rStyle w:val="Hyperlink"/>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F379B3">
            <w:pPr>
              <w:spacing w:after="0"/>
              <w:rPr>
                <w:rFonts w:eastAsia="DengXian"/>
                <w:lang w:eastAsia="zh-CN"/>
              </w:rPr>
            </w:pPr>
            <w:hyperlink r:id="rId20" w:history="1">
              <w:r w:rsidR="005F480B">
                <w:rPr>
                  <w:rStyle w:val="Hyperlink"/>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F379B3">
            <w:pPr>
              <w:spacing w:after="0"/>
            </w:pPr>
            <w:hyperlink r:id="rId21" w:history="1">
              <w:r w:rsidR="005F480B">
                <w:rPr>
                  <w:rStyle w:val="Hyperlink"/>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F379B3">
            <w:pPr>
              <w:spacing w:after="0"/>
              <w:rPr>
                <w:rFonts w:eastAsia="SimSun"/>
                <w:lang w:val="en-US" w:eastAsia="zh-CN"/>
              </w:rPr>
            </w:pPr>
            <w:hyperlink r:id="rId22" w:history="1">
              <w:r w:rsidR="000074B6" w:rsidRPr="0072604D">
                <w:rPr>
                  <w:rStyle w:val="Hyperlink"/>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F379B3">
            <w:pPr>
              <w:spacing w:after="0"/>
              <w:rPr>
                <w:rFonts w:eastAsia="SimSun"/>
                <w:lang w:val="en-US" w:eastAsia="zh-CN"/>
              </w:rPr>
            </w:pPr>
            <w:hyperlink r:id="rId23" w:history="1">
              <w:r w:rsidR="00575D31" w:rsidRPr="0072604D">
                <w:rPr>
                  <w:rStyle w:val="Hyperlink"/>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F379B3" w:rsidP="00AA0F4D">
            <w:pPr>
              <w:spacing w:after="0"/>
              <w:rPr>
                <w:rFonts w:eastAsia="SimSun"/>
                <w:lang w:val="en-US" w:eastAsia="zh-CN"/>
              </w:rPr>
            </w:pPr>
            <w:hyperlink r:id="rId24" w:history="1">
              <w:r w:rsidR="00AA0F4D" w:rsidRPr="005457C3">
                <w:rPr>
                  <w:rStyle w:val="Hyperlink"/>
                  <w:rFonts w:eastAsia="SimSun"/>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F379B3">
            <w:pPr>
              <w:rPr>
                <w:color w:val="0000FF"/>
                <w:u w:val="single"/>
              </w:rPr>
            </w:pPr>
            <w:hyperlink r:id="rId25" w:history="1">
              <w:r w:rsidR="005F480B">
                <w:rPr>
                  <w:rStyle w:val="Hyperlink"/>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F379B3">
            <w:pPr>
              <w:rPr>
                <w:color w:val="0000FF"/>
                <w:u w:val="single"/>
              </w:rPr>
            </w:pPr>
            <w:hyperlink r:id="rId26" w:history="1">
              <w:r w:rsidR="005F480B">
                <w:rPr>
                  <w:rStyle w:val="Hyperlink"/>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F379B3">
            <w:pPr>
              <w:rPr>
                <w:color w:val="0000FF"/>
                <w:u w:val="single"/>
              </w:rPr>
            </w:pPr>
            <w:hyperlink r:id="rId27" w:history="1">
              <w:r w:rsidR="005F480B">
                <w:rPr>
                  <w:rStyle w:val="Hyperlink"/>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lastRenderedPageBreak/>
              <w:t>[4]</w:t>
            </w:r>
          </w:p>
        </w:tc>
        <w:tc>
          <w:tcPr>
            <w:tcW w:w="1456" w:type="dxa"/>
            <w:tcMar>
              <w:top w:w="0" w:type="dxa"/>
              <w:left w:w="70" w:type="dxa"/>
              <w:bottom w:w="0" w:type="dxa"/>
              <w:right w:w="70" w:type="dxa"/>
            </w:tcMar>
          </w:tcPr>
          <w:p w14:paraId="1CF1E539" w14:textId="77777777" w:rsidR="000E3E45" w:rsidRDefault="00F379B3">
            <w:pPr>
              <w:rPr>
                <w:color w:val="0000FF"/>
                <w:u w:val="single"/>
              </w:rPr>
            </w:pPr>
            <w:hyperlink r:id="rId28" w:history="1">
              <w:r w:rsidR="005F480B">
                <w:rPr>
                  <w:rStyle w:val="Hyperlink"/>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F379B3">
            <w:pPr>
              <w:rPr>
                <w:color w:val="0000FF"/>
                <w:u w:val="single"/>
              </w:rPr>
            </w:pPr>
            <w:hyperlink r:id="rId29" w:history="1">
              <w:r w:rsidR="005F480B">
                <w:rPr>
                  <w:rStyle w:val="Hyperlink"/>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F379B3">
            <w:pPr>
              <w:rPr>
                <w:color w:val="0000FF"/>
                <w:u w:val="single"/>
              </w:rPr>
            </w:pPr>
            <w:hyperlink r:id="rId30" w:history="1">
              <w:r w:rsidR="005F480B">
                <w:rPr>
                  <w:rStyle w:val="Hyperlink"/>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ZTE, Sanechips</w:t>
            </w:r>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F379B3">
            <w:pPr>
              <w:rPr>
                <w:color w:val="0000FF"/>
                <w:u w:val="single"/>
              </w:rPr>
            </w:pPr>
            <w:hyperlink r:id="rId31" w:history="1">
              <w:r w:rsidR="005F480B">
                <w:rPr>
                  <w:rStyle w:val="Hyperlink"/>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F379B3">
            <w:pPr>
              <w:rPr>
                <w:color w:val="0000FF"/>
                <w:u w:val="single"/>
              </w:rPr>
            </w:pPr>
            <w:hyperlink r:id="rId32" w:history="1">
              <w:r w:rsidR="005F480B">
                <w:rPr>
                  <w:rStyle w:val="Hyperlink"/>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F379B3">
            <w:pPr>
              <w:rPr>
                <w:color w:val="0000FF"/>
                <w:u w:val="single"/>
              </w:rPr>
            </w:pPr>
            <w:hyperlink r:id="rId33" w:history="1">
              <w:r w:rsidR="005F480B">
                <w:rPr>
                  <w:rStyle w:val="Hyperlink"/>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F379B3">
            <w:pPr>
              <w:rPr>
                <w:color w:val="0000FF"/>
                <w:u w:val="single"/>
              </w:rPr>
            </w:pPr>
            <w:hyperlink r:id="rId34" w:history="1">
              <w:r w:rsidR="005F480B">
                <w:rPr>
                  <w:rStyle w:val="Hyperlink"/>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F379B3">
            <w:pPr>
              <w:rPr>
                <w:color w:val="0000FF"/>
                <w:u w:val="single"/>
              </w:rPr>
            </w:pPr>
            <w:hyperlink r:id="rId35" w:history="1">
              <w:r w:rsidR="005F480B">
                <w:rPr>
                  <w:rStyle w:val="Hyperlink"/>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F379B3">
            <w:pPr>
              <w:rPr>
                <w:color w:val="0000FF"/>
                <w:u w:val="single"/>
              </w:rPr>
            </w:pPr>
            <w:hyperlink r:id="rId36" w:history="1">
              <w:r w:rsidR="005F480B">
                <w:rPr>
                  <w:rStyle w:val="Hyperlink"/>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F379B3">
            <w:pPr>
              <w:rPr>
                <w:color w:val="0000FF"/>
                <w:u w:val="single"/>
              </w:rPr>
            </w:pPr>
            <w:hyperlink r:id="rId37" w:history="1">
              <w:r w:rsidR="005F480B">
                <w:rPr>
                  <w:rStyle w:val="Hyperlink"/>
                  <w:color w:val="0000FF"/>
                </w:rPr>
                <w:t>R1-2107252</w:t>
              </w:r>
            </w:hyperlink>
          </w:p>
        </w:tc>
        <w:tc>
          <w:tcPr>
            <w:tcW w:w="4921" w:type="dxa"/>
            <w:tcMar>
              <w:top w:w="0" w:type="dxa"/>
              <w:left w:w="70" w:type="dxa"/>
              <w:bottom w:w="0" w:type="dxa"/>
              <w:right w:w="70" w:type="dxa"/>
            </w:tcMar>
          </w:tcPr>
          <w:p w14:paraId="1CF1E567" w14:textId="77777777" w:rsidR="000E3E45" w:rsidRDefault="005F480B">
            <w:r>
              <w:t>Mechanism in higher&amp;PHY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F379B3">
            <w:hyperlink r:id="rId38" w:history="1">
              <w:r w:rsidR="005F480B">
                <w:rPr>
                  <w:rStyle w:val="Hyperlink"/>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F379B3">
            <w:pPr>
              <w:rPr>
                <w:color w:val="0000FF"/>
                <w:u w:val="single"/>
              </w:rPr>
            </w:pPr>
            <w:hyperlink r:id="rId39" w:history="1">
              <w:r w:rsidR="005F480B">
                <w:rPr>
                  <w:rStyle w:val="Hyperlink"/>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F379B3">
            <w:pPr>
              <w:rPr>
                <w:color w:val="0000FF"/>
                <w:u w:val="single"/>
              </w:rPr>
            </w:pPr>
            <w:hyperlink r:id="rId40" w:history="1">
              <w:r w:rsidR="005F480B">
                <w:rPr>
                  <w:rStyle w:val="Hyperlink"/>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F379B3">
            <w:pPr>
              <w:rPr>
                <w:color w:val="0000FF"/>
                <w:u w:val="single"/>
              </w:rPr>
            </w:pPr>
            <w:hyperlink r:id="rId41" w:history="1">
              <w:r w:rsidR="005F480B">
                <w:rPr>
                  <w:rStyle w:val="Hyperlink"/>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F379B3">
            <w:pPr>
              <w:rPr>
                <w:color w:val="0000FF"/>
                <w:u w:val="single"/>
              </w:rPr>
            </w:pPr>
            <w:hyperlink r:id="rId42" w:history="1">
              <w:r w:rsidR="005F480B">
                <w:rPr>
                  <w:rStyle w:val="Hyperlink"/>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F379B3">
            <w:pPr>
              <w:rPr>
                <w:color w:val="0000FF"/>
                <w:u w:val="single"/>
              </w:rPr>
            </w:pPr>
            <w:hyperlink r:id="rId43" w:history="1">
              <w:r w:rsidR="005F480B">
                <w:rPr>
                  <w:rStyle w:val="Hyperlink"/>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F379B3">
            <w:pPr>
              <w:rPr>
                <w:color w:val="0000FF"/>
                <w:u w:val="single"/>
              </w:rPr>
            </w:pPr>
            <w:hyperlink r:id="rId44" w:history="1">
              <w:r w:rsidR="005F480B">
                <w:rPr>
                  <w:rStyle w:val="Hyperlink"/>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F379B3">
            <w:pPr>
              <w:rPr>
                <w:color w:val="0000FF"/>
                <w:u w:val="single"/>
              </w:rPr>
            </w:pPr>
            <w:hyperlink r:id="rId45" w:history="1">
              <w:r w:rsidR="005F480B">
                <w:rPr>
                  <w:rStyle w:val="Hyperlink"/>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r>
              <w:t>InterDigital,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F379B3">
            <w:pPr>
              <w:rPr>
                <w:color w:val="0000FF"/>
                <w:u w:val="single"/>
              </w:rPr>
            </w:pPr>
            <w:hyperlink r:id="rId46" w:history="1">
              <w:r w:rsidR="005F480B">
                <w:rPr>
                  <w:rStyle w:val="Hyperlink"/>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F379B3">
            <w:pPr>
              <w:rPr>
                <w:color w:val="0000FF"/>
                <w:u w:val="single"/>
              </w:rPr>
            </w:pPr>
            <w:hyperlink r:id="rId47" w:history="1">
              <w:r w:rsidR="005F480B">
                <w:rPr>
                  <w:rStyle w:val="Hyperlink"/>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F379B3">
            <w:pPr>
              <w:rPr>
                <w:color w:val="0000FF"/>
                <w:u w:val="single"/>
              </w:rPr>
            </w:pPr>
            <w:hyperlink r:id="rId48" w:history="1">
              <w:r w:rsidR="005F480B">
                <w:rPr>
                  <w:rStyle w:val="Hyperlink"/>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F379B3">
            <w:pPr>
              <w:rPr>
                <w:color w:val="0000FF"/>
                <w:u w:val="single"/>
              </w:rPr>
            </w:pPr>
            <w:hyperlink r:id="rId49" w:history="1">
              <w:r w:rsidR="005F480B">
                <w:rPr>
                  <w:rStyle w:val="Hyperlink"/>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F379B3">
            <w:pPr>
              <w:rPr>
                <w:color w:val="0000FF"/>
                <w:u w:val="single"/>
              </w:rPr>
            </w:pPr>
            <w:hyperlink r:id="rId50" w:history="1">
              <w:r w:rsidR="005F480B">
                <w:rPr>
                  <w:rStyle w:val="Hyperlink"/>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F379B3">
            <w:pPr>
              <w:rPr>
                <w:color w:val="0000FF"/>
                <w:u w:val="single"/>
              </w:rPr>
            </w:pPr>
            <w:hyperlink r:id="rId51" w:history="1">
              <w:r w:rsidR="005F480B">
                <w:rPr>
                  <w:rStyle w:val="Hyperlink"/>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Discussion on L1 reduced capability signaling</w:t>
            </w:r>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F379B3">
            <w:hyperlink r:id="rId52" w:history="1">
              <w:r w:rsidR="005F480B">
                <w:rPr>
                  <w:rStyle w:val="Hyperlink"/>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F379B3">
            <w:pPr>
              <w:rPr>
                <w:rStyle w:val="Hyperlink"/>
                <w:color w:val="0000FF"/>
              </w:rPr>
            </w:pPr>
            <w:hyperlink r:id="rId53" w:history="1">
              <w:r w:rsidR="005F480B">
                <w:rPr>
                  <w:rStyle w:val="Hyperlink"/>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ZTE, Sanechips</w:t>
            </w:r>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F379B3">
            <w:hyperlink r:id="rId54" w:history="1">
              <w:r w:rsidR="005F480B">
                <w:rPr>
                  <w:rStyle w:val="Hyperlink"/>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F379B3">
            <w:hyperlink r:id="rId55" w:history="1">
              <w:r w:rsidR="005F480B">
                <w:rPr>
                  <w:rStyle w:val="Hyperlink"/>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F379B3">
            <w:hyperlink r:id="rId56" w:history="1">
              <w:r w:rsidR="005F480B">
                <w:rPr>
                  <w:rStyle w:val="Hyperlink"/>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F379B3">
            <w:hyperlink r:id="rId57" w:history="1">
              <w:r w:rsidR="005F480B">
                <w:rPr>
                  <w:rStyle w:val="Hyperlink"/>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F379B3">
            <w:hyperlink r:id="rId58" w:history="1">
              <w:r w:rsidR="005F480B">
                <w:rPr>
                  <w:rStyle w:val="Hyperlink"/>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EDF16" w14:textId="77777777" w:rsidR="00F379B3" w:rsidRDefault="00F379B3" w:rsidP="00B061D2">
      <w:pPr>
        <w:spacing w:after="0" w:line="240" w:lineRule="auto"/>
      </w:pPr>
      <w:r>
        <w:separator/>
      </w:r>
    </w:p>
  </w:endnote>
  <w:endnote w:type="continuationSeparator" w:id="0">
    <w:p w14:paraId="578BC88F" w14:textId="77777777" w:rsidR="00F379B3" w:rsidRDefault="00F379B3"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34703" w14:textId="77777777" w:rsidR="00F379B3" w:rsidRDefault="00F379B3" w:rsidP="00B061D2">
      <w:pPr>
        <w:spacing w:after="0" w:line="240" w:lineRule="auto"/>
      </w:pPr>
      <w:r>
        <w:separator/>
      </w:r>
    </w:p>
  </w:footnote>
  <w:footnote w:type="continuationSeparator" w:id="0">
    <w:p w14:paraId="61AED705" w14:textId="77777777" w:rsidR="00F379B3" w:rsidRDefault="00F379B3"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2"/>
  </w:num>
  <w:num w:numId="4">
    <w:abstractNumId w:val="15"/>
    <w:lvlOverride w:ilvl="0">
      <w:startOverride w:val="1"/>
    </w:lvlOverride>
  </w:num>
  <w:num w:numId="5">
    <w:abstractNumId w:val="7"/>
  </w:num>
  <w:num w:numId="6">
    <w:abstractNumId w:val="11"/>
  </w:num>
  <w:num w:numId="7">
    <w:abstractNumId w:val="20"/>
  </w:num>
  <w:num w:numId="8">
    <w:abstractNumId w:val="13"/>
  </w:num>
  <w:num w:numId="9">
    <w:abstractNumId w:val="8"/>
  </w:num>
  <w:num w:numId="10">
    <w:abstractNumId w:val="10"/>
  </w:num>
  <w:num w:numId="11">
    <w:abstractNumId w:val="17"/>
  </w:num>
  <w:num w:numId="12">
    <w:abstractNumId w:val="3"/>
  </w:num>
  <w:num w:numId="13">
    <w:abstractNumId w:val="24"/>
  </w:num>
  <w:num w:numId="14">
    <w:abstractNumId w:val="14"/>
  </w:num>
  <w:num w:numId="15">
    <w:abstractNumId w:val="21"/>
  </w:num>
  <w:num w:numId="16">
    <w:abstractNumId w:val="23"/>
  </w:num>
  <w:num w:numId="17">
    <w:abstractNumId w:val="22"/>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5"/>
  </w:num>
  <w:num w:numId="23">
    <w:abstractNumId w:val="6"/>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65"/>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707.zip"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07670A-1C10-4C49-96D6-554208B4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10325</Words>
  <Characters>58854</Characters>
  <Application>Microsoft Office Word</Application>
  <DocSecurity>0</DocSecurity>
  <Lines>490</Lines>
  <Paragraphs>138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31</cp:revision>
  <dcterms:created xsi:type="dcterms:W3CDTF">2021-08-18T23:20:00Z</dcterms:created>
  <dcterms:modified xsi:type="dcterms:W3CDTF">2021-08-19T00:29:00Z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