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r>
              <w:rPr>
                <w:b/>
                <w:bCs/>
                <w:sz w:val="20"/>
                <w:szCs w:val="20"/>
              </w:rPr>
              <w:t>Tdoc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7E3261">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7E3261">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lower values for the scalingFactor</w:t>
            </w:r>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r>
              <w:rPr>
                <w:rFonts w:eastAsia="Malgun Gothic"/>
                <w:i/>
                <w:iCs/>
                <w:lang w:eastAsia="ko-KR"/>
              </w:rPr>
              <w:t>scalingFactor</w:t>
            </w:r>
            <w:r>
              <w:rPr>
                <w:rFonts w:eastAsia="Malgun Gothic"/>
                <w:lang w:eastAsia="ko-KR"/>
              </w:rPr>
              <w:t>) and using the maximum supported modulation order (</w:t>
            </w:r>
            <w:r>
              <w:rPr>
                <w:i/>
                <w:iCs/>
              </w:rPr>
              <w:t>supportedModulationOrderDL</w:t>
            </w:r>
            <w:r>
              <w:t>/</w:t>
            </w:r>
            <w:r>
              <w:rPr>
                <w:i/>
                <w:iCs/>
              </w:rPr>
              <w:t>supportedModulationOrderUL</w:t>
            </w:r>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r>
                    <w:rPr>
                      <w:b/>
                      <w:bCs/>
                      <w:i/>
                      <w:iCs/>
                      <w:lang w:val="en-GB"/>
                    </w:rPr>
                    <w:t>supportedModulationOrderDL</w:t>
                  </w:r>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r w:rsidRPr="009D3DE6">
                    <w:rPr>
                      <w:rFonts w:ascii="Arial" w:eastAsia="Times New Roman" w:hAnsi="Arial"/>
                      <w:i/>
                      <w:iCs/>
                      <w:sz w:val="18"/>
                    </w:rPr>
                    <w:t>DataRate</w:t>
                  </w:r>
                  <w:r w:rsidRPr="009D3DE6">
                    <w:rPr>
                      <w:rFonts w:ascii="Arial" w:eastAsia="Times New Roman" w:hAnsi="Arial"/>
                      <w:sz w:val="18"/>
                    </w:rPr>
                    <w:t>) and max data rate per CC (</w:t>
                  </w:r>
                  <w:r w:rsidRPr="009D3DE6">
                    <w:rPr>
                      <w:rFonts w:ascii="Arial" w:eastAsia="Times New Roman" w:hAnsi="Arial"/>
                      <w:i/>
                      <w:iCs/>
                      <w:sz w:val="18"/>
                    </w:rPr>
                    <w:t>DataRateCC</w:t>
                  </w:r>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u-blox</w:t>
            </w:r>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u-blox</w:t>
      </w:r>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ZTE/Sanechips, Apple</w:t>
      </w:r>
      <w:r>
        <w:rPr>
          <w:color w:val="FF0000"/>
        </w:rPr>
        <w:t>, u-blox</w:t>
      </w:r>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HW-HiSi,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ZTE, Sanechips</w:t>
            </w:r>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p>
        </w:tc>
      </w:tr>
      <w:tr w:rsidR="00836732" w14:paraId="10257362" w14:textId="77777777">
        <w:trPr>
          <w:jc w:val="center"/>
        </w:trPr>
        <w:tc>
          <w:tcPr>
            <w:tcW w:w="1388" w:type="dxa"/>
            <w:shd w:val="clear" w:color="auto" w:fill="auto"/>
          </w:tcPr>
          <w:p w14:paraId="59424520" w14:textId="30CF9A2B" w:rsidR="00836732" w:rsidRDefault="00FA6CD5">
            <w:pPr>
              <w:rPr>
                <w:rFonts w:eastAsia="MS Mincho"/>
                <w:sz w:val="20"/>
                <w:szCs w:val="20"/>
                <w:lang w:eastAsia="ja-JP"/>
              </w:rPr>
            </w:pPr>
            <w:r>
              <w:rPr>
                <w:rFonts w:eastAsia="MS Mincho"/>
                <w:sz w:val="20"/>
                <w:szCs w:val="20"/>
                <w:lang w:eastAsia="ja-JP"/>
              </w:rPr>
              <w:t>Nordic</w:t>
            </w:r>
          </w:p>
        </w:tc>
        <w:tc>
          <w:tcPr>
            <w:tcW w:w="1272" w:type="dxa"/>
            <w:shd w:val="clear" w:color="auto" w:fill="auto"/>
          </w:tcPr>
          <w:p w14:paraId="5E62CC57" w14:textId="58D992B4" w:rsidR="00836732" w:rsidRDefault="00FA6CD5" w:rsidP="00082F41">
            <w:pPr>
              <w:rPr>
                <w:rFonts w:eastAsiaTheme="minorEastAsia"/>
                <w:sz w:val="20"/>
                <w:szCs w:val="20"/>
              </w:rPr>
            </w:pPr>
            <w:r>
              <w:rPr>
                <w:rFonts w:eastAsiaTheme="minorEastAsia"/>
                <w:sz w:val="20"/>
                <w:szCs w:val="20"/>
              </w:rPr>
              <w:t>Option 1</w:t>
            </w:r>
          </w:p>
        </w:tc>
        <w:tc>
          <w:tcPr>
            <w:tcW w:w="6971" w:type="dxa"/>
            <w:shd w:val="clear" w:color="auto" w:fill="auto"/>
          </w:tcPr>
          <w:p w14:paraId="0F461F24" w14:textId="23ED6825" w:rsidR="00836732" w:rsidRDefault="00FA6CD5" w:rsidP="00F8510E">
            <w:pPr>
              <w:rPr>
                <w:rFonts w:eastAsiaTheme="minorEastAsia"/>
              </w:rPr>
            </w:pPr>
            <w:r>
              <w:rPr>
                <w:rFonts w:eastAsiaTheme="minorEastAsia"/>
              </w:rPr>
              <w:t xml:space="preserve">Agree with Samsung </w:t>
            </w:r>
            <w:r w:rsidR="008E4819">
              <w:rPr>
                <w:rFonts w:eastAsiaTheme="minorEastAsia"/>
              </w:rPr>
              <w:t xml:space="preserve">that we will need to reduce minimum from 4-&gt;X.  </w:t>
            </w:r>
            <w:r w:rsidR="00721711">
              <w:rPr>
                <w:rFonts w:eastAsiaTheme="minorEastAsia"/>
              </w:rPr>
              <w:t xml:space="preserve">X </w:t>
            </w:r>
            <w:r w:rsidR="008E4819">
              <w:rPr>
                <w:rFonts w:eastAsiaTheme="minorEastAsia"/>
              </w:rPr>
              <w:t xml:space="preserve">could be FFS, we can discuss next meeting. </w:t>
            </w:r>
          </w:p>
        </w:tc>
      </w:tr>
      <w:tr w:rsidR="0077686A" w14:paraId="24B56C9F" w14:textId="77777777">
        <w:trPr>
          <w:jc w:val="center"/>
        </w:trPr>
        <w:tc>
          <w:tcPr>
            <w:tcW w:w="1388" w:type="dxa"/>
            <w:shd w:val="clear" w:color="auto" w:fill="auto"/>
          </w:tcPr>
          <w:p w14:paraId="55F912E9" w14:textId="44D723AE" w:rsidR="0077686A" w:rsidRPr="0077686A" w:rsidRDefault="0077686A">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4F57475D" w14:textId="77777777" w:rsidR="0077686A" w:rsidRDefault="0077686A" w:rsidP="00082F41">
            <w:pPr>
              <w:rPr>
                <w:rFonts w:eastAsiaTheme="minorEastAsia"/>
                <w:sz w:val="20"/>
                <w:szCs w:val="20"/>
              </w:rPr>
            </w:pPr>
          </w:p>
        </w:tc>
        <w:tc>
          <w:tcPr>
            <w:tcW w:w="6971" w:type="dxa"/>
            <w:shd w:val="clear" w:color="auto" w:fill="auto"/>
          </w:tcPr>
          <w:p w14:paraId="6259A901" w14:textId="5B61D6E5" w:rsidR="0077686A" w:rsidRDefault="0077686A" w:rsidP="00F8510E">
            <w:pPr>
              <w:rPr>
                <w:rFonts w:eastAsiaTheme="minorEastAsia"/>
              </w:rPr>
            </w:pPr>
            <w:r>
              <w:rPr>
                <w:rFonts w:eastAsiaTheme="minorEastAsia" w:hint="eastAsia"/>
              </w:rPr>
              <w:t>W</w:t>
            </w:r>
            <w:r>
              <w:rPr>
                <w:rFonts w:eastAsiaTheme="minorEastAsia"/>
              </w:rPr>
              <w:t xml:space="preserve">e noticed there were ongoing discussion in RAN2 as well and new proposal has been progressing offline. Therefore we suggest to close this topic in RAN1 for this meeting, and RAN1 can come back to this issue later if triggered by RAN2 later. </w:t>
            </w:r>
          </w:p>
        </w:tc>
      </w:tr>
      <w:tr w:rsidR="0077686A" w14:paraId="6DBC2225" w14:textId="77777777">
        <w:trPr>
          <w:jc w:val="center"/>
        </w:trPr>
        <w:tc>
          <w:tcPr>
            <w:tcW w:w="1388" w:type="dxa"/>
            <w:shd w:val="clear" w:color="auto" w:fill="auto"/>
          </w:tcPr>
          <w:p w14:paraId="7884281C" w14:textId="7C27B6DD" w:rsidR="0077686A" w:rsidRDefault="00F01528">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272" w:type="dxa"/>
            <w:shd w:val="clear" w:color="auto" w:fill="auto"/>
          </w:tcPr>
          <w:p w14:paraId="0103B223" w14:textId="77777777" w:rsidR="0077686A" w:rsidRDefault="0077686A" w:rsidP="00082F41">
            <w:pPr>
              <w:rPr>
                <w:rFonts w:eastAsiaTheme="minorEastAsia"/>
                <w:sz w:val="20"/>
                <w:szCs w:val="20"/>
              </w:rPr>
            </w:pPr>
          </w:p>
        </w:tc>
        <w:tc>
          <w:tcPr>
            <w:tcW w:w="6971" w:type="dxa"/>
            <w:shd w:val="clear" w:color="auto" w:fill="auto"/>
          </w:tcPr>
          <w:p w14:paraId="4E0538A1" w14:textId="77777777" w:rsidR="00F01528" w:rsidRPr="00F01528" w:rsidRDefault="00F01528" w:rsidP="00F01528">
            <w:pPr>
              <w:rPr>
                <w:rFonts w:eastAsiaTheme="minorEastAsia"/>
              </w:rPr>
            </w:pPr>
            <w:r w:rsidRPr="00F01528">
              <w:rPr>
                <w:rFonts w:eastAsiaTheme="minorEastAsia"/>
              </w:rPr>
              <w:t xml:space="preserve">Same view as ZTE. Depends on RAN2 discussion. </w:t>
            </w:r>
          </w:p>
          <w:p w14:paraId="05D594DA" w14:textId="395A50E8" w:rsidR="0077686A" w:rsidRDefault="00F01528" w:rsidP="00F01528">
            <w:pPr>
              <w:rPr>
                <w:rFonts w:eastAsiaTheme="minorEastAsia"/>
              </w:rPr>
            </w:pPr>
            <w:r w:rsidRPr="00F01528">
              <w:rPr>
                <w:rFonts w:eastAsiaTheme="minorEastAsia"/>
              </w:rPr>
              <w:t>Follow RAN1 vice chair recommendation on last Wednesday that no need for RAN1 to conclude if there is no consensus.</w:t>
            </w:r>
          </w:p>
        </w:tc>
      </w:tr>
      <w:tr w:rsidR="00ED1866" w14:paraId="5ED743FF" w14:textId="77777777" w:rsidTr="00ED1866">
        <w:tblPrEx>
          <w:jc w:val="left"/>
        </w:tblPrEx>
        <w:tc>
          <w:tcPr>
            <w:tcW w:w="1388" w:type="dxa"/>
          </w:tcPr>
          <w:p w14:paraId="77FBE706" w14:textId="77777777" w:rsidR="00ED1866" w:rsidRDefault="00ED1866" w:rsidP="001B7CD8">
            <w:pPr>
              <w:rPr>
                <w:rFonts w:eastAsiaTheme="minorEastAsia"/>
                <w:sz w:val="20"/>
                <w:szCs w:val="20"/>
              </w:rPr>
            </w:pPr>
            <w:r>
              <w:rPr>
                <w:rFonts w:eastAsiaTheme="minorEastAsia"/>
                <w:sz w:val="20"/>
                <w:szCs w:val="20"/>
              </w:rPr>
              <w:t>Ericsson</w:t>
            </w:r>
          </w:p>
        </w:tc>
        <w:tc>
          <w:tcPr>
            <w:tcW w:w="1272" w:type="dxa"/>
          </w:tcPr>
          <w:p w14:paraId="15DAC6E5" w14:textId="77777777" w:rsidR="00ED1866" w:rsidRDefault="00ED1866" w:rsidP="001B7CD8">
            <w:pPr>
              <w:rPr>
                <w:rFonts w:eastAsiaTheme="minorEastAsia"/>
                <w:sz w:val="20"/>
                <w:szCs w:val="20"/>
              </w:rPr>
            </w:pPr>
          </w:p>
        </w:tc>
        <w:tc>
          <w:tcPr>
            <w:tcW w:w="6971" w:type="dxa"/>
          </w:tcPr>
          <w:p w14:paraId="050D0075" w14:textId="175CDA27" w:rsidR="00ED1866" w:rsidRDefault="00ED1866" w:rsidP="001B7CD8">
            <w:pPr>
              <w:rPr>
                <w:rFonts w:eastAsia="Malgun Gothic"/>
                <w:sz w:val="20"/>
                <w:szCs w:val="20"/>
                <w:lang w:eastAsia="ko-KR"/>
              </w:rPr>
            </w:pPr>
            <w:r>
              <w:rPr>
                <w:rFonts w:eastAsia="Malgun Gothic"/>
                <w:sz w:val="20"/>
                <w:szCs w:val="20"/>
                <w:lang w:eastAsia="ko-KR"/>
              </w:rPr>
              <w:t xml:space="preserve">Same view </w:t>
            </w:r>
            <w:r w:rsidR="00045CEF">
              <w:rPr>
                <w:rFonts w:eastAsia="Malgun Gothic"/>
                <w:sz w:val="20"/>
                <w:szCs w:val="20"/>
                <w:lang w:eastAsia="ko-KR"/>
              </w:rPr>
              <w:t xml:space="preserve">as </w:t>
            </w:r>
            <w:r>
              <w:rPr>
                <w:rFonts w:eastAsia="Malgun Gothic"/>
                <w:sz w:val="20"/>
                <w:szCs w:val="20"/>
                <w:lang w:eastAsia="ko-KR"/>
              </w:rPr>
              <w:t>ZTE and Spreadtrum.</w:t>
            </w:r>
          </w:p>
        </w:tc>
      </w:tr>
    </w:tbl>
    <w:p w14:paraId="5440462D" w14:textId="3407700A" w:rsidR="002D608A" w:rsidRDefault="002D608A" w:rsidP="002D608A">
      <w:pPr>
        <w:rPr>
          <w:b/>
          <w:bCs/>
          <w:u w:val="single"/>
        </w:rPr>
      </w:pPr>
      <w:r>
        <w:rPr>
          <w:b/>
          <w:bCs/>
          <w:highlight w:val="cyan"/>
          <w:u w:val="single"/>
        </w:rPr>
        <w:lastRenderedPageBreak/>
        <w:t xml:space="preserve">Summary of views </w:t>
      </w:r>
      <w:r w:rsidR="00676C3A">
        <w:rPr>
          <w:b/>
          <w:bCs/>
          <w:highlight w:val="cyan"/>
          <w:u w:val="single"/>
        </w:rPr>
        <w:t>based on</w:t>
      </w:r>
      <w:r w:rsidR="00D240CF">
        <w:rPr>
          <w:b/>
          <w:bCs/>
          <w:highlight w:val="cyan"/>
          <w:u w:val="single"/>
        </w:rPr>
        <w:t xml:space="preserve"> inputs to</w:t>
      </w:r>
      <w:r w:rsidR="00676C3A">
        <w:rPr>
          <w:b/>
          <w:bCs/>
          <w:highlight w:val="cyan"/>
          <w:u w:val="single"/>
        </w:rPr>
        <w:t xml:space="preserve"> second round of discussions</w:t>
      </w:r>
      <w:r>
        <w:rPr>
          <w:b/>
          <w:bCs/>
          <w:highlight w:val="cyan"/>
          <w:u w:val="single"/>
        </w:rPr>
        <w:t>:</w:t>
      </w:r>
    </w:p>
    <w:p w14:paraId="40D102F7" w14:textId="77777777" w:rsidR="002D608A" w:rsidRDefault="002D608A" w:rsidP="002D608A">
      <w:r>
        <w:t>Company preferences:</w:t>
      </w:r>
    </w:p>
    <w:p w14:paraId="2D6B96AC" w14:textId="63C2255C" w:rsidR="002D608A" w:rsidRPr="002447F9" w:rsidRDefault="002D608A" w:rsidP="002447F9">
      <w:pPr>
        <w:pStyle w:val="ListParagraph"/>
        <w:numPr>
          <w:ilvl w:val="0"/>
          <w:numId w:val="12"/>
        </w:numPr>
        <w:rPr>
          <w:b/>
          <w:bCs/>
          <w:i/>
          <w:iCs/>
        </w:rPr>
      </w:pPr>
      <w:r>
        <w:rPr>
          <w:b/>
          <w:bCs/>
        </w:rPr>
        <w:t>Opt. 1:</w:t>
      </w:r>
      <w:r>
        <w:t xml:space="preserve"> </w:t>
      </w:r>
      <w:r>
        <w:rPr>
          <w:rFonts w:ascii="Calibri" w:eastAsia="Times New Roman" w:hAnsi="Calibri"/>
        </w:rPr>
        <w:t>QC, SS (open to Option 2), LG,  FTW</w:t>
      </w:r>
      <w:r w:rsidR="00A70720">
        <w:rPr>
          <w:rFonts w:ascii="Calibri" w:eastAsia="Times New Roman" w:hAnsi="Calibri"/>
        </w:rPr>
        <w:t xml:space="preserve"> (2</w:t>
      </w:r>
      <w:r w:rsidR="00A70720" w:rsidRPr="00A70720">
        <w:rPr>
          <w:rFonts w:ascii="Calibri" w:eastAsia="Times New Roman" w:hAnsi="Calibri"/>
          <w:vertAlign w:val="superscript"/>
        </w:rPr>
        <w:t>nd</w:t>
      </w:r>
      <w:r w:rsidR="00A70720">
        <w:rPr>
          <w:rFonts w:ascii="Calibri" w:eastAsia="Times New Roman" w:hAnsi="Calibri"/>
        </w:rPr>
        <w:t xml:space="preserve"> pref)</w:t>
      </w:r>
      <w:r>
        <w:rPr>
          <w:rFonts w:ascii="Calibri" w:eastAsia="Times New Roman" w:hAnsi="Calibri"/>
        </w:rPr>
        <w:t>, Nokia/NSB (2</w:t>
      </w:r>
      <w:r>
        <w:rPr>
          <w:rFonts w:ascii="Calibri" w:eastAsia="Times New Roman" w:hAnsi="Calibri"/>
          <w:vertAlign w:val="superscript"/>
        </w:rPr>
        <w:t xml:space="preserve">nd </w:t>
      </w:r>
      <w:r>
        <w:rPr>
          <w:rFonts w:ascii="Calibri" w:eastAsia="Times New Roman" w:hAnsi="Calibri"/>
          <w:vertAlign w:val="subscript"/>
        </w:rPr>
        <w:softHyphen/>
      </w:r>
      <w:r>
        <w:rPr>
          <w:rFonts w:ascii="Calibri" w:eastAsia="Times New Roman" w:hAnsi="Calibri"/>
        </w:rPr>
        <w:t>pref), Lenovo/MoTM, CATT, DCM (1</w:t>
      </w:r>
      <w:r>
        <w:rPr>
          <w:rFonts w:ascii="Calibri" w:eastAsia="Times New Roman" w:hAnsi="Calibri"/>
          <w:vertAlign w:val="superscript"/>
        </w:rPr>
        <w:t>st</w:t>
      </w:r>
      <w:r>
        <w:rPr>
          <w:rFonts w:ascii="Calibri" w:eastAsia="Times New Roman" w:hAnsi="Calibri"/>
        </w:rPr>
        <w:t xml:space="preserve"> pref), CMCC</w:t>
      </w:r>
      <w:r w:rsidR="007C127E">
        <w:rPr>
          <w:rFonts w:ascii="Calibri" w:eastAsia="Times New Roman" w:hAnsi="Calibri"/>
        </w:rPr>
        <w:t xml:space="preserve"> (“if complexity/cost reduction NOT justified”)</w:t>
      </w:r>
      <w:r>
        <w:rPr>
          <w:rFonts w:ascii="Calibri" w:eastAsia="Times New Roman" w:hAnsi="Calibri"/>
        </w:rPr>
        <w:t>, Nordic (open to Option 2), Intel (1</w:t>
      </w:r>
      <w:r>
        <w:rPr>
          <w:rFonts w:ascii="Calibri" w:eastAsia="Times New Roman" w:hAnsi="Calibri"/>
          <w:vertAlign w:val="superscript"/>
        </w:rPr>
        <w:t>st</w:t>
      </w:r>
      <w:r>
        <w:rPr>
          <w:rFonts w:ascii="Calibri" w:eastAsia="Times New Roman" w:hAnsi="Calibri"/>
        </w:rPr>
        <w:t xml:space="preserve"> pref). </w:t>
      </w:r>
      <w:r>
        <w:rPr>
          <w:rFonts w:ascii="Calibri" w:eastAsia="Times New Roman" w:hAnsi="Calibri"/>
          <w:b/>
          <w:bCs/>
          <w:color w:val="FF0000"/>
        </w:rPr>
        <w:t>(1</w:t>
      </w:r>
      <w:r w:rsidR="00226ECA">
        <w:rPr>
          <w:rFonts w:ascii="Calibri" w:eastAsia="Times New Roman" w:hAnsi="Calibri"/>
          <w:b/>
          <w:bCs/>
          <w:color w:val="FF0000"/>
        </w:rPr>
        <w:t>0</w:t>
      </w:r>
      <w:r>
        <w:rPr>
          <w:rFonts w:ascii="Calibri" w:eastAsia="Times New Roman" w:hAnsi="Calibri"/>
          <w:b/>
          <w:bCs/>
          <w:color w:val="FF0000"/>
        </w:rPr>
        <w:t>)</w:t>
      </w:r>
      <w:r w:rsidR="002447F9">
        <w:rPr>
          <w:rFonts w:ascii="Calibri" w:eastAsia="Times New Roman" w:hAnsi="Calibri"/>
          <w:b/>
          <w:bCs/>
          <w:color w:val="FF0000"/>
        </w:rPr>
        <w:t xml:space="preserve"> </w:t>
      </w:r>
      <w:r w:rsidR="002447F9" w:rsidRPr="002447F9">
        <w:rPr>
          <w:b/>
          <w:bCs/>
          <w:i/>
          <w:iCs/>
          <w:color w:val="FF0000"/>
        </w:rPr>
        <w:t>(Note: CMCC not counted)</w:t>
      </w:r>
    </w:p>
    <w:p w14:paraId="13800F44" w14:textId="2CEC559B" w:rsidR="002D608A" w:rsidRPr="002447F9" w:rsidRDefault="002D608A" w:rsidP="002D608A">
      <w:pPr>
        <w:pStyle w:val="ListParagraph"/>
        <w:numPr>
          <w:ilvl w:val="0"/>
          <w:numId w:val="12"/>
        </w:numPr>
        <w:rPr>
          <w:b/>
          <w:bCs/>
          <w:i/>
          <w:iCs/>
        </w:rPr>
      </w:pPr>
      <w:r>
        <w:rPr>
          <w:b/>
          <w:bCs/>
        </w:rPr>
        <w:t>Opt. 2:</w:t>
      </w:r>
      <w:r>
        <w:t xml:space="preserve"> DCM (2</w:t>
      </w:r>
      <w:r>
        <w:rPr>
          <w:vertAlign w:val="superscript"/>
        </w:rPr>
        <w:t>nd</w:t>
      </w:r>
      <w:r>
        <w:t xml:space="preserve"> preference), </w:t>
      </w:r>
      <w:r w:rsidR="00236CE2">
        <w:t>[</w:t>
      </w:r>
      <w:r>
        <w:t>Ericsson</w:t>
      </w:r>
      <w:r w:rsidR="00236CE2">
        <w:t>]</w:t>
      </w:r>
      <w:r>
        <w:t xml:space="preserve"> (w/ “relaxation” in addition to “removal” of the existing constraint)</w:t>
      </w:r>
      <w:r w:rsidR="005C23FF">
        <w:t>, SS (2</w:t>
      </w:r>
      <w:r w:rsidR="005C23FF" w:rsidRPr="005C23FF">
        <w:rPr>
          <w:vertAlign w:val="superscript"/>
        </w:rPr>
        <w:t>nd</w:t>
      </w:r>
      <w:r w:rsidR="005C23FF">
        <w:t xml:space="preserve"> pref?), Nordic (2</w:t>
      </w:r>
      <w:r w:rsidR="005C23FF" w:rsidRPr="005C23FF">
        <w:rPr>
          <w:vertAlign w:val="superscript"/>
        </w:rPr>
        <w:t>nd</w:t>
      </w:r>
      <w:r w:rsidR="005C23FF">
        <w:t xml:space="preserve"> pref?)</w:t>
      </w:r>
      <w:r w:rsidR="007C127E">
        <w:t xml:space="preserve">, CMCC </w:t>
      </w:r>
      <w:r w:rsidR="007C127E">
        <w:rPr>
          <w:rFonts w:ascii="Calibri" w:eastAsia="Times New Roman" w:hAnsi="Calibri"/>
        </w:rPr>
        <w:t>(“if complexity/cost reduction is justified”)</w:t>
      </w:r>
      <w:r>
        <w:t xml:space="preserve"> </w:t>
      </w:r>
      <w:r w:rsidRPr="00BA6103">
        <w:rPr>
          <w:b/>
          <w:bCs/>
          <w:color w:val="FF0000"/>
        </w:rPr>
        <w:t>(2</w:t>
      </w:r>
      <w:r w:rsidR="005C23FF" w:rsidRPr="00BA6103">
        <w:rPr>
          <w:b/>
          <w:bCs/>
          <w:color w:val="FF0000"/>
        </w:rPr>
        <w:t xml:space="preserve"> + [2]</w:t>
      </w:r>
      <w:r w:rsidRPr="00BA6103">
        <w:rPr>
          <w:b/>
          <w:bCs/>
          <w:color w:val="FF0000"/>
        </w:rPr>
        <w:t>)</w:t>
      </w:r>
      <w:r w:rsidR="002447F9">
        <w:rPr>
          <w:b/>
          <w:bCs/>
          <w:color w:val="FF0000"/>
        </w:rPr>
        <w:t xml:space="preserve"> </w:t>
      </w:r>
      <w:r w:rsidR="002447F9" w:rsidRPr="002447F9">
        <w:rPr>
          <w:b/>
          <w:bCs/>
          <w:i/>
          <w:iCs/>
          <w:color w:val="FF0000"/>
        </w:rPr>
        <w:t>(Note: CMCC not counted)</w:t>
      </w:r>
    </w:p>
    <w:p w14:paraId="32D661D2" w14:textId="3B78234D" w:rsidR="002D608A" w:rsidRDefault="002D608A" w:rsidP="002D608A">
      <w:pPr>
        <w:pStyle w:val="ListParagraph"/>
        <w:numPr>
          <w:ilvl w:val="0"/>
          <w:numId w:val="12"/>
        </w:numPr>
      </w:pPr>
      <w:r>
        <w:rPr>
          <w:b/>
          <w:bCs/>
        </w:rPr>
        <w:t>Opt. 3:</w:t>
      </w:r>
      <w:r>
        <w:t xml:space="preserve"> </w:t>
      </w:r>
      <w:r w:rsidR="00E00057">
        <w:t>[</w:t>
      </w:r>
      <w:r>
        <w:t>SPRD</w:t>
      </w:r>
      <w:r w:rsidR="00E00057">
        <w:t>]</w:t>
      </w:r>
      <w:r>
        <w:t xml:space="preserve">, </w:t>
      </w:r>
      <w:r w:rsidR="00E00057">
        <w:t>[</w:t>
      </w:r>
      <w:r>
        <w:t>vivo</w:t>
      </w:r>
      <w:r w:rsidR="00E00057">
        <w:t>]</w:t>
      </w:r>
      <w:r>
        <w:t xml:space="preserve">, ZTE/Sanechips, Apple </w:t>
      </w:r>
      <w:r w:rsidRPr="00BA6103">
        <w:rPr>
          <w:b/>
          <w:bCs/>
          <w:color w:val="FF0000"/>
        </w:rPr>
        <w:t>(</w:t>
      </w:r>
      <w:r w:rsidR="00BA6103" w:rsidRPr="00BA6103">
        <w:rPr>
          <w:b/>
          <w:bCs/>
          <w:color w:val="FF0000"/>
        </w:rPr>
        <w:t>4</w:t>
      </w:r>
      <w:r w:rsidRPr="00BA6103">
        <w:rPr>
          <w:b/>
          <w:bCs/>
          <w:color w:val="FF0000"/>
        </w:rPr>
        <w:t>)</w:t>
      </w:r>
    </w:p>
    <w:p w14:paraId="65737F04" w14:textId="01A9FE70" w:rsidR="002D608A" w:rsidRDefault="002D608A" w:rsidP="002D608A">
      <w:pPr>
        <w:pStyle w:val="ListParagraph"/>
        <w:numPr>
          <w:ilvl w:val="0"/>
          <w:numId w:val="12"/>
        </w:numPr>
      </w:pPr>
      <w:r>
        <w:rPr>
          <w:b/>
          <w:bCs/>
        </w:rPr>
        <w:t>Opt. 4:</w:t>
      </w:r>
      <w:r>
        <w:t xml:space="preserve"> QC, HW-HiSi, Nokia/NSB</w:t>
      </w:r>
      <w:r w:rsidR="008528A7">
        <w:t xml:space="preserve"> (1</w:t>
      </w:r>
      <w:r w:rsidR="008528A7" w:rsidRPr="008528A7">
        <w:rPr>
          <w:vertAlign w:val="superscript"/>
        </w:rPr>
        <w:t>st</w:t>
      </w:r>
      <w:r w:rsidR="008528A7">
        <w:t xml:space="preserve"> pref)</w:t>
      </w:r>
      <w:r>
        <w:t>, FTW</w:t>
      </w:r>
      <w:r w:rsidR="008528A7">
        <w:t xml:space="preserve"> (1</w:t>
      </w:r>
      <w:r w:rsidR="008528A7" w:rsidRPr="008528A7">
        <w:rPr>
          <w:vertAlign w:val="superscript"/>
        </w:rPr>
        <w:t>st</w:t>
      </w:r>
      <w:r w:rsidR="008528A7">
        <w:t xml:space="preserve"> pref)</w:t>
      </w:r>
      <w:r>
        <w:t>, Intel (2</w:t>
      </w:r>
      <w:r>
        <w:rPr>
          <w:vertAlign w:val="superscript"/>
        </w:rPr>
        <w:t>nd</w:t>
      </w:r>
      <w:r>
        <w:t xml:space="preserve"> preference) </w:t>
      </w:r>
      <w:r w:rsidRPr="004148CF">
        <w:rPr>
          <w:b/>
          <w:bCs/>
          <w:color w:val="FF0000"/>
        </w:rPr>
        <w:t>(</w:t>
      </w:r>
      <w:r w:rsidR="004148CF" w:rsidRPr="004148CF">
        <w:rPr>
          <w:b/>
          <w:bCs/>
          <w:color w:val="FF0000"/>
        </w:rPr>
        <w:t>5</w:t>
      </w:r>
      <w:r w:rsidRPr="004148CF">
        <w:rPr>
          <w:b/>
          <w:bCs/>
          <w:color w:val="FF0000"/>
        </w:rPr>
        <w:t>)</w:t>
      </w:r>
    </w:p>
    <w:p w14:paraId="1ADCB278" w14:textId="186453E5" w:rsidR="002D608A" w:rsidRDefault="002D608A" w:rsidP="002D608A">
      <w:pPr>
        <w:pStyle w:val="ListParagraph"/>
        <w:numPr>
          <w:ilvl w:val="0"/>
          <w:numId w:val="12"/>
        </w:numPr>
      </w:pPr>
      <w:r>
        <w:rPr>
          <w:b/>
          <w:bCs/>
        </w:rPr>
        <w:t>Up to RAN2:</w:t>
      </w:r>
      <w:r>
        <w:t xml:space="preserve"> </w:t>
      </w:r>
      <w:r w:rsidR="004148CF">
        <w:t>ZTE,</w:t>
      </w:r>
      <w:r w:rsidR="004148CF" w:rsidRPr="004148CF">
        <w:rPr>
          <w:color w:val="FF0000"/>
        </w:rPr>
        <w:t xml:space="preserve"> </w:t>
      </w:r>
      <w:r w:rsidR="00E671D5">
        <w:t>vivo, SPRD, Ericsson</w:t>
      </w:r>
      <w:r w:rsidR="00E00057">
        <w:t xml:space="preserve"> </w:t>
      </w:r>
      <w:r w:rsidRPr="004148CF">
        <w:rPr>
          <w:b/>
          <w:bCs/>
          <w:color w:val="FF0000"/>
        </w:rPr>
        <w:t>(3)</w:t>
      </w:r>
    </w:p>
    <w:p w14:paraId="421E7156" w14:textId="529624A2" w:rsidR="002D608A" w:rsidRDefault="002D608A" w:rsidP="00D240CF">
      <w:r>
        <w:t>Considering the situation above</w:t>
      </w:r>
      <w:r w:rsidR="00D240CF">
        <w:t>, it</w:t>
      </w:r>
      <w:r w:rsidR="003947D3">
        <w:t xml:space="preserve"> can be observed </w:t>
      </w:r>
      <w:r w:rsidR="00D240CF">
        <w:t xml:space="preserve">that </w:t>
      </w:r>
      <w:r w:rsidR="003340E9">
        <w:t>there is no consensus in RAN1</w:t>
      </w:r>
      <w:r w:rsidR="009C7B9A">
        <w:t xml:space="preserve"> to enhance peak rate scaling factors for RedCap UEs. However, as discussed before during GTW session during RAN1 #10</w:t>
      </w:r>
      <w:r w:rsidR="00A37542">
        <w:t>6-e, a formal</w:t>
      </w:r>
      <w:r w:rsidR="009C7B9A">
        <w:t xml:space="preserve"> conclusion </w:t>
      </w:r>
      <w:r w:rsidR="00A70720">
        <w:t>is not made at this point.</w:t>
      </w:r>
    </w:p>
    <w:p w14:paraId="24EEBF85" w14:textId="77777777" w:rsidR="002D608A" w:rsidRDefault="002D608A" w:rsidP="002D608A"/>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Ues. </w:t>
      </w:r>
    </w:p>
    <w:p w14:paraId="68ED4073" w14:textId="77777777" w:rsidR="007A59D0" w:rsidRDefault="0059780D">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Ues.</w:t>
            </w:r>
          </w:p>
        </w:tc>
      </w:tr>
    </w:tbl>
    <w:p w14:paraId="256C96E5" w14:textId="77777777" w:rsidR="007A59D0" w:rsidRDefault="0059780D">
      <w:r>
        <w:t>As such, this feature is associated with support of low-SE MCS table and would be available to RedCap Ues as optional feature unless explicitly precluded. This can be discussed further if necessary, as part of UE capability discussions.</w:t>
      </w:r>
    </w:p>
    <w:p w14:paraId="51E58F54" w14:textId="77777777" w:rsidR="007A59D0" w:rsidRDefault="0059780D">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lastRenderedPageBreak/>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ZTE, Sanechips</w:t>
            </w:r>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lastRenderedPageBreak/>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133CE573" w14:textId="77777777" w:rsidR="007A59D0" w:rsidRDefault="007E3261">
      <w:pPr>
        <w:pStyle w:val="ListParagraph"/>
        <w:numPr>
          <w:ilvl w:val="0"/>
          <w:numId w:val="15"/>
        </w:numPr>
        <w:rPr>
          <w:lang w:eastAsia="zh-CN"/>
        </w:rPr>
      </w:pPr>
      <w:hyperlink r:id="rId12" w:history="1">
        <w:r w:rsidR="0059780D">
          <w:rPr>
            <w:lang w:eastAsia="zh-CN"/>
          </w:rPr>
          <w:t>R1-2106844</w:t>
        </w:r>
      </w:hyperlink>
      <w:r w:rsidR="0059780D">
        <w:rPr>
          <w:lang w:eastAsia="zh-CN"/>
        </w:rPr>
        <w:t>, Discussion on DL MIMO layers for RedCap UEs, ZTE, Sanechips</w:t>
      </w:r>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7E3261">
      <w:pPr>
        <w:pStyle w:val="ListParagraph"/>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1BE02B11" w14:textId="77777777" w:rsidR="007A59D0" w:rsidRDefault="0059780D">
      <w:pPr>
        <w:widowControl w:val="0"/>
        <w:numPr>
          <w:ilvl w:val="0"/>
          <w:numId w:val="15"/>
        </w:numPr>
        <w:overflowPunct w:val="0"/>
        <w:snapToGrid/>
      </w:pPr>
      <w:bookmarkStart w:id="12" w:name="_Ref80031283"/>
      <w:r>
        <w:t>R1-2107077, Design consideration for Higher layer support of RedCap, Sierra Wireless, S.A.</w:t>
      </w:r>
      <w:bookmarkEnd w:id="12"/>
    </w:p>
    <w:p w14:paraId="01E0F74F" w14:textId="77777777" w:rsidR="007A59D0" w:rsidRDefault="0059780D">
      <w:pPr>
        <w:widowControl w:val="0"/>
        <w:numPr>
          <w:ilvl w:val="0"/>
          <w:numId w:val="15"/>
        </w:numPr>
        <w:overflowPunct w:val="0"/>
        <w:snapToGrid/>
      </w:pPr>
      <w:bookmarkStart w:id="13" w:name="_Ref80031285"/>
      <w:r>
        <w:t>R1-2107385, Discussion on scaling factor for RedCap, Spreadtrum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7E3261">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190A3" w14:textId="77777777" w:rsidR="007E3261" w:rsidRDefault="007E3261">
      <w:pPr>
        <w:spacing w:after="0"/>
      </w:pPr>
      <w:r>
        <w:separator/>
      </w:r>
    </w:p>
  </w:endnote>
  <w:endnote w:type="continuationSeparator" w:id="0">
    <w:p w14:paraId="7C799C42" w14:textId="77777777" w:rsidR="007E3261" w:rsidRDefault="007E3261">
      <w:pPr>
        <w:spacing w:after="0"/>
      </w:pPr>
      <w:r>
        <w:continuationSeparator/>
      </w:r>
    </w:p>
  </w:endnote>
  <w:endnote w:type="continuationNotice" w:id="1">
    <w:p w14:paraId="3E0C9BAB" w14:textId="77777777" w:rsidR="007E3261" w:rsidRDefault="007E3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4D27C6F" w14:textId="6EC2CDDB"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152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528">
              <w:rPr>
                <w:b/>
                <w:bCs/>
                <w:noProof/>
              </w:rPr>
              <w:t>12</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9CDD1" w14:textId="77777777" w:rsidR="007E3261" w:rsidRDefault="007E3261">
      <w:pPr>
        <w:spacing w:after="0"/>
      </w:pPr>
      <w:r>
        <w:separator/>
      </w:r>
    </w:p>
  </w:footnote>
  <w:footnote w:type="continuationSeparator" w:id="0">
    <w:p w14:paraId="4D1C212E" w14:textId="77777777" w:rsidR="007E3261" w:rsidRDefault="007E3261">
      <w:pPr>
        <w:spacing w:after="0"/>
      </w:pPr>
      <w:r>
        <w:continuationSeparator/>
      </w:r>
    </w:p>
  </w:footnote>
  <w:footnote w:type="continuationNotice" w:id="1">
    <w:p w14:paraId="4FE90B64" w14:textId="77777777" w:rsidR="007E3261" w:rsidRDefault="007E32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CEF"/>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6ECA"/>
    <w:rsid w:val="0022769E"/>
    <w:rsid w:val="00227FC4"/>
    <w:rsid w:val="00230496"/>
    <w:rsid w:val="00230B13"/>
    <w:rsid w:val="00232853"/>
    <w:rsid w:val="002335A2"/>
    <w:rsid w:val="0023365D"/>
    <w:rsid w:val="002336C0"/>
    <w:rsid w:val="002347E5"/>
    <w:rsid w:val="00234EB8"/>
    <w:rsid w:val="002353EF"/>
    <w:rsid w:val="00235F73"/>
    <w:rsid w:val="0023638F"/>
    <w:rsid w:val="00236939"/>
    <w:rsid w:val="00236A1E"/>
    <w:rsid w:val="00236CE2"/>
    <w:rsid w:val="00237E82"/>
    <w:rsid w:val="00240004"/>
    <w:rsid w:val="00240779"/>
    <w:rsid w:val="002409A2"/>
    <w:rsid w:val="00240A24"/>
    <w:rsid w:val="0024192D"/>
    <w:rsid w:val="00241CB7"/>
    <w:rsid w:val="00242990"/>
    <w:rsid w:val="00242DE8"/>
    <w:rsid w:val="00243397"/>
    <w:rsid w:val="00244677"/>
    <w:rsid w:val="002447F9"/>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08A"/>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0E9"/>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47D3"/>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D"/>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48CF"/>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3FF"/>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C3A"/>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1711"/>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7686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27E"/>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26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6732"/>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8A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819"/>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B9A"/>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B69"/>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9A9"/>
    <w:rsid w:val="00A36D0C"/>
    <w:rsid w:val="00A374F8"/>
    <w:rsid w:val="00A37542"/>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0148"/>
    <w:rsid w:val="00A614DC"/>
    <w:rsid w:val="00A62022"/>
    <w:rsid w:val="00A62BE5"/>
    <w:rsid w:val="00A6379B"/>
    <w:rsid w:val="00A640CA"/>
    <w:rsid w:val="00A64447"/>
    <w:rsid w:val="00A646E0"/>
    <w:rsid w:val="00A664B9"/>
    <w:rsid w:val="00A66BED"/>
    <w:rsid w:val="00A676ED"/>
    <w:rsid w:val="00A67B99"/>
    <w:rsid w:val="00A707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B7E"/>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103"/>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57A"/>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0CF"/>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C7F4E"/>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57"/>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1D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1866"/>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28"/>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280"/>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6CD5"/>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8A"/>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987090">
      <w:bodyDiv w:val="1"/>
      <w:marLeft w:val="0"/>
      <w:marRight w:val="0"/>
      <w:marTop w:val="0"/>
      <w:marBottom w:val="0"/>
      <w:divBdr>
        <w:top w:val="none" w:sz="0" w:space="0" w:color="auto"/>
        <w:left w:val="none" w:sz="0" w:space="0" w:color="auto"/>
        <w:bottom w:val="none" w:sz="0" w:space="0" w:color="auto"/>
        <w:right w:val="none" w:sz="0" w:space="0" w:color="auto"/>
      </w:divBdr>
    </w:div>
    <w:div w:id="1433822860">
      <w:bodyDiv w:val="1"/>
      <w:marLeft w:val="0"/>
      <w:marRight w:val="0"/>
      <w:marTop w:val="0"/>
      <w:marBottom w:val="0"/>
      <w:divBdr>
        <w:top w:val="none" w:sz="0" w:space="0" w:color="auto"/>
        <w:left w:val="none" w:sz="0" w:space="0" w:color="auto"/>
        <w:bottom w:val="none" w:sz="0" w:space="0" w:color="auto"/>
        <w:right w:val="none" w:sz="0" w:space="0" w:color="auto"/>
      </w:divBdr>
    </w:div>
    <w:div w:id="1517887356">
      <w:bodyDiv w:val="1"/>
      <w:marLeft w:val="0"/>
      <w:marRight w:val="0"/>
      <w:marTop w:val="0"/>
      <w:marBottom w:val="0"/>
      <w:divBdr>
        <w:top w:val="none" w:sz="0" w:space="0" w:color="auto"/>
        <w:left w:val="none" w:sz="0" w:space="0" w:color="auto"/>
        <w:bottom w:val="none" w:sz="0" w:space="0" w:color="auto"/>
        <w:right w:val="none" w:sz="0" w:space="0" w:color="auto"/>
      </w:divBdr>
    </w:div>
    <w:div w:id="181135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115F6-FF58-474E-8726-D130A36E6C4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0A79A6E7-DAE9-4CCD-AFA1-E208BB3F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4982</Words>
  <Characters>28401</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26</cp:revision>
  <dcterms:created xsi:type="dcterms:W3CDTF">2021-08-23T08:11:00Z</dcterms:created>
  <dcterms:modified xsi:type="dcterms:W3CDTF">2021-08-25T04:09:00Z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