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r>
              <w:rPr>
                <w:b/>
                <w:bCs/>
                <w:sz w:val="20"/>
                <w:szCs w:val="20"/>
              </w:rPr>
              <w:t>Tdoc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6D287A">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6D287A">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lower values for the scalingFactor</w:t>
            </w:r>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r>
              <w:rPr>
                <w:rFonts w:eastAsia="Malgun Gothic"/>
                <w:i/>
                <w:iCs/>
                <w:lang w:eastAsia="ko-KR"/>
              </w:rPr>
              <w:t>scalingFactor</w:t>
            </w:r>
            <w:r>
              <w:rPr>
                <w:rFonts w:eastAsia="Malgun Gothic"/>
                <w:lang w:eastAsia="ko-KR"/>
              </w:rPr>
              <w:t>) and using the maximum supported modulation order (</w:t>
            </w:r>
            <w:r>
              <w:rPr>
                <w:i/>
                <w:iCs/>
              </w:rPr>
              <w:t>supportedModulationOrderDL</w:t>
            </w:r>
            <w:r>
              <w:t>/</w:t>
            </w:r>
            <w:r>
              <w:rPr>
                <w:i/>
                <w:iCs/>
              </w:rPr>
              <w:t>supportedModulationOrderUL</w:t>
            </w:r>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r>
                    <w:rPr>
                      <w:b/>
                      <w:bCs/>
                      <w:i/>
                      <w:iCs/>
                      <w:lang w:val="en-GB"/>
                    </w:rPr>
                    <w:t>supportedModulationOrderDL</w:t>
                  </w:r>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Pr>
                      <w:rFonts w:ascii="Arial" w:eastAsia="Times New Roman" w:hAnsi="Arial"/>
                      <w:sz w:val="18"/>
                      <w:lang w:val="zh-CN"/>
                    </w:rPr>
                    <w:t>In all the cases, it shall be ensured that the data rate does not exceed the max data rate (</w:t>
                  </w:r>
                  <w:r>
                    <w:rPr>
                      <w:rFonts w:ascii="Arial" w:eastAsia="Times New Roman" w:hAnsi="Arial"/>
                      <w:i/>
                      <w:iCs/>
                      <w:sz w:val="18"/>
                      <w:lang w:val="zh-CN"/>
                    </w:rPr>
                    <w:t>DataRate</w:t>
                  </w:r>
                  <w:r>
                    <w:rPr>
                      <w:rFonts w:ascii="Arial" w:eastAsia="Times New Roman" w:hAnsi="Arial"/>
                      <w:sz w:val="18"/>
                      <w:lang w:val="zh-CN"/>
                    </w:rPr>
                    <w:t>) and max data rate per CC (</w:t>
                  </w:r>
                  <w:r>
                    <w:rPr>
                      <w:rFonts w:ascii="Arial" w:eastAsia="Times New Roman" w:hAnsi="Arial"/>
                      <w:i/>
                      <w:iCs/>
                      <w:sz w:val="18"/>
                      <w:lang w:val="zh-CN"/>
                    </w:rPr>
                    <w:t>DataRateCC</w:t>
                  </w:r>
                  <w:r>
                    <w:rPr>
                      <w:rFonts w:ascii="Arial" w:eastAsia="Times New Roman" w:hAnsi="Arial"/>
                      <w:sz w:val="18"/>
                      <w:lang w:val="zh-CN"/>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u-blox</w:t>
            </w:r>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u-blox</w:t>
      </w:r>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ZTE/Sanechips, Apple</w:t>
      </w:r>
      <w:r>
        <w:rPr>
          <w:color w:val="FF0000"/>
        </w:rPr>
        <w:t>, u-blox</w:t>
      </w:r>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HW-HiSi,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ZTE, Sanechips</w:t>
            </w:r>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bl>
    <w:p w14:paraId="5EC71A27" w14:textId="77777777" w:rsidR="007A59D0" w:rsidRDefault="0059780D">
      <w:r>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Ues. </w:t>
      </w:r>
    </w:p>
    <w:p w14:paraId="68ED4073" w14:textId="77777777" w:rsidR="007A59D0" w:rsidRDefault="0059780D">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Ues.</w:t>
            </w:r>
          </w:p>
        </w:tc>
      </w:tr>
    </w:tbl>
    <w:p w14:paraId="256C96E5" w14:textId="77777777" w:rsidR="007A59D0" w:rsidRDefault="0059780D">
      <w:r>
        <w:t>As such, this feature is associated with support of low-SE MCS table and would be available to RedCap Ues as optional feature unless explicitly precluded. This can be discussed further if necessary, as part of UE capability discussions.</w:t>
      </w:r>
    </w:p>
    <w:p w14:paraId="51E58F54" w14:textId="77777777" w:rsidR="007A59D0" w:rsidRDefault="0059780D">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lastRenderedPageBreak/>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ZTE, Sanechips</w:t>
            </w:r>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lastRenderedPageBreak/>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133CE573" w14:textId="77777777" w:rsidR="007A59D0" w:rsidRDefault="006D287A">
      <w:pPr>
        <w:pStyle w:val="ListParagraph"/>
        <w:numPr>
          <w:ilvl w:val="0"/>
          <w:numId w:val="15"/>
        </w:numPr>
        <w:rPr>
          <w:lang w:eastAsia="zh-CN"/>
        </w:rPr>
      </w:pPr>
      <w:hyperlink r:id="rId12" w:history="1">
        <w:r w:rsidR="0059780D">
          <w:rPr>
            <w:lang w:eastAsia="zh-CN"/>
          </w:rPr>
          <w:t>R1-2106844</w:t>
        </w:r>
      </w:hyperlink>
      <w:r w:rsidR="0059780D">
        <w:rPr>
          <w:lang w:eastAsia="zh-CN"/>
        </w:rPr>
        <w:t>, Discussion on DL MIMO layers for RedCap UEs, ZTE, Sanechips</w:t>
      </w:r>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6D287A">
      <w:pPr>
        <w:pStyle w:val="ListParagraph"/>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1BE02B11" w14:textId="77777777" w:rsidR="007A59D0" w:rsidRDefault="0059780D">
      <w:pPr>
        <w:widowControl w:val="0"/>
        <w:numPr>
          <w:ilvl w:val="0"/>
          <w:numId w:val="15"/>
        </w:numPr>
        <w:overflowPunct w:val="0"/>
        <w:snapToGrid/>
      </w:pPr>
      <w:bookmarkStart w:id="12" w:name="_Ref80031283"/>
      <w:r>
        <w:t>R1-2107077, Design consideration for Higher layer support of RedCap, Sierra Wireless, S.A.</w:t>
      </w:r>
      <w:bookmarkEnd w:id="12"/>
    </w:p>
    <w:p w14:paraId="01E0F74F" w14:textId="77777777" w:rsidR="007A59D0" w:rsidRDefault="0059780D">
      <w:pPr>
        <w:widowControl w:val="0"/>
        <w:numPr>
          <w:ilvl w:val="0"/>
          <w:numId w:val="15"/>
        </w:numPr>
        <w:overflowPunct w:val="0"/>
        <w:snapToGrid/>
      </w:pPr>
      <w:bookmarkStart w:id="13" w:name="_Ref80031285"/>
      <w:r>
        <w:t>R1-2107385, Discussion on scaling factor for RedCap, Spreadtrum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6D287A">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AAB8D" w14:textId="77777777" w:rsidR="0059171C" w:rsidRDefault="0059171C">
      <w:pPr>
        <w:spacing w:after="0"/>
      </w:pPr>
      <w:r>
        <w:separator/>
      </w:r>
    </w:p>
  </w:endnote>
  <w:endnote w:type="continuationSeparator" w:id="0">
    <w:p w14:paraId="310C5074" w14:textId="77777777" w:rsidR="0059171C" w:rsidRDefault="00591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egoe Print"/>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4D27C6F" w14:textId="77777777"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11</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5AD1D" w14:textId="77777777" w:rsidR="0059171C" w:rsidRDefault="0059171C">
      <w:pPr>
        <w:spacing w:after="0"/>
      </w:pPr>
      <w:r>
        <w:separator/>
      </w:r>
    </w:p>
  </w:footnote>
  <w:footnote w:type="continuationSeparator" w:id="0">
    <w:p w14:paraId="78D9621A" w14:textId="77777777" w:rsidR="0059171C" w:rsidRDefault="005917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0626"/>
  <w15:docId w15:val="{A3E40679-7A0F-412C-90F5-8FA08883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189AC-6CC5-4BF8-97D9-3F5DD3DF4AD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4584</Words>
  <Characters>26133</Characters>
  <Application>Microsoft Office Word</Application>
  <DocSecurity>0</DocSecurity>
  <Lines>217</Lines>
  <Paragraphs>61</Paragraphs>
  <ScaleCrop>false</ScaleCrop>
  <Company>Intel Corporation</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Ratasuk, Rapeepat (Nokia - US/Naperville)</cp:lastModifiedBy>
  <cp:revision>8</cp:revision>
  <dcterms:created xsi:type="dcterms:W3CDTF">2021-08-19T17:35:00Z</dcterms:created>
  <dcterms:modified xsi:type="dcterms:W3CDTF">2021-08-19T19:11:00Z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