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R1-21xxxxx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#1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0" w:name="scope"/>
      <w:bookmarkEnd w:id="0"/>
      <w:bookmarkStart w:id="1" w:name="foreword"/>
      <w:bookmarkEnd w:id="1"/>
      <w:bookmarkStart w:id="2" w:name="_Toc42034909"/>
      <w:bookmarkStart w:id="3" w:name="_Toc42211920"/>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FL2</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hint="eastAsia" w:eastAsia="Malgun Gothic"/>
                <w:lang w:eastAsia="ko-KR"/>
              </w:rPr>
            </w:pPr>
            <w:r>
              <w:rPr>
                <w:rFonts w:hint="eastAsia" w:eastAsia="Malgun Gothic"/>
                <w:lang w:eastAsia="ko-KR"/>
              </w:rPr>
              <w:t>Q1: Prefer the existing spec.</w:t>
            </w:r>
          </w:p>
          <w:p>
            <w:pPr>
              <w:rPr>
                <w:rFonts w:hint="eastAsia"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lang w:eastAsia="ko-KR"/>
              </w:rPr>
            </w:pPr>
          </w:p>
        </w:tc>
        <w:tc>
          <w:tcPr>
            <w:tcW w:w="6780" w:type="dxa"/>
          </w:tcPr>
          <w:p>
            <w:pPr>
              <w:numPr>
                <w:ilvl w:val="0"/>
                <w:numId w:val="0"/>
              </w:numPr>
              <w:rPr>
                <w:rFonts w:hint="eastAsia" w:eastAsiaTheme="minorEastAsia"/>
                <w:color w:val="auto"/>
                <w:lang w:val="en-US" w:eastAsia="zh-CN"/>
              </w:rPr>
            </w:pPr>
            <w:r>
              <w:rPr>
                <w:rFonts w:hint="eastAsia" w:eastAsiaTheme="minorEastAsia"/>
                <w:b/>
                <w:bCs/>
                <w:color w:val="auto"/>
                <w:lang w:val="en-US" w:eastAsia="zh-CN"/>
              </w:rPr>
              <w:t>Q1</w:t>
            </w:r>
            <w:r>
              <w:rPr>
                <w:rFonts w:hint="eastAsia" w:eastAsiaTheme="minorEastAsia"/>
                <w:color w:val="auto"/>
                <w:lang w:val="en-US" w:eastAsia="zh-CN"/>
              </w:rPr>
              <w:t xml:space="preserve">: If option1 is adopted, there are more cases need to be addressed beside the aforementioned case, which may requires new UE behavior definition and collision handling rule. For example, the semi-static UL transmission and dynamic UL transmission are located in adjacent symbol (periodicity SRS and dynamic PUSCH). </w:t>
            </w:r>
          </w:p>
          <w:p>
            <w:pPr>
              <w:numPr>
                <w:ilvl w:val="0"/>
                <w:numId w:val="0"/>
              </w:numPr>
              <w:rPr>
                <w:rFonts w:hint="default" w:eastAsiaTheme="minorEastAsia"/>
                <w:color w:val="auto"/>
                <w:lang w:val="en-US" w:eastAsia="zh-CN"/>
              </w:rPr>
            </w:pPr>
            <w:r>
              <w:rPr>
                <w:rFonts w:hint="eastAsia" w:eastAsiaTheme="minorEastAsia"/>
                <w:color w:val="auto"/>
                <w:lang w:val="en-US" w:eastAsia="zh-CN"/>
              </w:rPr>
              <w:t>It is worth to mention that there would not exist the aforementioned scenarios if we prioritize SSB in the connected mode.  Moreover, it is quite important to prioritize for the following benefits:</w:t>
            </w:r>
          </w:p>
          <w:p>
            <w:pPr>
              <w:numPr>
                <w:ilvl w:val="0"/>
                <w:numId w:val="14"/>
              </w:numPr>
              <w:rPr>
                <w:rFonts w:hint="eastAsia" w:eastAsiaTheme="minorEastAsia"/>
                <w:color w:val="auto"/>
                <w:lang w:val="en-US" w:eastAsia="zh-CN"/>
              </w:rPr>
            </w:pPr>
            <w:r>
              <w:rPr>
                <w:rFonts w:hint="eastAsia" w:eastAsiaTheme="minorEastAsia"/>
                <w:color w:val="auto"/>
                <w:lang w:val="en-US" w:eastAsia="zh-CN"/>
              </w:rPr>
              <w:t>deriving updated MIB</w:t>
            </w:r>
          </w:p>
          <w:p>
            <w:pPr>
              <w:numPr>
                <w:ilvl w:val="0"/>
                <w:numId w:val="14"/>
              </w:numPr>
              <w:rPr>
                <w:rFonts w:hint="default" w:eastAsiaTheme="minorEastAsia"/>
                <w:color w:val="auto"/>
                <w:lang w:val="en-US" w:eastAsia="zh-CN"/>
              </w:rPr>
            </w:pPr>
            <w:r>
              <w:rPr>
                <w:rFonts w:hint="eastAsia" w:eastAsiaTheme="minorEastAsia"/>
                <w:color w:val="auto"/>
                <w:lang w:val="en-US" w:eastAsia="zh-CN"/>
              </w:rPr>
              <w:t>RRM measurement</w:t>
            </w:r>
          </w:p>
          <w:p>
            <w:pPr>
              <w:numPr>
                <w:ilvl w:val="0"/>
                <w:numId w:val="14"/>
              </w:numPr>
              <w:rPr>
                <w:rFonts w:hint="eastAsia" w:eastAsiaTheme="minorEastAsia"/>
                <w:color w:val="auto"/>
                <w:lang w:val="en-US" w:eastAsia="zh-CN"/>
              </w:rPr>
            </w:pPr>
            <w:r>
              <w:rPr>
                <w:rFonts w:hint="eastAsia" w:eastAsiaTheme="minorEastAsia"/>
                <w:color w:val="auto"/>
                <w:lang w:val="en-US" w:eastAsia="zh-CN"/>
              </w:rPr>
              <w:t>T/F tracking loop even though no updated MIB is carried on the SSB.</w:t>
            </w:r>
          </w:p>
          <w:p>
            <w:pPr>
              <w:numPr>
                <w:ilvl w:val="0"/>
                <w:numId w:val="0"/>
              </w:numPr>
              <w:rPr>
                <w:rFonts w:hint="default" w:eastAsiaTheme="minorEastAsia"/>
                <w:color w:val="auto"/>
                <w:lang w:val="en-US" w:eastAsia="zh-CN"/>
              </w:rPr>
            </w:pPr>
            <w:r>
              <w:rPr>
                <w:rFonts w:hint="eastAsia" w:eastAsiaTheme="minorEastAsia"/>
                <w:color w:val="auto"/>
                <w:lang w:val="en-US" w:eastAsia="zh-CN"/>
              </w:rPr>
              <w:t>Therefore, in connected mode, prioritizing  SSB should be adopted to avoid discussing the complex collision scenarios or new UE behavior, and obtain the aforementioned benefits.</w:t>
            </w:r>
          </w:p>
          <w:p>
            <w:pPr>
              <w:numPr>
                <w:ilvl w:val="0"/>
                <w:numId w:val="0"/>
              </w:numPr>
              <w:rPr>
                <w:rFonts w:hint="default" w:cs="Times New Roman" w:eastAsiaTheme="minorEastAsia"/>
                <w:color w:val="auto"/>
                <w:sz w:val="20"/>
                <w:szCs w:val="20"/>
                <w:lang w:val="en-US" w:eastAsia="zh-CN"/>
              </w:rPr>
            </w:pPr>
            <w:r>
              <w:rPr>
                <w:rFonts w:hint="eastAsia" w:eastAsiaTheme="minorEastAsia"/>
                <w:b/>
                <w:bCs/>
                <w:color w:val="auto"/>
                <w:lang w:val="en-US" w:eastAsia="zh-CN"/>
              </w:rPr>
              <w:t>Q2</w:t>
            </w:r>
            <w:r>
              <w:rPr>
                <w:rFonts w:hint="eastAsia" w:eastAsiaTheme="minorEastAsia"/>
                <w:color w:val="auto"/>
                <w:lang w:val="en-US" w:eastAsia="zh-CN"/>
              </w:rPr>
              <w:t>:If the collision is</w:t>
            </w:r>
            <w:r>
              <w:rPr>
                <w:rFonts w:ascii="Times New Roman" w:hAnsi="Times New Roman" w:cs="Times New Roman" w:eastAsiaTheme="minorEastAsia"/>
                <w:color w:val="auto"/>
                <w:sz w:val="20"/>
                <w:szCs w:val="20"/>
                <w:lang w:val="en-GB" w:eastAsia="zh-CN"/>
              </w:rPr>
              <w:t xml:space="preserve"> considered as an error case</w:t>
            </w:r>
            <w:r>
              <w:rPr>
                <w:rFonts w:hint="eastAsia" w:cs="Times New Roman" w:eastAsiaTheme="minorEastAsia"/>
                <w:color w:val="auto"/>
                <w:sz w:val="20"/>
                <w:szCs w:val="20"/>
                <w:lang w:val="en-US" w:eastAsia="zh-CN"/>
              </w:rPr>
              <w:t>, the limits for gNB scheduler would be quite strict at least during RACH procedure. For example, in the case that RedCap UE identification is not configured, non-RedCap UE scheduling also would be limited, because gNB need to avoid the collision by scheduling for all the UEs. If the collision happens, HD-FDD RedCap UE would view it as  the error case and further would not transmit msg3/PUCCH for msg4, which would have an serious impact on the UE access and further cause more serious congestion with non-RedCap UE.</w:t>
            </w:r>
          </w:p>
          <w:p>
            <w:pPr>
              <w:numPr>
                <w:ilvl w:val="0"/>
                <w:numId w:val="0"/>
              </w:numPr>
              <w:rPr>
                <w:rFonts w:hint="eastAsia" w:cs="Times New Roman" w:eastAsiaTheme="minorEastAsia"/>
                <w:color w:val="auto"/>
                <w:sz w:val="20"/>
                <w:szCs w:val="20"/>
                <w:lang w:val="en-US" w:eastAsia="zh-CN"/>
              </w:rPr>
            </w:pPr>
            <w:r>
              <w:rPr>
                <w:rFonts w:hint="eastAsia" w:cs="Times New Roman" w:eastAsiaTheme="minorEastAsia"/>
                <w:color w:val="auto"/>
                <w:sz w:val="20"/>
                <w:szCs w:val="20"/>
                <w:lang w:val="en-US" w:eastAsia="zh-CN"/>
              </w:rPr>
              <w:t xml:space="preserve">So, option 4 is not acceptable. </w:t>
            </w:r>
          </w:p>
          <w:p>
            <w:pPr>
              <w:numPr>
                <w:ilvl w:val="0"/>
                <w:numId w:val="0"/>
              </w:numPr>
              <w:rPr>
                <w:rFonts w:hint="default"/>
                <w:lang w:val="en-US" w:eastAsia="zh-CN"/>
              </w:rPr>
            </w:pPr>
            <w:r>
              <w:rPr>
                <w:rFonts w:hint="eastAsia" w:cs="Times New Roman" w:eastAsiaTheme="minorEastAsia"/>
                <w:b/>
                <w:bCs/>
                <w:sz w:val="20"/>
                <w:szCs w:val="20"/>
                <w:lang w:val="en-US" w:eastAsia="zh-CN"/>
              </w:rPr>
              <w:t>Q3</w:t>
            </w:r>
            <w:r>
              <w:rPr>
                <w:rFonts w:hint="eastAsia" w:cs="Times New Roman" w:eastAsiaTheme="minorEastAsia"/>
                <w:sz w:val="20"/>
                <w:szCs w:val="20"/>
                <w:lang w:val="en-US" w:eastAsia="zh-CN"/>
              </w:rPr>
              <w:t xml:space="preserve">: </w:t>
            </w:r>
            <w:r>
              <w:rPr>
                <w:rFonts w:hint="eastAsia" w:cs="Times New Roman" w:eastAsiaTheme="minorEastAsia"/>
                <w:color w:val="auto"/>
                <w:sz w:val="20"/>
                <w:szCs w:val="20"/>
                <w:lang w:val="en-US" w:eastAsia="zh-CN"/>
              </w:rPr>
              <w:t xml:space="preserve">To reduce the impact of UL transmission overlapping with SSB, and avoid interrupting RACH procedure, </w:t>
            </w:r>
            <w:r>
              <w:rPr>
                <w:rFonts w:hint="eastAsia"/>
                <w:lang w:val="en-US" w:eastAsia="zh-CN"/>
              </w:rPr>
              <w:t>a compromised proposal by combing option1 and option2 can be considered as following:</w:t>
            </w:r>
          </w:p>
          <w:p>
            <w:pPr>
              <w:numPr>
                <w:ilvl w:val="0"/>
                <w:numId w:val="0"/>
              </w:numPr>
              <w:rPr>
                <w:rFonts w:eastAsia="Malgun Gothic"/>
                <w:lang w:eastAsia="ko-KR"/>
              </w:rPr>
            </w:pPr>
            <w:r>
              <w:rPr>
                <w:rFonts w:hint="eastAsia"/>
                <w:lang w:val="en-US" w:eastAsia="zh-CN"/>
              </w:rPr>
              <w:t>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tc>
      </w:tr>
    </w:tbl>
    <w:p>
      <w:pPr>
        <w:spacing w:after="100" w:afterAutospacing="1"/>
        <w:jc w:val="both"/>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p>
      <w:pPr>
        <w:jc w:val="both"/>
        <w:rPr>
          <w:lang w:eastAsia="ja-JP"/>
        </w:rPr>
      </w:pP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lang w:eastAsia="ko-KR"/>
              </w:rPr>
            </w:pPr>
            <w:r>
              <w:rPr>
                <w:rFonts w:hint="eastAsia"/>
                <w:lang w:eastAsia="ko-KR"/>
              </w:rPr>
              <w:t>Samsung</w:t>
            </w:r>
          </w:p>
        </w:tc>
        <w:tc>
          <w:tcPr>
            <w:tcW w:w="1372" w:type="dxa"/>
          </w:tcPr>
          <w:p>
            <w:pPr>
              <w:tabs>
                <w:tab w:val="left" w:pos="551"/>
              </w:tabs>
              <w:rPr>
                <w:rFonts w:hint="eastAsia"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4" w:name="_Toc68614648"/>
      <w:bookmarkEnd w:id="4"/>
      <w:bookmarkStart w:id="5" w:name="_Toc68643018"/>
      <w:bookmarkEnd w:id="5"/>
      <w:bookmarkStart w:id="6" w:name="_Toc68638518"/>
      <w:bookmarkEnd w:id="6"/>
      <w:bookmarkStart w:id="7" w:name="_Toc68642591"/>
      <w:bookmarkEnd w:id="7"/>
      <w:bookmarkStart w:id="8" w:name="_Toc68642855"/>
      <w:bookmarkEnd w:id="8"/>
      <w:bookmarkStart w:id="9" w:name="_Toc68640924"/>
      <w:bookmarkEnd w:id="9"/>
      <w:bookmarkStart w:id="10" w:name="_Toc68640608"/>
      <w:bookmarkEnd w:id="10"/>
      <w:bookmarkStart w:id="11" w:name="_Toc68640752"/>
      <w:bookmarkEnd w:id="11"/>
      <w:bookmarkStart w:id="12" w:name="_Toc68638685"/>
      <w:bookmarkEnd w:id="12"/>
      <w:bookmarkStart w:id="13" w:name="_Toc68642472"/>
      <w:bookmarkEnd w:id="13"/>
      <w:bookmarkStart w:id="14" w:name="_Toc68640491"/>
      <w:bookmarkEnd w:id="14"/>
      <w:bookmarkStart w:id="15" w:name="_Toc68638500"/>
      <w:bookmarkEnd w:id="15"/>
      <w:bookmarkStart w:id="16" w:name="_Toc68606813"/>
      <w:bookmarkEnd w:id="16"/>
      <w:bookmarkStart w:id="17" w:name="_Toc68638586"/>
      <w:bookmarkEnd w:id="17"/>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16"/>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16"/>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16"/>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18"/>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18"/>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18"/>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eastAsia="ko-KR"/>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casue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19"/>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19"/>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19"/>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19"/>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hint="eastAsia"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hint="eastAsia"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hint="default" w:eastAsia="宋体"/>
                <w:lang w:val="en-US" w:eastAsia="zh-CN"/>
              </w:rPr>
            </w:pPr>
            <w:r>
              <w:rPr>
                <w:rFonts w:hint="eastAsia" w:eastAsia="宋体"/>
                <w:lang w:val="en-US" w:eastAsia="zh-CN"/>
              </w:rPr>
              <w:t>ZTE, Sanechips</w:t>
            </w:r>
          </w:p>
        </w:tc>
        <w:tc>
          <w:tcPr>
            <w:tcW w:w="720" w:type="dxa"/>
          </w:tcPr>
          <w:p>
            <w:pPr>
              <w:tabs>
                <w:tab w:val="left" w:pos="551"/>
              </w:tabs>
              <w:rPr>
                <w:color w:val="auto"/>
                <w:lang w:eastAsia="ko-KR"/>
              </w:rPr>
            </w:pPr>
          </w:p>
        </w:tc>
        <w:tc>
          <w:tcPr>
            <w:tcW w:w="7858" w:type="dxa"/>
          </w:tcPr>
          <w:p>
            <w:pPr>
              <w:rPr>
                <w:rFonts w:hint="eastAsia" w:eastAsiaTheme="minorEastAsia"/>
                <w:color w:val="auto"/>
                <w:lang w:val="en-US" w:eastAsia="zh-CN"/>
              </w:rPr>
            </w:pPr>
            <w:r>
              <w:rPr>
                <w:rFonts w:hint="eastAsia" w:eastAsiaTheme="minorEastAsia"/>
                <w:color w:val="auto"/>
                <w:lang w:val="en-US" w:eastAsia="zh-CN"/>
              </w:rPr>
              <w:t>Q1:</w:t>
            </w:r>
          </w:p>
          <w:p>
            <w:pPr>
              <w:rPr>
                <w:rFonts w:hint="eastAsia" w:eastAsia="Malgun Gothic"/>
                <w:color w:val="auto"/>
                <w:lang w:eastAsia="ko-KR"/>
              </w:rPr>
            </w:pPr>
            <w:r>
              <w:rPr>
                <w:rFonts w:hint="eastAsia" w:eastAsiaTheme="minorEastAsia"/>
                <w:color w:val="auto"/>
                <w:lang w:val="en-US" w:eastAsia="zh-CN"/>
              </w:rPr>
              <w:t>For Alt-c, that UE receive the SSB or send the preamble, would not have an impact on the SSB transmission and preamble detection for the gNB. It is OK to support Alt-c.</w:t>
            </w:r>
            <w:r>
              <w:rPr>
                <w:rFonts w:hint="eastAsia" w:eastAsia="宋体"/>
                <w:color w:val="auto"/>
                <w:lang w:val="en-US" w:eastAsia="zh-CN"/>
              </w:rPr>
              <w:t xml:space="preserve"> </w:t>
            </w:r>
          </w:p>
        </w:tc>
      </w:tr>
    </w:tbl>
    <w:p>
      <w:pPr>
        <w:tabs>
          <w:tab w:val="left" w:pos="1410"/>
        </w:tabs>
        <w:spacing w:after="100" w:afterAutospacing="1"/>
        <w:jc w:val="both"/>
        <w:rPr>
          <w:rFonts w:ascii="Times" w:hAnsi="Times"/>
          <w:lang w:val="sv-SE"/>
        </w:rPr>
      </w:pPr>
    </w:p>
    <w:p>
      <w:pPr>
        <w:tabs>
          <w:tab w:val="left" w:pos="1410"/>
        </w:tabs>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0"/>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0"/>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0"/>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0"/>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0"/>
              </w:numPr>
              <w:spacing w:after="0" w:line="252" w:lineRule="auto"/>
              <w:rPr>
                <w:rFonts w:eastAsia="Times New Roman"/>
              </w:rPr>
            </w:pPr>
            <w:r>
              <w:rPr>
                <w:rFonts w:eastAsia="Times New Roman"/>
              </w:rPr>
              <w:t>Option 4: Configured PDCCH is prioritized over valid RO</w:t>
            </w:r>
          </w:p>
          <w:p>
            <w:pPr>
              <w:numPr>
                <w:ilvl w:val="1"/>
                <w:numId w:val="20"/>
              </w:numPr>
              <w:spacing w:after="0" w:line="252" w:lineRule="auto"/>
              <w:rPr>
                <w:rFonts w:eastAsia="Times New Roman"/>
              </w:rPr>
            </w:pPr>
            <w:r>
              <w:rPr>
                <w:rFonts w:eastAsia="Times New Roman"/>
              </w:rPr>
              <w:t>Option 5: Configured by network, e.g. via a priority indicator</w:t>
            </w:r>
          </w:p>
          <w:p>
            <w:pPr>
              <w:numPr>
                <w:ilvl w:val="1"/>
                <w:numId w:val="20"/>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0"/>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0"/>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hint="eastAsia"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hint="eastAsia"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top"/>
          </w:tcPr>
          <w:p>
            <w:pPr>
              <w:rPr>
                <w:rFonts w:hint="eastAsia" w:ascii="Times New Roman" w:hAnsi="Times New Roman" w:eastAsia="宋体" w:cs="Times New Roman"/>
                <w:color w:val="auto"/>
                <w:lang w:val="en-US" w:eastAsia="ko-KR" w:bidi="ar-SA"/>
              </w:rPr>
            </w:pPr>
            <w:r>
              <w:rPr>
                <w:rFonts w:eastAsia="宋体"/>
                <w:color w:val="auto"/>
                <w:lang w:val="en-US" w:eastAsia="zh-CN"/>
              </w:rPr>
              <w:t>ZTE,Sanechips</w:t>
            </w:r>
          </w:p>
        </w:tc>
        <w:tc>
          <w:tcPr>
            <w:tcW w:w="1576" w:type="dxa"/>
            <w:gridSpan w:val="2"/>
            <w:vAlign w:val="top"/>
          </w:tcPr>
          <w:p>
            <w:pPr>
              <w:tabs>
                <w:tab w:val="left" w:pos="551"/>
              </w:tabs>
              <w:rPr>
                <w:rFonts w:hint="eastAsia" w:ascii="Times New Roman" w:hAnsi="Times New Roman" w:eastAsia="宋体" w:cs="Times New Roman"/>
                <w:color w:val="auto"/>
                <w:lang w:val="en-US" w:eastAsia="ja-JP" w:bidi="ar-SA"/>
              </w:rPr>
            </w:pPr>
            <w:r>
              <w:rPr>
                <w:rFonts w:hint="eastAsia" w:eastAsia="宋体"/>
                <w:color w:val="auto"/>
                <w:lang w:val="en-US" w:eastAsia="zh-CN"/>
              </w:rPr>
              <w:t>N</w:t>
            </w:r>
          </w:p>
        </w:tc>
        <w:tc>
          <w:tcPr>
            <w:tcW w:w="6597" w:type="dxa"/>
            <w:vAlign w:val="top"/>
          </w:tcPr>
          <w:p>
            <w:pPr>
              <w:rPr>
                <w:rFonts w:hint="eastAsia" w:eastAsia="宋体"/>
                <w:color w:val="auto"/>
                <w:lang w:val="en-US" w:eastAsia="zh-CN"/>
              </w:rPr>
            </w:pPr>
            <w:r>
              <w:rPr>
                <w:rFonts w:hint="eastAsia" w:eastAsia="宋体"/>
                <w:color w:val="auto"/>
                <w:lang w:val="en-US" w:eastAsia="zh-CN"/>
              </w:rPr>
              <w:t>For option2 with UE implementation,  it can not guarantee that UE keep monitoring the PDCCH, which may cause the PDCCH resource wasting and useless resource occupation in the NW.</w:t>
            </w:r>
          </w:p>
          <w:p>
            <w:pPr>
              <w:rPr>
                <w:rFonts w:hint="default" w:eastAsia="宋体"/>
                <w:color w:val="auto"/>
                <w:lang w:val="en-US" w:eastAsia="ko-KR"/>
              </w:rPr>
            </w:pPr>
            <w:r>
              <w:rPr>
                <w:rFonts w:hint="eastAsia" w:eastAsia="宋体"/>
                <w:color w:val="auto"/>
                <w:lang w:val="en-US" w:eastAsia="zh-CN"/>
              </w:rPr>
              <w:t xml:space="preserve">Therefore, for the case that UE does not send a preamble on the RO, the PDCCH detection should be specified. </w:t>
            </w:r>
          </w:p>
        </w:tc>
      </w:tr>
    </w:tbl>
    <w:p>
      <w:pPr>
        <w:spacing w:after="100" w:afterAutospacing="1"/>
        <w:jc w:val="both"/>
        <w:rPr>
          <w:rFonts w:ascii="Times" w:hAnsi="Times"/>
        </w:rPr>
      </w:pPr>
    </w:p>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2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2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hint="eastAsia"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rPr>
            </w:pPr>
          </w:p>
        </w:tc>
        <w:tc>
          <w:tcPr>
            <w:tcW w:w="6780" w:type="dxa"/>
          </w:tcPr>
          <w:p>
            <w:pPr>
              <w:rPr>
                <w:rFonts w:hint="eastAsia" w:eastAsia="宋体"/>
                <w:lang w:val="en-US" w:eastAsia="zh-CN"/>
              </w:rPr>
            </w:pPr>
            <w:r>
              <w:rPr>
                <w:rFonts w:hint="eastAsia" w:eastAsia="Malgun Gothic"/>
                <w:lang w:eastAsia="ko-KR"/>
              </w:rPr>
              <w:t xml:space="preserve">@FL, </w:t>
            </w:r>
            <w:r>
              <w:rPr>
                <w:rFonts w:hint="eastAsia" w:eastAsia="宋体"/>
                <w:lang w:val="en-US" w:eastAsia="zh-CN"/>
              </w:rPr>
              <w:t xml:space="preserve">our proposal is not covered by option2. </w:t>
            </w:r>
          </w:p>
          <w:p>
            <w:pPr>
              <w:rPr>
                <w:rFonts w:hint="default" w:eastAsia="宋体"/>
                <w:color w:val="auto"/>
                <w:lang w:val="en-US" w:eastAsia="zh-CN"/>
              </w:rPr>
            </w:pPr>
            <w:r>
              <w:rPr>
                <w:rFonts w:hint="eastAsia" w:eastAsia="宋体"/>
                <w:color w:val="auto"/>
                <w:lang w:val="en-US" w:eastAsia="zh-CN"/>
              </w:rPr>
              <w:t xml:space="preserve">For option2 with UE implementation,  it can not guarantee that UE keep receiving UE-dedicated configured DL transmission, which may cause the DL resource wasting and useless resource occupation in the NW. </w:t>
            </w:r>
            <w:r>
              <w:rPr>
                <w:rFonts w:hint="eastAsia" w:eastAsia="宋体"/>
                <w:lang w:val="en-US" w:eastAsia="zh-CN"/>
              </w:rPr>
              <w:t>For our proposal, we need to specify that UE need to receive</w:t>
            </w:r>
            <w:r>
              <w:rPr>
                <w:rFonts w:hint="eastAsia" w:eastAsia="宋体"/>
                <w:color w:val="auto"/>
                <w:lang w:val="en-US" w:eastAsia="zh-CN"/>
              </w:rPr>
              <w:t xml:space="preserve"> UE-dedicated configured DL transmission when UE does not send a preamble on the RO, to avoid the unexpected UE behaviour.</w:t>
            </w:r>
          </w:p>
          <w:p>
            <w:pPr>
              <w:rPr>
                <w:rFonts w:hint="eastAsia" w:eastAsia="宋体"/>
                <w:color w:val="auto"/>
                <w:lang w:val="en-US" w:eastAsia="zh-CN"/>
              </w:rPr>
            </w:pPr>
          </w:p>
          <w:p>
            <w:pPr>
              <w:rPr>
                <w:rFonts w:hint="eastAsia" w:cs="Times New Roman" w:eastAsiaTheme="minorEastAsia"/>
                <w:color w:val="auto"/>
                <w:sz w:val="20"/>
                <w:szCs w:val="20"/>
                <w:lang w:val="en-US" w:eastAsia="zh-CN"/>
              </w:rPr>
            </w:pPr>
            <w:r>
              <w:rPr>
                <w:rFonts w:hint="eastAsia" w:eastAsia="宋体"/>
                <w:color w:val="auto"/>
                <w:lang w:val="en-US" w:eastAsia="zh-CN"/>
              </w:rPr>
              <w:t>For option4, i</w:t>
            </w:r>
            <w:r>
              <w:rPr>
                <w:rFonts w:hint="eastAsia" w:eastAsiaTheme="minorEastAsia"/>
                <w:color w:val="auto"/>
                <w:lang w:val="en-US" w:eastAsia="zh-CN"/>
              </w:rPr>
              <w:t>f the collision is</w:t>
            </w:r>
            <w:r>
              <w:rPr>
                <w:rFonts w:ascii="Times New Roman" w:hAnsi="Times New Roman" w:cs="Times New Roman" w:eastAsiaTheme="minorEastAsia"/>
                <w:color w:val="auto"/>
                <w:sz w:val="20"/>
                <w:szCs w:val="20"/>
                <w:lang w:val="en-GB" w:eastAsia="zh-CN"/>
              </w:rPr>
              <w:t xml:space="preserve"> considered as an error case</w:t>
            </w:r>
            <w:r>
              <w:rPr>
                <w:rFonts w:hint="eastAsia" w:cs="Times New Roman" w:eastAsiaTheme="minorEastAsia"/>
                <w:color w:val="auto"/>
                <w:sz w:val="20"/>
                <w:szCs w:val="20"/>
                <w:lang w:val="en-US" w:eastAsia="zh-CN"/>
              </w:rPr>
              <w:t xml:space="preserve">, the limits for gNB scheduler would be strict especially for msg4 scheduling and corresponding PDCCH. </w:t>
            </w:r>
          </w:p>
          <w:p>
            <w:pPr>
              <w:rPr>
                <w:rFonts w:hint="default" w:eastAsia="宋体"/>
                <w:color w:val="auto"/>
                <w:lang w:val="en-US" w:eastAsia="zh-CN"/>
              </w:rPr>
            </w:pPr>
            <w:r>
              <w:rPr>
                <w:rFonts w:hint="eastAsia" w:cs="Times New Roman" w:eastAsiaTheme="minorEastAsia"/>
                <w:color w:val="auto"/>
                <w:sz w:val="20"/>
                <w:szCs w:val="20"/>
                <w:lang w:val="en-US" w:eastAsia="zh-CN"/>
              </w:rPr>
              <w:t xml:space="preserve">For example, in the case that RedCap UE identification is not configured, non-RedCap UE scheduling also would be limited, because gNB need to avoid the collision by scheduling for all the UEs. If the collision happens, HD-FDD RedCap UE would view it as  the error case and further would not receive msg4 and corresponding PDCCH, which would have an serious impact on the UE access and further cause more serious congestion with non-RedCap UE. So, option 4 is not acceptable. </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2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2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2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2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2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2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23"/>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hint="eastAsia" w:eastAsia="Malgun Gothic"/>
                <w:lang w:eastAsia="ko-KR"/>
              </w:rPr>
              <w:t>Samsung</w:t>
            </w:r>
          </w:p>
        </w:tc>
        <w:tc>
          <w:tcPr>
            <w:tcW w:w="1372" w:type="dxa"/>
          </w:tcPr>
          <w:p>
            <w:pPr>
              <w:tabs>
                <w:tab w:val="left" w:pos="551"/>
              </w:tabs>
              <w:rPr>
                <w:rFonts w:hint="eastAsia"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color w:val="auto"/>
                <w:lang w:val="en-GB" w:eastAsia="ko-KR" w:bidi="ar-SA"/>
              </w:rPr>
            </w:pPr>
            <w:r>
              <w:rPr>
                <w:rFonts w:eastAsia="宋体"/>
                <w:color w:val="auto"/>
                <w:lang w:val="en-US" w:eastAsia="zh-CN"/>
              </w:rPr>
              <w:t>ZTE, Sanechips</w:t>
            </w:r>
          </w:p>
        </w:tc>
        <w:tc>
          <w:tcPr>
            <w:tcW w:w="1372" w:type="dxa"/>
            <w:vAlign w:val="top"/>
          </w:tcPr>
          <w:p>
            <w:pPr>
              <w:tabs>
                <w:tab w:val="left" w:pos="551"/>
              </w:tabs>
              <w:rPr>
                <w:rFonts w:hint="eastAsia" w:ascii="Times New Roman" w:hAnsi="Times New Roman" w:eastAsia="Malgun Gothic" w:cs="Times New Roman"/>
                <w:color w:val="auto"/>
                <w:lang w:val="en-GB" w:eastAsia="ko-KR" w:bidi="ar-SA"/>
              </w:rPr>
            </w:pPr>
          </w:p>
        </w:tc>
        <w:tc>
          <w:tcPr>
            <w:tcW w:w="6780" w:type="dxa"/>
            <w:vAlign w:val="top"/>
          </w:tcPr>
          <w:p>
            <w:pPr>
              <w:rPr>
                <w:rFonts w:hint="eastAsia" w:eastAsia="宋体" w:cs="Times New Roman"/>
                <w:sz w:val="20"/>
                <w:szCs w:val="20"/>
                <w:lang w:val="en-US" w:eastAsia="zh-CN"/>
              </w:rPr>
            </w:pPr>
            <w:r>
              <w:rPr>
                <w:rFonts w:hint="eastAsia" w:eastAsiaTheme="minorEastAsia"/>
                <w:color w:val="auto"/>
                <w:lang w:val="en-US" w:eastAsia="zh-CN"/>
              </w:rPr>
              <w:t xml:space="preserve">From our understanding, this proposal is based on that the valid RO is prioritized. It is suggested to wait for the </w:t>
            </w:r>
            <w:r>
              <w:rPr>
                <w:rFonts w:eastAsiaTheme="minorEastAsia"/>
                <w:color w:val="auto"/>
              </w:rPr>
              <w:t xml:space="preserve">discussions </w:t>
            </w:r>
            <w:r>
              <w:rPr>
                <w:rFonts w:hint="eastAsia" w:eastAsiaTheme="minorEastAsia"/>
                <w:color w:val="auto"/>
                <w:lang w:val="en-US" w:eastAsia="zh-CN"/>
              </w:rPr>
              <w:t xml:space="preserve">on collision handling rules  for valid RO. For example, if </w:t>
            </w:r>
            <w:r>
              <w:rPr>
                <w:rFonts w:ascii="Times New Roman" w:hAnsi="Times New Roman" w:cs="Times New Roman"/>
                <w:sz w:val="20"/>
                <w:szCs w:val="20"/>
              </w:rPr>
              <w:t>semi-static or dynamic DL reception</w:t>
            </w:r>
            <w:r>
              <w:rPr>
                <w:rFonts w:hint="eastAsia" w:eastAsia="宋体" w:cs="Times New Roman"/>
                <w:sz w:val="20"/>
                <w:szCs w:val="20"/>
                <w:lang w:val="en-US" w:eastAsia="zh-CN"/>
              </w:rPr>
              <w:t xml:space="preserve"> </w:t>
            </w:r>
            <w:r>
              <w:rPr>
                <w:rFonts w:hint="eastAsia" w:eastAsiaTheme="minorEastAsia"/>
                <w:color w:val="auto"/>
                <w:lang w:val="en-US" w:eastAsia="zh-CN"/>
              </w:rPr>
              <w:t>is prioritized or UE implementation is adopted, then</w:t>
            </w:r>
            <w:r>
              <w:rPr>
                <w:rFonts w:ascii="Times New Roman" w:hAnsi="Times New Roman" w:cs="Times New Roman"/>
                <w:sz w:val="20"/>
                <w:szCs w:val="20"/>
              </w:rPr>
              <w:t xml:space="preserve"> </w:t>
            </w:r>
            <w:r>
              <w:rPr>
                <w:rFonts w:hint="eastAsia" w:eastAsia="宋体" w:cs="Times New Roman"/>
                <w:sz w:val="20"/>
                <w:szCs w:val="20"/>
                <w:lang w:val="en-US" w:eastAsia="zh-CN"/>
              </w:rPr>
              <w:t xml:space="preserve">this proposal is not appropriate.  </w:t>
            </w:r>
          </w:p>
          <w:p>
            <w:pPr>
              <w:rPr>
                <w:rFonts w:hint="eastAsia" w:eastAsia="宋体" w:cs="Times New Roman"/>
                <w:sz w:val="20"/>
                <w:szCs w:val="20"/>
                <w:lang w:val="en-US" w:eastAsia="zh-CN"/>
              </w:rPr>
            </w:pPr>
            <w:r>
              <w:rPr>
                <w:rFonts w:hint="eastAsia" w:eastAsia="宋体" w:cs="Times New Roman"/>
                <w:sz w:val="20"/>
                <w:szCs w:val="20"/>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rPr>
                <w:rFonts w:ascii="Times New Roman" w:hAnsi="Times New Roman" w:cs="Times New Roman"/>
                <w:sz w:val="20"/>
                <w:szCs w:val="20"/>
              </w:rPr>
              <w:t>semi-static or dynamic DL reception</w:t>
            </w:r>
            <w:r>
              <w:rPr>
                <w:rFonts w:hint="eastAsia" w:eastAsia="宋体" w:cs="Times New Roman"/>
                <w:sz w:val="20"/>
                <w:szCs w:val="20"/>
                <w:lang w:val="en-US" w:eastAsia="zh-CN"/>
              </w:rPr>
              <w:t xml:space="preserve">. Moreover, the </w:t>
            </w:r>
            <w:r>
              <w:rPr>
                <w:rFonts w:ascii="Times New Roman" w:hAnsi="Times New Roman" w:cs="Times New Roman"/>
                <w:sz w:val="20"/>
                <w:szCs w:val="20"/>
              </w:rPr>
              <w:t>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w:t>
            </w:r>
            <w:r>
              <w:rPr>
                <w:rFonts w:hint="eastAsia" w:eastAsia="宋体" w:cs="Times New Roman"/>
                <w:sz w:val="20"/>
                <w:szCs w:val="20"/>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FL2 High Priority Proposal 3.5-1</w:t>
            </w:r>
            <w:r>
              <w:rPr>
                <w:b/>
                <w:bCs/>
                <w:highlight w:val="yellow"/>
              </w:rPr>
              <w:t>:</w:t>
            </w:r>
          </w:p>
          <w:p>
            <w:pPr>
              <w:pStyle w:val="46"/>
              <w:numPr>
                <w:ilvl w:val="0"/>
                <w:numId w:val="2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on which preamble is sent</w:t>
            </w:r>
          </w:p>
          <w:p>
            <w:pPr>
              <w:pStyle w:val="46"/>
              <w:numPr>
                <w:ilvl w:val="1"/>
                <w:numId w:val="23"/>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rPr>
                <w:rFonts w:hint="default" w:eastAsia="宋体" w:cs="Times New Roman"/>
                <w:sz w:val="20"/>
                <w:szCs w:val="20"/>
                <w:lang w:val="en-US" w:eastAsia="zh-CN"/>
              </w:rPr>
            </w:pP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5"/>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2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2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hint="eastAsia"/>
                <w:lang w:eastAsia="ko-KR"/>
              </w:rPr>
            </w:pPr>
            <w:r>
              <w:rPr>
                <w:lang w:eastAsia="ko-KR"/>
              </w:rPr>
              <w:t>We are fine with the FL’s proposal. We also share other companies’ view that UE behaviour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color w:val="auto"/>
                <w:lang w:val="en-GB" w:eastAsia="ko-KR" w:bidi="ar-SA"/>
              </w:rPr>
            </w:pPr>
            <w:r>
              <w:rPr>
                <w:rFonts w:eastAsia="宋体"/>
                <w:color w:val="auto"/>
                <w:lang w:val="en-US" w:eastAsia="zh-CN"/>
              </w:rPr>
              <w:t>ZTE, Sanechips</w:t>
            </w:r>
          </w:p>
        </w:tc>
        <w:tc>
          <w:tcPr>
            <w:tcW w:w="1372" w:type="dxa"/>
            <w:vAlign w:val="top"/>
          </w:tcPr>
          <w:p>
            <w:pPr>
              <w:tabs>
                <w:tab w:val="left" w:pos="551"/>
              </w:tabs>
              <w:rPr>
                <w:rFonts w:ascii="Times New Roman" w:hAnsi="Times New Roman" w:cs="Times New Roman" w:eastAsiaTheme="minorEastAsia"/>
                <w:color w:val="auto"/>
                <w:lang w:val="en-GB" w:eastAsia="en-US" w:bidi="ar-SA"/>
              </w:rPr>
            </w:pPr>
          </w:p>
        </w:tc>
        <w:tc>
          <w:tcPr>
            <w:tcW w:w="6780" w:type="dxa"/>
            <w:vAlign w:val="top"/>
          </w:tcPr>
          <w:p>
            <w:pPr>
              <w:rPr>
                <w:rFonts w:hint="default" w:ascii="Times New Roman" w:hAnsi="Times New Roman" w:eastAsia="Batang" w:cs="Times New Roman"/>
                <w:color w:val="auto"/>
                <w:lang w:val="en-US" w:eastAsia="ko-KR" w:bidi="ar-SA"/>
              </w:rPr>
            </w:pPr>
            <w:r>
              <w:rPr>
                <w:rFonts w:hint="eastAsia" w:eastAsia="宋体"/>
                <w:color w:val="auto"/>
                <w:lang w:val="en-US" w:eastAsia="zh-CN"/>
              </w:rPr>
              <w:t xml:space="preserve">OK to wait for the outcome of case 5 and case 8 and the </w:t>
            </w:r>
            <w:r>
              <w:rPr>
                <w:lang w:eastAsia="ko-KR"/>
              </w:rPr>
              <w:t xml:space="preserve">UE behaviour </w:t>
            </w:r>
            <w:r>
              <w:rPr>
                <w:rFonts w:hint="eastAsia" w:eastAsia="宋体"/>
                <w:lang w:val="en-US" w:eastAsia="zh-CN"/>
              </w:rPr>
              <w:t>should be discussed</w:t>
            </w:r>
            <w:r>
              <w:rPr>
                <w:rFonts w:hint="eastAsia" w:eastAsia="宋体"/>
                <w:color w:val="auto"/>
                <w:lang w:val="en-US" w:eastAsia="zh-CN"/>
              </w:rPr>
              <w:t>.</w:t>
            </w:r>
            <w:bookmarkStart w:id="22" w:name="_GoBack"/>
            <w:bookmarkEnd w:id="22"/>
          </w:p>
        </w:tc>
      </w:tr>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25"/>
              </w:numPr>
              <w:spacing w:before="40" w:after="0" w:line="252" w:lineRule="auto"/>
              <w:contextualSpacing/>
              <w:jc w:val="both"/>
            </w:pPr>
            <w:r>
              <w:t>(Working assumption) For HD-FDD switching time, reuse existing switching times for UE not capable of full duplex in TS 38.211, Table 4.3.2-3.</w:t>
            </w:r>
          </w:p>
          <w:p>
            <w:pPr>
              <w:numPr>
                <w:ilvl w:val="1"/>
                <w:numId w:val="25"/>
              </w:numPr>
              <w:spacing w:after="0" w:line="252" w:lineRule="auto"/>
              <w:contextualSpacing/>
            </w:pPr>
            <w:r>
              <w:t xml:space="preserve">FFS: </w:t>
            </w:r>
            <w:bookmarkStart w:id="18" w:name="_Hlk66881223"/>
            <w:r>
              <w:t>whether to define the guard times in symbol units</w:t>
            </w:r>
            <w:bookmarkEnd w:id="18"/>
          </w:p>
          <w:p>
            <w:pPr>
              <w:numPr>
                <w:ilvl w:val="1"/>
                <w:numId w:val="25"/>
              </w:numPr>
              <w:spacing w:before="40" w:after="0"/>
              <w:contextualSpacing/>
              <w:jc w:val="both"/>
            </w:pPr>
            <w:r>
              <w:t>FFS: the switching positions</w:t>
            </w:r>
          </w:p>
          <w:p>
            <w:pPr>
              <w:numPr>
                <w:ilvl w:val="0"/>
                <w:numId w:val="25"/>
              </w:numPr>
              <w:spacing w:before="40" w:after="0"/>
              <w:contextualSpacing/>
              <w:jc w:val="both"/>
            </w:pPr>
            <w:r>
              <w:t xml:space="preserve">Sending an LS to RAN4 to inform the above working assumption, and to ask for feedback if any </w:t>
            </w:r>
          </w:p>
          <w:p>
            <w:pPr>
              <w:numPr>
                <w:ilvl w:val="1"/>
                <w:numId w:val="25"/>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26"/>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27"/>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27"/>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27"/>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1"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1"/>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ourier New"/>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modern"/>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A7D4B"/>
    <w:multiLevelType w:val="singleLevel"/>
    <w:tmpl w:val="A80A7D4B"/>
    <w:lvl w:ilvl="0" w:tentative="0">
      <w:start w:val="1"/>
      <w:numFmt w:val="decimal"/>
      <w:lvlText w:val="(%1)"/>
      <w:lvlJc w:val="left"/>
      <w:pPr>
        <w:tabs>
          <w:tab w:val="left" w:pos="312"/>
        </w:tabs>
      </w:pPr>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0">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1">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661A1D2"/>
    <w:multiLevelType w:val="singleLevel"/>
    <w:tmpl w:val="7661A1D2"/>
    <w:lvl w:ilvl="0" w:tentative="0">
      <w:start w:val="1"/>
      <w:numFmt w:val="decimal"/>
      <w:lvlText w:val="(%1)"/>
      <w:lvlJc w:val="left"/>
      <w:pPr>
        <w:tabs>
          <w:tab w:val="left" w:pos="312"/>
        </w:tabs>
      </w:pPr>
    </w:lvl>
  </w:abstractNum>
  <w:abstractNum w:abstractNumId="26">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9"/>
  </w:num>
  <w:num w:numId="4">
    <w:abstractNumId w:val="12"/>
    <w:lvlOverride w:ilvl="0">
      <w:startOverride w:val="1"/>
    </w:lvlOverride>
  </w:num>
  <w:num w:numId="5">
    <w:abstractNumId w:val="13"/>
  </w:num>
  <w:num w:numId="6">
    <w:abstractNumId w:val="20"/>
  </w:num>
  <w:num w:numId="7">
    <w:abstractNumId w:val="18"/>
  </w:num>
  <w:num w:numId="8">
    <w:abstractNumId w:val="6"/>
  </w:num>
  <w:num w:numId="9">
    <w:abstractNumId w:val="8"/>
  </w:num>
  <w:num w:numId="10">
    <w:abstractNumId w:val="17"/>
  </w:num>
  <w:num w:numId="11">
    <w:abstractNumId w:val="7"/>
  </w:num>
  <w:num w:numId="12">
    <w:abstractNumId w:val="25"/>
  </w:num>
  <w:num w:numId="13">
    <w:abstractNumId w:val="10"/>
  </w:num>
  <w:num w:numId="14">
    <w:abstractNumId w:val="0"/>
  </w:num>
  <w:num w:numId="15">
    <w:abstractNumId w:val="4"/>
  </w:num>
  <w:num w:numId="16">
    <w:abstractNumId w:val="15"/>
  </w:num>
  <w:num w:numId="17">
    <w:abstractNumId w:val="24"/>
  </w:num>
  <w:num w:numId="18">
    <w:abstractNumId w:val="21"/>
  </w:num>
  <w:num w:numId="19">
    <w:abstractNumId w:val="14"/>
  </w:num>
  <w:num w:numId="20">
    <w:abstractNumId w:val="19"/>
  </w:num>
  <w:num w:numId="21">
    <w:abstractNumId w:val="23"/>
  </w:num>
  <w:num w:numId="22">
    <w:abstractNumId w:val="2"/>
  </w:num>
  <w:num w:numId="23">
    <w:abstractNumId w:val="5"/>
  </w:num>
  <w:num w:numId="24">
    <w:abstractNumId w:val="11"/>
  </w:num>
  <w:num w:numId="25">
    <w:abstractNumId w:val="26"/>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172A27"/>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0E7F13EB"/>
    <w:rsid w:val="17F20E55"/>
    <w:rsid w:val="27BA7367"/>
    <w:rsid w:val="2ED075BC"/>
    <w:rsid w:val="52C2372C"/>
    <w:rsid w:val="570529BB"/>
    <w:rsid w:val="63340568"/>
    <w:rsid w:val="66C930DD"/>
    <w:rsid w:val="66EC6C39"/>
    <w:rsid w:val="71197A66"/>
    <w:rsid w:val="79AD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머리글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제목 8 Char"/>
    <w:link w:val="9"/>
    <w:qFormat/>
    <w:uiPriority w:val="0"/>
    <w:rPr>
      <w:rFonts w:ascii="Arial" w:hAnsi="Arial"/>
      <w:sz w:val="36"/>
      <w:lang w:val="en-GB" w:eastAsia="en-US"/>
    </w:rPr>
  </w:style>
  <w:style w:type="character" w:customStyle="1" w:styleId="44">
    <w:name w:val="제목 3 Char"/>
    <w:link w:val="4"/>
    <w:qFormat/>
    <w:uiPriority w:val="0"/>
    <w:rPr>
      <w:rFonts w:ascii="Arial" w:hAnsi="Arial"/>
      <w:sz w:val="28"/>
      <w:lang w:val="en-GB" w:eastAsia="en-US"/>
    </w:rPr>
  </w:style>
  <w:style w:type="character" w:customStyle="1" w:styleId="45">
    <w:name w:val="목록 단락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메모 텍스트 Char"/>
    <w:link w:val="20"/>
    <w:qFormat/>
    <w:uiPriority w:val="99"/>
    <w:rPr>
      <w:lang w:val="en-GB" w:eastAsia="en-US"/>
    </w:rPr>
  </w:style>
  <w:style w:type="character" w:customStyle="1" w:styleId="48">
    <w:name w:val="메모 주제 Char"/>
    <w:link w:val="31"/>
    <w:qFormat/>
    <w:uiPriority w:val="0"/>
    <w:rPr>
      <w:b/>
      <w:bCs/>
      <w:lang w:val="en-GB" w:eastAsia="en-US"/>
    </w:rPr>
  </w:style>
  <w:style w:type="character" w:customStyle="1" w:styleId="49">
    <w:name w:val="본문 Char"/>
    <w:link w:val="22"/>
    <w:qFormat/>
    <w:uiPriority w:val="0"/>
    <w:rPr>
      <w:rFonts w:ascii="Arial" w:hAnsi="Arial"/>
      <w:b/>
      <w:sz w:val="18"/>
      <w:lang w:val="en-GB" w:eastAsia="ja-JP"/>
    </w:rPr>
  </w:style>
  <w:style w:type="character" w:customStyle="1" w:styleId="50">
    <w:name w:val="캡션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각주 텍스트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제목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문서 구조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D80B6-2470-4E03-9D28-9EFDEFE3104E}">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1C47A3A9-C088-42F1-96BE-2F21AF6EFB65}">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16695</Words>
  <Characters>95166</Characters>
  <Lines>793</Lines>
  <Paragraphs>223</Paragraphs>
  <TotalTime>1</TotalTime>
  <ScaleCrop>false</ScaleCrop>
  <LinksUpToDate>false</LinksUpToDate>
  <CharactersWithSpaces>111638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2021-08-18T03:28:00Z</dcterms:created>
  <dc:creator>Johan Bergman</dc:creator>
  <cp:keywords>CTPClassification=CTP_NT</cp:keywords>
  <cp:lastModifiedBy>ZTE</cp:lastModifiedBy>
  <cp:lastPrinted>2021-08-16T05:13:00Z</cp:lastPrinted>
  <dcterms:modified xsi:type="dcterms:W3CDTF">2021-08-18T11:24:58Z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