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Pr>
                <w:rFonts w:ascii="Times New Roman" w:hAnsi="Times New Roman" w:cs="Times New Roman"/>
                <w:sz w:val="20"/>
                <w:szCs w:val="20"/>
                <w:lang w:val="en-US"/>
              </w:rPr>
              <w:t>braches</w:t>
            </w:r>
            <w:proofErr w:type="spellEnd"/>
            <w:r>
              <w:rPr>
                <w:rFonts w:ascii="Times New Roman" w:hAnsi="Times New Roman" w:cs="Times New Roman"/>
                <w:sz w:val="20"/>
                <w:szCs w:val="20"/>
                <w:lang w:val="en-US"/>
              </w:rPr>
              <w:t xml:space="preserve">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Although open for other issues quested by Q 2-2 but the spec impact should be minimized and most of them we consider can be either discussed in UE feature session (</w:t>
            </w:r>
            <w:proofErr w:type="gramStart"/>
            <w:r>
              <w:rPr>
                <w:lang w:eastAsia="ko-KR"/>
              </w:rPr>
              <w:t>e.g.</w:t>
            </w:r>
            <w:proofErr w:type="gramEnd"/>
            <w:r>
              <w:rPr>
                <w:lang w:eastAsia="ko-KR"/>
              </w:rPr>
              <w:t xml:space="preserve">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gramStart"/>
            <w:r>
              <w:rPr>
                <w:rFonts w:eastAsiaTheme="minorEastAsia"/>
                <w:lang w:eastAsia="zh-CN"/>
              </w:rPr>
              <w:t>reduced</w:t>
            </w:r>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We think Alt.5 is a gNB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proofErr w:type="spellStart"/>
            <w:r>
              <w:t>Spreadtrum</w:t>
            </w:r>
            <w:proofErr w:type="spellEnd"/>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3A75214A" w14:textId="77777777" w:rsidR="006D336C" w:rsidRDefault="00786B0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110CB42C" w14:textId="77777777" w:rsidR="006D336C" w:rsidRDefault="00786B09">
            <w:pPr>
              <w:tabs>
                <w:tab w:val="left" w:pos="551"/>
              </w:tabs>
              <w:spacing w:after="0"/>
              <w:rPr>
                <w:rFonts w:eastAsia="宋体"/>
                <w:lang w:val="en-US" w:eastAsia="zh-CN"/>
              </w:rPr>
            </w:pPr>
            <w:r>
              <w:rPr>
                <w:rFonts w:eastAsia="宋体" w:hint="eastAsia"/>
                <w:lang w:val="en-US" w:eastAsia="zh-CN"/>
              </w:rPr>
              <w:t>Q2-1: Y</w:t>
            </w:r>
          </w:p>
          <w:p w14:paraId="2F68B30F" w14:textId="77777777" w:rsidR="006D336C" w:rsidRDefault="00786B09">
            <w:pPr>
              <w:tabs>
                <w:tab w:val="left" w:pos="551"/>
              </w:tabs>
              <w:spacing w:after="0"/>
              <w:rPr>
                <w:rFonts w:eastAsia="宋体"/>
                <w:lang w:val="en-US" w:eastAsia="ko-KR"/>
              </w:rPr>
            </w:pPr>
            <w:r>
              <w:rPr>
                <w:rFonts w:eastAsia="宋体" w:hint="eastAsia"/>
                <w:lang w:val="en-US" w:eastAsia="zh-CN"/>
              </w:rPr>
              <w:t>Q2-2: alt.5</w:t>
            </w:r>
          </w:p>
        </w:tc>
        <w:tc>
          <w:tcPr>
            <w:tcW w:w="6216" w:type="dxa"/>
          </w:tcPr>
          <w:p w14:paraId="5EAA0D54" w14:textId="77777777" w:rsidR="006D336C" w:rsidRDefault="00786B09">
            <w:pPr>
              <w:rPr>
                <w:rFonts w:eastAsia="宋体"/>
                <w:lang w:val="en-US" w:eastAsia="zh-CN"/>
              </w:rPr>
            </w:pPr>
            <w:r>
              <w:rPr>
                <w:rFonts w:eastAsia="宋体"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3CCE4946" w14:textId="77777777" w:rsidR="006D336C" w:rsidRDefault="00786B09">
            <w:pPr>
              <w:rPr>
                <w:rFonts w:eastAsia="宋体"/>
                <w:lang w:val="en-US" w:eastAsia="ja-JP"/>
              </w:rPr>
            </w:pPr>
            <w:r>
              <w:rPr>
                <w:rFonts w:ascii="Times" w:hAnsi="Times"/>
                <w:szCs w:val="24"/>
              </w:rPr>
              <w:t>Alt.4</w:t>
            </w:r>
            <w:r>
              <w:rPr>
                <w:rFonts w:ascii="Times" w:eastAsia="宋体" w:hAnsi="Times" w:hint="eastAsia"/>
                <w:szCs w:val="24"/>
                <w:lang w:val="en-US" w:eastAsia="zh-CN"/>
              </w:rPr>
              <w:t>,</w:t>
            </w:r>
            <w:r>
              <w:rPr>
                <w:rFonts w:ascii="Times" w:hAnsi="Times"/>
                <w:szCs w:val="24"/>
              </w:rPr>
              <w:t xml:space="preserve"> </w:t>
            </w:r>
            <w:r>
              <w:t>Support RACH-based or CG-based SDT for RedCap UE in initial BWP</w:t>
            </w:r>
            <w:r>
              <w:rPr>
                <w:rFonts w:eastAsia="宋体"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宋体"/>
                <w:lang w:val="en-US" w:eastAsia="zh-CN"/>
              </w:rPr>
            </w:pPr>
            <w:r>
              <w:rPr>
                <w:rFonts w:eastAsia="宋体"/>
                <w:lang w:val="en-US" w:eastAsia="zh-CN"/>
              </w:rPr>
              <w:t>Nokia, NSB</w:t>
            </w:r>
          </w:p>
        </w:tc>
        <w:tc>
          <w:tcPr>
            <w:tcW w:w="1936" w:type="dxa"/>
          </w:tcPr>
          <w:p w14:paraId="6D8198C1" w14:textId="77777777" w:rsidR="006D336C" w:rsidRDefault="00786B09">
            <w:pPr>
              <w:tabs>
                <w:tab w:val="left" w:pos="551"/>
              </w:tabs>
              <w:spacing w:after="0"/>
              <w:rPr>
                <w:rFonts w:eastAsia="宋体"/>
                <w:lang w:val="en-US" w:eastAsia="zh-CN"/>
              </w:rPr>
            </w:pPr>
            <w:r>
              <w:rPr>
                <w:rFonts w:eastAsia="宋体"/>
                <w:lang w:val="en-US" w:eastAsia="zh-CN"/>
              </w:rPr>
              <w:t>Q2-1: Yes</w:t>
            </w:r>
          </w:p>
          <w:p w14:paraId="1FCE1256" w14:textId="77777777" w:rsidR="006D336C" w:rsidRDefault="00786B09">
            <w:pPr>
              <w:tabs>
                <w:tab w:val="left" w:pos="551"/>
              </w:tabs>
              <w:spacing w:after="0"/>
              <w:rPr>
                <w:rFonts w:eastAsia="宋体"/>
                <w:lang w:val="en-US" w:eastAsia="zh-CN"/>
              </w:rPr>
            </w:pPr>
            <w:r>
              <w:rPr>
                <w:rFonts w:eastAsia="宋体"/>
                <w:lang w:val="en-US" w:eastAsia="zh-CN"/>
              </w:rPr>
              <w:t>Q2-2: None</w:t>
            </w:r>
          </w:p>
        </w:tc>
        <w:tc>
          <w:tcPr>
            <w:tcW w:w="6216" w:type="dxa"/>
          </w:tcPr>
          <w:p w14:paraId="3FA22836" w14:textId="77777777" w:rsidR="006D336C" w:rsidRDefault="00786B09">
            <w:pPr>
              <w:rPr>
                <w:rFonts w:eastAsia="宋体"/>
                <w:lang w:val="en-US" w:eastAsia="zh-CN"/>
              </w:rPr>
            </w:pPr>
            <w:r>
              <w:rPr>
                <w:rFonts w:eastAsia="宋体"/>
                <w:lang w:val="en-US" w:eastAsia="zh-CN"/>
              </w:rPr>
              <w:t>Based on our analysis, PDCCH blocking is not expected to be an issue with RedCap UE. In addition, if necessary, existing methods can be used to significantly reduce PDCCH blocking (</w:t>
            </w:r>
            <w:proofErr w:type="gramStart"/>
            <w:r>
              <w:rPr>
                <w:rFonts w:eastAsia="宋体"/>
                <w:lang w:val="en-US" w:eastAsia="zh-CN"/>
              </w:rPr>
              <w:t>e.g.</w:t>
            </w:r>
            <w:proofErr w:type="gramEnd"/>
            <w:r>
              <w:rPr>
                <w:rFonts w:eastAsia="宋体"/>
                <w:lang w:val="en-US" w:eastAsia="zh-CN"/>
              </w:rPr>
              <w:t xml:space="preserve"> additional CORESET or search space). </w:t>
            </w:r>
          </w:p>
          <w:p w14:paraId="4AED7795" w14:textId="77777777" w:rsidR="006D336C" w:rsidRDefault="00786B09">
            <w:pPr>
              <w:rPr>
                <w:rFonts w:eastAsia="宋体"/>
                <w:lang w:val="en-US" w:eastAsia="zh-CN"/>
              </w:rPr>
            </w:pPr>
            <w:r>
              <w:rPr>
                <w:rFonts w:eastAsia="宋体"/>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宋体"/>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宋体"/>
                <w:lang w:val="en-US" w:eastAsia="zh-CN"/>
              </w:rPr>
            </w:pPr>
            <w:r>
              <w:rPr>
                <w:rFonts w:eastAsia="宋体"/>
                <w:lang w:val="en-US" w:eastAsia="zh-CN"/>
              </w:rPr>
              <w:t>Q 2-2: Alt 4/5/6</w:t>
            </w:r>
          </w:p>
        </w:tc>
        <w:tc>
          <w:tcPr>
            <w:tcW w:w="6216" w:type="dxa"/>
          </w:tcPr>
          <w:p w14:paraId="50F0C9A9" w14:textId="77777777" w:rsidR="006D336C" w:rsidRDefault="00786B09">
            <w:pPr>
              <w:rPr>
                <w:rFonts w:eastAsia="宋体"/>
                <w:lang w:val="en-US" w:eastAsia="zh-CN"/>
              </w:rPr>
            </w:pPr>
            <w:r>
              <w:rPr>
                <w:rFonts w:eastAsia="宋体"/>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宋体"/>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宋体" w:hint="eastAsia"/>
                <w:lang w:val="en-US" w:eastAsia="zh-CN"/>
              </w:rPr>
              <w:t>ZTE</w:t>
            </w:r>
            <w:r>
              <w:rPr>
                <w:rFonts w:eastAsia="宋体"/>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0182FF8A" w14:textId="77777777" w:rsidR="006D336C" w:rsidRDefault="006D336C">
            <w:pPr>
              <w:spacing w:after="0"/>
              <w:rPr>
                <w:rFonts w:ascii="Times" w:eastAsia="宋体"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gNB, consider reusing SUL bit in </w:t>
            </w:r>
            <w:proofErr w:type="spellStart"/>
            <w:r>
              <w:rPr>
                <w:lang w:val="en-US"/>
              </w:rPr>
              <w:t>fall-back</w:t>
            </w:r>
            <w:proofErr w:type="spellEnd"/>
            <w:r>
              <w:rPr>
                <w:lang w:val="en-US"/>
              </w:rPr>
              <w:t xml:space="preserve">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Is the question Q 3-1 meaning to capture/specify those (subset of) fields explicitly to address to RedCap or explicitly specify that they are not used for RedCap?</w:t>
            </w:r>
          </w:p>
          <w:p w14:paraId="3FC788C4" w14:textId="77777777" w:rsidR="006D336C" w:rsidRDefault="00786B0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RedCap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 xml:space="preserve">gNB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proofErr w:type="spellStart"/>
            <w:r>
              <w:rPr>
                <w:lang w:eastAsia="ko-KR"/>
              </w:rPr>
              <w:t>Spreadtrum</w:t>
            </w:r>
            <w:proofErr w:type="spellEnd"/>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bitwidth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2ED22F33" w14:textId="77777777" w:rsidR="006D336C" w:rsidRDefault="00786B09">
            <w:pPr>
              <w:rPr>
                <w:rFonts w:eastAsia="宋体"/>
                <w:lang w:val="en-US" w:eastAsia="zh-CN"/>
              </w:rPr>
            </w:pPr>
            <w:r>
              <w:rPr>
                <w:rFonts w:eastAsiaTheme="minorEastAsia" w:hint="eastAsia"/>
                <w:iCs/>
                <w:lang w:val="en-US" w:eastAsia="zh-CN"/>
              </w:rPr>
              <w:t xml:space="preserve">For P2, </w:t>
            </w:r>
            <w:r>
              <w:t>optional support</w:t>
            </w:r>
            <w:r>
              <w:rPr>
                <w:rFonts w:eastAsia="宋体" w:hint="eastAsia"/>
                <w:lang w:val="en-US" w:eastAsia="zh-CN"/>
              </w:rPr>
              <w:t xml:space="preserve"> of </w:t>
            </w:r>
            <w:r>
              <w:t xml:space="preserve">DCI format 2_x </w:t>
            </w:r>
            <w:r>
              <w:rPr>
                <w:rFonts w:eastAsia="宋体" w:hint="eastAsia"/>
                <w:lang w:val="en-US" w:eastAsia="zh-CN"/>
              </w:rPr>
              <w:t xml:space="preserve">has been agreed in RAN1#105e. And the support of </w:t>
            </w:r>
            <w:r>
              <w:t>DCI format 3_x is</w:t>
            </w:r>
            <w:r>
              <w:rPr>
                <w:rFonts w:eastAsia="宋体"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宋体" w:hint="eastAsia"/>
                <w:lang w:val="en-US" w:eastAsia="zh-CN"/>
              </w:rPr>
              <w:t>.</w:t>
            </w:r>
          </w:p>
          <w:p w14:paraId="50697951" w14:textId="77777777" w:rsidR="006D336C" w:rsidRDefault="00786B09">
            <w:pPr>
              <w:rPr>
                <w:rFonts w:eastAsia="宋体"/>
                <w:lang w:val="en-US" w:eastAsia="zh-CN"/>
              </w:rPr>
            </w:pPr>
            <w:r>
              <w:rPr>
                <w:rFonts w:eastAsia="宋体" w:hint="eastAsia"/>
                <w:lang w:val="en-US" w:eastAsia="zh-CN"/>
              </w:rPr>
              <w:t xml:space="preserve">For P4, reusing current MCS table is enough for RedCap UE and we do not see the necessity of reducing MCS field. </w:t>
            </w:r>
          </w:p>
          <w:p w14:paraId="795FF555" w14:textId="77777777" w:rsidR="006D336C" w:rsidRDefault="00786B09">
            <w:pPr>
              <w:rPr>
                <w:rFonts w:eastAsia="宋体"/>
                <w:lang w:val="en-US" w:eastAsia="ja-JP"/>
              </w:rPr>
            </w:pPr>
            <w:r>
              <w:rPr>
                <w:rFonts w:eastAsia="宋体"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E7199F9"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x, since whether V2X can 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proofErr w:type="spellStart"/>
            <w:r>
              <w:rPr>
                <w:i/>
                <w:lang w:eastAsia="zh-CN"/>
              </w:rPr>
              <w:t>NR_UE_pow_sav_enh</w:t>
            </w:r>
            <w:proofErr w:type="spellEnd"/>
            <w:r>
              <w:rPr>
                <w:i/>
                <w:lang w:eastAsia="zh-CN"/>
              </w:rPr>
              <w:t>) shall 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等线"/>
                      <w:lang w:eastAsia="zh-CN"/>
                    </w:rPr>
                  </w:pPr>
                  <w:r>
                    <w:rPr>
                      <w:rFonts w:eastAsia="等线"/>
                      <w:lang w:eastAsia="zh-CN"/>
                    </w:rPr>
                    <w:t>Agreements online:</w:t>
                  </w:r>
                </w:p>
                <w:p w14:paraId="437FA98B" w14:textId="77777777" w:rsidR="006D336C" w:rsidRDefault="00786B09">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RedCap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宋体"/>
                <w:lang w:val="en-US" w:eastAsia="zh-CN"/>
              </w:rPr>
            </w:pPr>
            <w:r>
              <w:rPr>
                <w:rFonts w:eastAsia="宋体" w:hint="eastAsia"/>
                <w:lang w:val="en-US" w:eastAsia="zh-CN"/>
              </w:rPr>
              <w:t>O</w:t>
            </w:r>
            <w:proofErr w:type="spellStart"/>
            <w:r>
              <w:t>ptional</w:t>
            </w:r>
            <w:proofErr w:type="spellEnd"/>
            <w:r>
              <w:t xml:space="preserve"> support</w:t>
            </w:r>
            <w:r>
              <w:rPr>
                <w:rFonts w:eastAsia="宋体" w:hint="eastAsia"/>
                <w:lang w:val="en-US" w:eastAsia="zh-CN"/>
              </w:rPr>
              <w:t xml:space="preserve"> of </w:t>
            </w:r>
            <w:r>
              <w:t>DCI format 2_x</w:t>
            </w:r>
            <w:r>
              <w:rPr>
                <w:rFonts w:eastAsia="宋体" w:hint="eastAsia"/>
                <w:lang w:val="en-US" w:eastAsia="zh-CN"/>
              </w:rPr>
              <w:t xml:space="preserve">. </w:t>
            </w:r>
          </w:p>
          <w:p w14:paraId="68B967FE" w14:textId="77777777" w:rsidR="006D336C" w:rsidRDefault="00786B09">
            <w:pPr>
              <w:rPr>
                <w:rFonts w:eastAsiaTheme="minorEastAsia"/>
                <w:lang w:val="en-US" w:eastAsia="zh-CN"/>
              </w:rPr>
            </w:pPr>
            <w:r>
              <w:rPr>
                <w:rFonts w:eastAsia="宋体" w:hint="eastAsia"/>
                <w:lang w:val="en-US" w:eastAsia="zh-CN"/>
              </w:rPr>
              <w:t xml:space="preserve">Whether to support of </w:t>
            </w:r>
            <w:r>
              <w:t>DCI format 3_x</w:t>
            </w:r>
            <w:r>
              <w:rPr>
                <w:rFonts w:eastAsia="宋体" w:hint="eastAsia"/>
                <w:lang w:val="en-US" w:eastAsia="zh-CN"/>
              </w:rPr>
              <w:t xml:space="preserve"> depends on whether the feature, V2X and </w:t>
            </w:r>
            <w:proofErr w:type="spellStart"/>
            <w:r>
              <w:rPr>
                <w:rFonts w:eastAsia="宋体" w:hint="eastAsia"/>
                <w:lang w:val="en-US" w:eastAsia="zh-CN"/>
              </w:rPr>
              <w:t>sidelink</w:t>
            </w:r>
            <w:proofErr w:type="spellEnd"/>
            <w:r>
              <w:rPr>
                <w:rFonts w:eastAsia="宋体" w:hint="eastAsia"/>
                <w:lang w:val="en-US" w:eastAsia="zh-CN"/>
              </w:rPr>
              <w:t>, are supported for  RedCap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宋体"/>
                <w:lang w:val="en-US" w:eastAsia="zh-CN"/>
              </w:rPr>
            </w:pPr>
            <w:r>
              <w:rPr>
                <w:rFonts w:eastAsia="宋体"/>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t>
            </w:r>
            <w:proofErr w:type="gramStart"/>
            <w:r>
              <w:t>whether or not</w:t>
            </w:r>
            <w:proofErr w:type="gramEnd"/>
            <w:r>
              <w:t xml:space="preserve"> to support V2X/</w:t>
            </w:r>
            <w:proofErr w:type="spellStart"/>
            <w:r>
              <w:t>sidelink</w:t>
            </w:r>
            <w:proofErr w:type="spellEnd"/>
            <w:r>
              <w:t xml:space="preserve">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w:t>
            </w:r>
            <w:proofErr w:type="spellStart"/>
            <w:r>
              <w:rPr>
                <w:bCs/>
              </w:rPr>
              <w:t>Spreadtrum</w:t>
            </w:r>
            <w:proofErr w:type="spellEnd"/>
            <w:r>
              <w:rPr>
                <w:bCs/>
              </w:rPr>
              <w:t xml:space="preserve">,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0738F749" w14:textId="77777777" w:rsidR="006D336C" w:rsidRDefault="00786B09">
            <w:pPr>
              <w:pStyle w:val="ListParagraph"/>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Default="00786B09">
            <w:pPr>
              <w:pStyle w:val="ListParagraph"/>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Default="00786B09">
            <w:pPr>
              <w:pStyle w:val="ListParagraph"/>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ListParagraph"/>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ListParagraph"/>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w:t>
            </w:r>
            <w:proofErr w:type="gramStart"/>
            <w:r>
              <w:rPr>
                <w:rFonts w:eastAsia="Malgun Gothic"/>
                <w:lang w:eastAsia="ko-KR"/>
              </w:rPr>
              <w:t>are</w:t>
            </w:r>
            <w:proofErr w:type="gramEnd"/>
            <w:r>
              <w:rPr>
                <w:rFonts w:eastAsia="Malgun Gothic"/>
                <w:lang w:eastAsia="ko-KR"/>
              </w:rPr>
              <w:t xml:space="preserve"> 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w:t>
            </w:r>
            <w:proofErr w:type="gramStart"/>
            <w:r>
              <w:rPr>
                <w:rFonts w:eastAsia="Malgun Gothic"/>
                <w:lang w:eastAsia="ko-KR"/>
              </w:rPr>
              <w:t>MT UEs</w:t>
            </w:r>
            <w:proofErr w:type="gramEnd"/>
            <w:r>
              <w:rPr>
                <w:rFonts w:eastAsia="Malgun Gothic"/>
                <w:lang w:eastAsia="ko-KR"/>
              </w:rPr>
              <w:t xml:space="preserve">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w:t>
            </w:r>
            <w:proofErr w:type="gramStart"/>
            <w:r>
              <w:rPr>
                <w:rFonts w:ascii="Times" w:hAnsi="Times" w:cs="Times"/>
                <w:b/>
                <w:bCs/>
                <w:lang w:eastAsia="ja-JP"/>
              </w:rPr>
              <w:t>are</w:t>
            </w:r>
            <w:proofErr w:type="gramEnd"/>
            <w:r>
              <w:rPr>
                <w:rFonts w:ascii="Times" w:hAnsi="Times" w:cs="Times"/>
                <w:b/>
                <w:bCs/>
                <w:lang w:eastAsia="ja-JP"/>
              </w:rPr>
              <w:t xml:space="preserv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 xml:space="preserve">In our view, IAB and </w:t>
            </w:r>
            <w:proofErr w:type="spellStart"/>
            <w:r>
              <w:rPr>
                <w:rFonts w:eastAsia="Yu Mincho"/>
                <w:lang w:eastAsia="ja-JP"/>
              </w:rPr>
              <w:t>sidelink</w:t>
            </w:r>
            <w:proofErr w:type="spellEnd"/>
            <w:r>
              <w:rPr>
                <w:rFonts w:eastAsia="Yu Mincho"/>
                <w:lang w:eastAsia="ja-JP"/>
              </w:rPr>
              <w:t xml:space="preserve">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936" w:type="dxa"/>
          </w:tcPr>
          <w:p w14:paraId="4EFD35CC" w14:textId="77777777" w:rsidR="006D336C" w:rsidRDefault="00786B09">
            <w:pPr>
              <w:tabs>
                <w:tab w:val="left" w:pos="551"/>
              </w:tabs>
              <w:spacing w:after="0"/>
              <w:rPr>
                <w:rFonts w:eastAsia="宋体"/>
                <w:lang w:val="en-US" w:eastAsia="zh-CN"/>
              </w:rPr>
            </w:pPr>
            <w:r>
              <w:rPr>
                <w:rFonts w:eastAsia="宋体" w:hint="eastAsia"/>
                <w:lang w:val="en-US" w:eastAsia="zh-CN"/>
              </w:rPr>
              <w:t>Y</w:t>
            </w:r>
          </w:p>
        </w:tc>
        <w:tc>
          <w:tcPr>
            <w:tcW w:w="6216" w:type="dxa"/>
          </w:tcPr>
          <w:p w14:paraId="6305B6FD" w14:textId="77777777" w:rsidR="006D336C" w:rsidRDefault="00786B09">
            <w:pPr>
              <w:rPr>
                <w:rFonts w:eastAsia="宋体"/>
                <w:lang w:val="en-US" w:eastAsia="zh-CN"/>
              </w:rPr>
            </w:pPr>
            <w:r>
              <w:rPr>
                <w:rFonts w:eastAsia="宋体"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宋体"/>
                <w:lang w:val="en-US" w:eastAsia="zh-CN"/>
              </w:rPr>
            </w:pPr>
            <w:r>
              <w:rPr>
                <w:rFonts w:eastAsia="宋体"/>
                <w:lang w:val="en-US" w:eastAsia="zh-CN"/>
              </w:rPr>
              <w:t>IDCC</w:t>
            </w:r>
          </w:p>
        </w:tc>
        <w:tc>
          <w:tcPr>
            <w:tcW w:w="1936" w:type="dxa"/>
          </w:tcPr>
          <w:p w14:paraId="774BE3D9" w14:textId="525E1367" w:rsidR="00786B09" w:rsidRDefault="00786B09">
            <w:pPr>
              <w:tabs>
                <w:tab w:val="left" w:pos="551"/>
              </w:tabs>
              <w:spacing w:after="0"/>
              <w:rPr>
                <w:rFonts w:eastAsia="宋体"/>
                <w:lang w:val="en-US" w:eastAsia="zh-CN"/>
              </w:rPr>
            </w:pPr>
            <w:r>
              <w:rPr>
                <w:rFonts w:eastAsia="宋体"/>
                <w:lang w:val="en-US" w:eastAsia="zh-CN"/>
              </w:rPr>
              <w:t>Y</w:t>
            </w:r>
          </w:p>
        </w:tc>
        <w:tc>
          <w:tcPr>
            <w:tcW w:w="6216" w:type="dxa"/>
          </w:tcPr>
          <w:p w14:paraId="3570F4FE" w14:textId="77777777" w:rsidR="00786B09" w:rsidRDefault="00786B09">
            <w:pPr>
              <w:rPr>
                <w:rFonts w:eastAsia="宋体"/>
                <w:lang w:val="en-US" w:eastAsia="zh-CN"/>
              </w:rPr>
            </w:pPr>
          </w:p>
        </w:tc>
      </w:tr>
      <w:tr w:rsidR="001A7883" w14:paraId="6D84B505" w14:textId="77777777">
        <w:tc>
          <w:tcPr>
            <w:tcW w:w="1479" w:type="dxa"/>
          </w:tcPr>
          <w:p w14:paraId="1BC5E535" w14:textId="5701B142" w:rsidR="001A7883" w:rsidRDefault="001A7883">
            <w:pPr>
              <w:rPr>
                <w:rFonts w:eastAsia="宋体"/>
                <w:lang w:val="en-US" w:eastAsia="zh-CN"/>
              </w:rPr>
            </w:pPr>
            <w:r>
              <w:rPr>
                <w:rFonts w:eastAsia="宋体"/>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宋体"/>
                <w:lang w:val="en-US" w:eastAsia="zh-CN"/>
              </w:rPr>
            </w:pPr>
            <w:r>
              <w:rPr>
                <w:rFonts w:eastAsia="宋体"/>
                <w:lang w:val="en-US" w:eastAsia="zh-CN"/>
              </w:rPr>
              <w:t>Y</w:t>
            </w:r>
          </w:p>
        </w:tc>
        <w:tc>
          <w:tcPr>
            <w:tcW w:w="6216" w:type="dxa"/>
          </w:tcPr>
          <w:p w14:paraId="4C773FAD" w14:textId="7EFFAC88" w:rsidR="001A7883" w:rsidRDefault="001A7883">
            <w:pPr>
              <w:rPr>
                <w:rFonts w:eastAsia="宋体"/>
                <w:lang w:val="en-US" w:eastAsia="zh-CN"/>
              </w:rPr>
            </w:pPr>
            <w:r>
              <w:rPr>
                <w:rFonts w:eastAsia="宋体"/>
                <w:lang w:val="en-US" w:eastAsia="zh-CN"/>
              </w:rPr>
              <w:t>No need to support DCI format 2_5</w:t>
            </w:r>
          </w:p>
          <w:p w14:paraId="54DE7E9E" w14:textId="77777777" w:rsidR="001A7883" w:rsidRDefault="001A7883">
            <w:pPr>
              <w:rPr>
                <w:rFonts w:eastAsia="宋体"/>
                <w:lang w:val="en-US" w:eastAsia="zh-CN"/>
              </w:rPr>
            </w:pPr>
            <w:r>
              <w:rPr>
                <w:rFonts w:eastAsia="宋体"/>
                <w:lang w:val="en-US" w:eastAsia="zh-CN"/>
              </w:rPr>
              <w:t xml:space="preserve">DCI format 2_6 can be optionally supported. </w:t>
            </w:r>
          </w:p>
          <w:p w14:paraId="44B1A145" w14:textId="13DC218C" w:rsidR="001A7883" w:rsidRDefault="001A7883">
            <w:pPr>
              <w:rPr>
                <w:rFonts w:eastAsia="宋体"/>
                <w:lang w:val="en-US" w:eastAsia="zh-CN"/>
              </w:rPr>
            </w:pPr>
            <w:r>
              <w:rPr>
                <w:rFonts w:eastAsia="宋体"/>
                <w:lang w:val="en-US" w:eastAsia="zh-CN"/>
              </w:rPr>
              <w:t>No need to support DCI format 3_x.</w:t>
            </w:r>
          </w:p>
        </w:tc>
      </w:tr>
    </w:tbl>
    <w:p w14:paraId="47212C04" w14:textId="77777777" w:rsidR="006D336C" w:rsidRDefault="006D336C">
      <w:pPr>
        <w:spacing w:after="160"/>
        <w:rPr>
          <w:rFonts w:ascii="Times" w:hAnsi="Times"/>
          <w:szCs w:val="24"/>
        </w:rPr>
      </w:pPr>
    </w:p>
    <w:p w14:paraId="5EA26F97" w14:textId="77777777" w:rsidR="006D336C" w:rsidRDefault="00786B09">
      <w:pPr>
        <w:pStyle w:val="Heading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RedCap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lastRenderedPageBreak/>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宋体"/>
                <w:lang w:val="en-US" w:eastAsia="ja-JP"/>
              </w:rPr>
            </w:pPr>
            <w:r>
              <w:rPr>
                <w:rFonts w:eastAsia="宋体"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宋体"/>
                <w:lang w:val="en-US" w:eastAsia="zh-CN"/>
              </w:rPr>
            </w:pPr>
            <w:r>
              <w:rPr>
                <w:rFonts w:eastAsia="宋体"/>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宋体"/>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lastRenderedPageBreak/>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lastRenderedPageBreak/>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宋体"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lastRenderedPageBreak/>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宋体"/>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宋体"/>
          <w:sz w:val="21"/>
          <w:szCs w:val="21"/>
          <w:lang w:eastAsia="zh-CN"/>
        </w:rPr>
        <w:t xml:space="preserve">’ as below: </w:t>
      </w:r>
    </w:p>
    <w:p w14:paraId="422CA6BF" w14:textId="77777777" w:rsidR="006D336C" w:rsidRDefault="00786B09">
      <w:pPr>
        <w:pStyle w:val="PL"/>
        <w:spacing w:after="180"/>
      </w:pPr>
      <w:r>
        <w:tab/>
      </w:r>
      <w:r>
        <w:tab/>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605D457" w14:textId="77777777" w:rsidR="006D336C" w:rsidRDefault="00786B09">
      <w:pPr>
        <w:jc w:val="both"/>
      </w:pPr>
      <w:r>
        <w:t xml:space="preserve">For Redcap UE, at least one additional value needs to be added </w:t>
      </w:r>
      <w:proofErr w:type="spellStart"/>
      <w:r>
        <w:t>i.e</w:t>
      </w:r>
      <w:proofErr w:type="spellEnd"/>
      <w:r>
        <w:t xml:space="preserve">,  one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RedCap </w:t>
      </w:r>
    </w:p>
    <w:p w14:paraId="65E84337" w14:textId="77777777" w:rsidR="006D336C" w:rsidRDefault="00786B09">
      <w:pPr>
        <w:pStyle w:val="ListParagraph"/>
        <w:numPr>
          <w:ilvl w:val="0"/>
          <w:numId w:val="28"/>
        </w:numPr>
        <w:jc w:val="both"/>
        <w:rPr>
          <w:rFonts w:ascii="Times New Roman" w:eastAsia="等线" w:hAnsi="Times New Roman" w:cs="Times New Roman"/>
          <w:b/>
          <w:sz w:val="20"/>
          <w:szCs w:val="20"/>
          <w:lang w:val="en-US" w:eastAsia="zh-CN"/>
        </w:rPr>
      </w:pPr>
      <w:r>
        <w:rPr>
          <w:rFonts w:ascii="Times New Roman" w:eastAsia="等线" w:hAnsi="Times New Roman" w:cs="Times New Roman"/>
          <w:b/>
          <w:sz w:val="20"/>
          <w:szCs w:val="20"/>
          <w:lang w:val="en-US" w:eastAsia="zh-CN"/>
        </w:rPr>
        <w:t>P4-5: Define separate value set for the IE of MIMO-</w:t>
      </w:r>
      <w:proofErr w:type="spellStart"/>
      <w:r>
        <w:rPr>
          <w:rFonts w:ascii="Times New Roman" w:eastAsia="等线" w:hAnsi="Times New Roman" w:cs="Times New Roman"/>
          <w:b/>
          <w:sz w:val="20"/>
          <w:szCs w:val="20"/>
          <w:lang w:val="en-US" w:eastAsia="zh-CN"/>
        </w:rPr>
        <w:t>LayersDL</w:t>
      </w:r>
      <w:proofErr w:type="spellEnd"/>
      <w:r>
        <w:rPr>
          <w:rFonts w:ascii="Times New Roman" w:eastAsia="等线" w:hAnsi="Times New Roman" w:cs="Times New Roman"/>
          <w:b/>
          <w:sz w:val="20"/>
          <w:szCs w:val="20"/>
          <w:lang w:val="en-US" w:eastAsia="zh-CN"/>
        </w:rPr>
        <w:t xml:space="preserve">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r>
              <w:rPr>
                <w:lang w:eastAsia="ko-KR"/>
              </w:rPr>
              <w:t>Yes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proofErr w:type="spellStart"/>
            <w:r>
              <w:rPr>
                <w:rFonts w:eastAsiaTheme="minorEastAsia"/>
                <w:i/>
                <w:lang w:eastAsia="zh-CN"/>
              </w:rPr>
              <w:t>maxNumberMIMO-LayersPDSCH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w:t>
            </w:r>
            <w:r>
              <w:rPr>
                <w:rFonts w:eastAsiaTheme="minorEastAsia" w:hint="eastAsia"/>
                <w:lang w:eastAsia="zh-CN"/>
              </w:rPr>
              <w:lastRenderedPageBreak/>
              <w:t xml:space="preserve">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lastRenderedPageBreak/>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宋体"/>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宋体" w:hint="eastAsia"/>
                <w:iCs/>
                <w:lang w:val="en-US" w:eastAsia="zh-CN"/>
              </w:rPr>
              <w:t xml:space="preserve">for </w:t>
            </w:r>
            <w:proofErr w:type="spellStart"/>
            <w:r>
              <w:rPr>
                <w:rFonts w:eastAsia="宋体" w:hint="eastAsia"/>
                <w:iCs/>
                <w:lang w:val="en-US" w:eastAsia="zh-CN"/>
              </w:rPr>
              <w:t>RedCap</w:t>
            </w:r>
            <w:proofErr w:type="spellEnd"/>
            <w:r>
              <w:rPr>
                <w:rFonts w:eastAsia="宋体" w:hint="eastAsia"/>
                <w:iCs/>
                <w:lang w:val="en-US" w:eastAsia="zh-CN"/>
              </w:rPr>
              <w:t xml:space="preserve"> </w:t>
            </w:r>
            <w:proofErr w:type="spellStart"/>
            <w:r>
              <w:rPr>
                <w:rFonts w:eastAsia="宋体" w:hint="eastAsia"/>
                <w:iCs/>
                <w:lang w:val="en-US" w:eastAsia="zh-CN"/>
              </w:rPr>
              <w:t>U</w:t>
            </w:r>
            <w:r>
              <w:rPr>
                <w:rFonts w:eastAsia="宋体"/>
                <w:iCs/>
                <w:lang w:val="en-US" w:eastAsia="zh-CN"/>
              </w:rPr>
              <w:t>e</w:t>
            </w:r>
            <w:r>
              <w:rPr>
                <w:rFonts w:eastAsia="宋体" w:hint="eastAsia"/>
                <w:iCs/>
                <w:lang w:val="en-US" w:eastAsia="zh-CN"/>
              </w:rPr>
              <w:t>s</w:t>
            </w:r>
            <w:proofErr w:type="spellEnd"/>
            <w:r>
              <w:rPr>
                <w:rFonts w:eastAsia="宋体"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How to capture the relationship between Rx and DL MIMO layer for RedCap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67568B6" w14:textId="77777777" w:rsidR="006D336C" w:rsidRDefault="006D336C">
            <w:pPr>
              <w:tabs>
                <w:tab w:val="left" w:pos="551"/>
              </w:tabs>
              <w:rPr>
                <w:rFonts w:eastAsia="宋体"/>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宋体"/>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宋体"/>
                <w:lang w:val="en-US" w:eastAsia="ja-JP"/>
              </w:rPr>
            </w:pPr>
            <w:r>
              <w:rPr>
                <w:rFonts w:eastAsia="宋体"/>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宋体"/>
                <w:lang w:val="en-US" w:eastAsia="ja-JP"/>
              </w:rPr>
            </w:pPr>
            <w:r>
              <w:rPr>
                <w:rFonts w:eastAsia="宋体"/>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宋体"/>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宋体"/>
                <w:lang w:val="en-US" w:eastAsia="zh-CN"/>
              </w:rPr>
            </w:pPr>
            <w:r>
              <w:rPr>
                <w:rFonts w:eastAsia="宋体"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4CBA4435" w14:textId="77777777" w:rsidR="006D336C" w:rsidRDefault="00786B0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6A5B1449" w14:textId="77777777" w:rsidR="006D336C" w:rsidRDefault="00786B09">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4326200B" w14:textId="77777777" w:rsidR="006D336C" w:rsidRDefault="00786B09">
            <w:pPr>
              <w:spacing w:after="0"/>
              <w:rPr>
                <w:rFonts w:eastAsia="宋体"/>
                <w:lang w:val="en-US" w:eastAsia="zh-CN"/>
              </w:rPr>
            </w:pPr>
            <w:r>
              <w:rPr>
                <w:rFonts w:eastAsia="宋体"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proofErr w:type="spellStart"/>
            <w:r>
              <w:t>Vip</w:t>
            </w:r>
            <w:proofErr w:type="spellEnd"/>
            <w:r>
              <w:t xml:space="preserve">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r>
              <w:t>Yuantao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77777777" w:rsidR="006D336C" w:rsidRDefault="006D336C">
            <w:pPr>
              <w:spacing w:after="0"/>
            </w:pPr>
          </w:p>
        </w:tc>
        <w:tc>
          <w:tcPr>
            <w:tcW w:w="2410" w:type="dxa"/>
          </w:tcPr>
          <w:p w14:paraId="449C899F" w14:textId="77777777" w:rsidR="006D336C" w:rsidRDefault="006D336C">
            <w:pPr>
              <w:spacing w:after="0"/>
            </w:pPr>
          </w:p>
        </w:tc>
        <w:tc>
          <w:tcPr>
            <w:tcW w:w="4110" w:type="dxa"/>
          </w:tcPr>
          <w:p w14:paraId="44587932" w14:textId="77777777" w:rsidR="006D336C" w:rsidRDefault="006D336C">
            <w:pPr>
              <w:spacing w:after="0"/>
            </w:pP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56B4A51C" w14:textId="77777777" w:rsidR="006D336C" w:rsidRDefault="001A7883">
      <w:pPr>
        <w:pStyle w:val="ListParagraph"/>
        <w:numPr>
          <w:ilvl w:val="0"/>
          <w:numId w:val="29"/>
        </w:numPr>
        <w:ind w:left="418" w:hanging="418"/>
        <w:contextualSpacing w:val="0"/>
        <w:rPr>
          <w:lang w:val="en-US" w:eastAsia="zh-CN"/>
        </w:rPr>
      </w:pPr>
      <w:hyperlink r:id="rId12" w:history="1">
        <w:r w:rsidR="00786B09">
          <w:rPr>
            <w:rStyle w:val="Hyperlink"/>
            <w:lang w:val="en-US" w:eastAsia="zh-CN"/>
          </w:rPr>
          <w:t>R1-2106460</w:t>
        </w:r>
      </w:hyperlink>
      <w:r w:rsidR="00786B09">
        <w:rPr>
          <w:lang w:val="en-US" w:eastAsia="zh-CN"/>
        </w:rPr>
        <w:tab/>
        <w:t>Reduced number of Rx branches for RedCap</w:t>
      </w:r>
      <w:r w:rsidR="00786B09">
        <w:rPr>
          <w:lang w:val="en-US" w:eastAsia="zh-CN"/>
        </w:rPr>
        <w:tab/>
        <w:t xml:space="preserve">Huawei, </w:t>
      </w:r>
      <w:proofErr w:type="spellStart"/>
      <w:r w:rsidR="00786B09">
        <w:rPr>
          <w:lang w:val="en-US" w:eastAsia="zh-CN"/>
        </w:rPr>
        <w:t>HiSilicon</w:t>
      </w:r>
      <w:proofErr w:type="spellEnd"/>
    </w:p>
    <w:p w14:paraId="6B2F0FE4" w14:textId="77777777" w:rsidR="006D336C" w:rsidRDefault="001A7883">
      <w:pPr>
        <w:pStyle w:val="ListParagraph"/>
        <w:numPr>
          <w:ilvl w:val="0"/>
          <w:numId w:val="29"/>
        </w:numPr>
        <w:ind w:left="418" w:hanging="418"/>
        <w:contextualSpacing w:val="0"/>
        <w:rPr>
          <w:lang w:val="en-US" w:eastAsia="zh-CN"/>
        </w:rPr>
      </w:pPr>
      <w:hyperlink r:id="rId13" w:history="1">
        <w:r w:rsidR="00786B09">
          <w:rPr>
            <w:rStyle w:val="Hyperlink"/>
            <w:lang w:val="en-US" w:eastAsia="zh-CN"/>
          </w:rPr>
          <w:t>R1-2106564</w:t>
        </w:r>
      </w:hyperlink>
      <w:r w:rsidR="00786B09">
        <w:rPr>
          <w:lang w:val="en-US" w:eastAsia="zh-CN"/>
        </w:rPr>
        <w:tab/>
        <w:t>Reduced number of Rx branches for RedCap</w:t>
      </w:r>
      <w:r w:rsidR="00786B09">
        <w:rPr>
          <w:lang w:val="en-US" w:eastAsia="zh-CN"/>
        </w:rPr>
        <w:tab/>
        <w:t>Ericsson</w:t>
      </w:r>
    </w:p>
    <w:p w14:paraId="07818D2D" w14:textId="77777777" w:rsidR="006D336C" w:rsidRDefault="001A7883">
      <w:pPr>
        <w:pStyle w:val="ListParagraph"/>
        <w:numPr>
          <w:ilvl w:val="0"/>
          <w:numId w:val="29"/>
        </w:numPr>
        <w:ind w:left="418" w:hanging="418"/>
        <w:contextualSpacing w:val="0"/>
        <w:rPr>
          <w:lang w:val="en-US" w:eastAsia="zh-CN"/>
        </w:rPr>
      </w:pPr>
      <w:hyperlink r:id="rId14" w:history="1">
        <w:r w:rsidR="00786B09">
          <w:rPr>
            <w:rStyle w:val="Hyperlink"/>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1A7883">
      <w:pPr>
        <w:pStyle w:val="ListParagraph"/>
        <w:numPr>
          <w:ilvl w:val="0"/>
          <w:numId w:val="29"/>
        </w:numPr>
        <w:ind w:left="418" w:hanging="418"/>
        <w:contextualSpacing w:val="0"/>
        <w:rPr>
          <w:lang w:val="en-US" w:eastAsia="zh-CN"/>
        </w:rPr>
      </w:pPr>
      <w:hyperlink r:id="rId15" w:history="1">
        <w:r w:rsidR="00786B09">
          <w:rPr>
            <w:rStyle w:val="Hyperlink"/>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1A7883">
      <w:pPr>
        <w:pStyle w:val="ListParagraph"/>
        <w:numPr>
          <w:ilvl w:val="0"/>
          <w:numId w:val="29"/>
        </w:numPr>
        <w:ind w:left="418" w:hanging="418"/>
        <w:contextualSpacing w:val="0"/>
        <w:rPr>
          <w:lang w:val="en-US" w:eastAsia="zh-CN"/>
        </w:rPr>
      </w:pPr>
      <w:hyperlink r:id="rId16" w:history="1">
        <w:r w:rsidR="00786B09">
          <w:rPr>
            <w:rStyle w:val="Hyperlink"/>
            <w:lang w:val="en-US" w:eastAsia="zh-CN"/>
          </w:rPr>
          <w:t>R1-2106842</w:t>
        </w:r>
      </w:hyperlink>
      <w:r w:rsidR="00786B09">
        <w:rPr>
          <w:lang w:val="en-US" w:eastAsia="zh-CN"/>
        </w:rPr>
        <w:tab/>
        <w:t>Discussion on reduced number of UE Rx branches</w:t>
      </w:r>
      <w:r w:rsidR="00786B09">
        <w:rPr>
          <w:lang w:val="en-US" w:eastAsia="zh-CN"/>
        </w:rPr>
        <w:tab/>
        <w:t xml:space="preserve">ZTE, </w:t>
      </w:r>
      <w:proofErr w:type="spellStart"/>
      <w:r w:rsidR="00786B09">
        <w:rPr>
          <w:lang w:val="en-US" w:eastAsia="zh-CN"/>
        </w:rPr>
        <w:t>Sanechips</w:t>
      </w:r>
      <w:proofErr w:type="spellEnd"/>
    </w:p>
    <w:p w14:paraId="563DE7EA" w14:textId="77777777" w:rsidR="006D336C" w:rsidRDefault="001A7883">
      <w:pPr>
        <w:pStyle w:val="ListParagraph"/>
        <w:numPr>
          <w:ilvl w:val="0"/>
          <w:numId w:val="29"/>
        </w:numPr>
        <w:ind w:left="418" w:hanging="418"/>
        <w:contextualSpacing w:val="0"/>
        <w:rPr>
          <w:lang w:val="en-US" w:eastAsia="zh-CN"/>
        </w:rPr>
      </w:pPr>
      <w:hyperlink r:id="rId17" w:history="1">
        <w:r w:rsidR="00786B09">
          <w:rPr>
            <w:rStyle w:val="Hyperlink"/>
            <w:lang w:val="en-US" w:eastAsia="zh-CN"/>
          </w:rPr>
          <w:t>R1-2106895</w:t>
        </w:r>
      </w:hyperlink>
      <w:r w:rsidR="00786B09">
        <w:rPr>
          <w:lang w:val="en-US" w:eastAsia="zh-CN"/>
        </w:rPr>
        <w:tab/>
        <w:t>Discussion on reduced number of RX branches for RedCap UEs</w:t>
      </w:r>
      <w:r w:rsidR="00786B09">
        <w:rPr>
          <w:lang w:val="en-US" w:eastAsia="zh-CN"/>
        </w:rPr>
        <w:tab/>
        <w:t>Samsung</w:t>
      </w:r>
    </w:p>
    <w:p w14:paraId="1FF6E19D" w14:textId="77777777" w:rsidR="006D336C" w:rsidRDefault="001A7883">
      <w:pPr>
        <w:pStyle w:val="ListParagraph"/>
        <w:numPr>
          <w:ilvl w:val="0"/>
          <w:numId w:val="29"/>
        </w:numPr>
        <w:ind w:left="418" w:hanging="418"/>
        <w:contextualSpacing w:val="0"/>
        <w:rPr>
          <w:lang w:val="en-US" w:eastAsia="zh-CN"/>
        </w:rPr>
      </w:pPr>
      <w:hyperlink r:id="rId18" w:history="1">
        <w:r w:rsidR="00786B09">
          <w:rPr>
            <w:rStyle w:val="Hyperlink"/>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1A7883">
      <w:pPr>
        <w:pStyle w:val="ListParagraph"/>
        <w:numPr>
          <w:ilvl w:val="0"/>
          <w:numId w:val="29"/>
        </w:numPr>
        <w:ind w:left="418" w:hanging="418"/>
        <w:contextualSpacing w:val="0"/>
        <w:rPr>
          <w:lang w:val="en-US" w:eastAsia="zh-CN"/>
        </w:rPr>
      </w:pPr>
      <w:hyperlink r:id="rId19" w:history="1">
        <w:r w:rsidR="00786B09">
          <w:rPr>
            <w:rStyle w:val="Hyperlink"/>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1A7883">
      <w:pPr>
        <w:pStyle w:val="ListParagraph"/>
        <w:numPr>
          <w:ilvl w:val="0"/>
          <w:numId w:val="29"/>
        </w:numPr>
        <w:ind w:left="418" w:hanging="418"/>
        <w:contextualSpacing w:val="0"/>
        <w:rPr>
          <w:lang w:val="en-US" w:eastAsia="zh-CN"/>
        </w:rPr>
      </w:pPr>
      <w:hyperlink r:id="rId20" w:history="1">
        <w:r w:rsidR="00786B09">
          <w:rPr>
            <w:rStyle w:val="Hyperlink"/>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1A7883">
      <w:pPr>
        <w:pStyle w:val="ListParagraph"/>
        <w:numPr>
          <w:ilvl w:val="0"/>
          <w:numId w:val="29"/>
        </w:numPr>
        <w:ind w:left="418" w:hanging="418"/>
        <w:contextualSpacing w:val="0"/>
        <w:rPr>
          <w:lang w:val="en-US" w:eastAsia="zh-CN"/>
        </w:rPr>
      </w:pPr>
      <w:hyperlink r:id="rId21" w:history="1">
        <w:r w:rsidR="00786B09">
          <w:rPr>
            <w:rStyle w:val="Hyperlink"/>
            <w:lang w:val="en-US" w:eastAsia="zh-CN"/>
          </w:rPr>
          <w:t>R1-2107352</w:t>
        </w:r>
      </w:hyperlink>
      <w:r w:rsidR="00786B09">
        <w:rPr>
          <w:lang w:val="en-US" w:eastAsia="zh-CN"/>
        </w:rPr>
        <w:tab/>
        <w:t>RX Branch Reduction for RedCap UE</w:t>
      </w:r>
      <w:r w:rsidR="00786B09">
        <w:rPr>
          <w:lang w:val="en-US" w:eastAsia="zh-CN"/>
        </w:rPr>
        <w:tab/>
        <w:t>Qualcomm Incorporated</w:t>
      </w:r>
    </w:p>
    <w:p w14:paraId="192748CB" w14:textId="77777777" w:rsidR="006D336C" w:rsidRDefault="001A7883">
      <w:pPr>
        <w:pStyle w:val="ListParagraph"/>
        <w:numPr>
          <w:ilvl w:val="0"/>
          <w:numId w:val="29"/>
        </w:numPr>
        <w:ind w:left="418" w:hanging="418"/>
        <w:contextualSpacing w:val="0"/>
        <w:rPr>
          <w:lang w:val="en-US" w:eastAsia="zh-CN"/>
        </w:rPr>
      </w:pPr>
      <w:hyperlink r:id="rId22" w:history="1">
        <w:r w:rsidR="00786B09">
          <w:rPr>
            <w:rStyle w:val="Hyperlink"/>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1A7883">
      <w:pPr>
        <w:pStyle w:val="ListParagraph"/>
        <w:numPr>
          <w:ilvl w:val="0"/>
          <w:numId w:val="29"/>
        </w:numPr>
        <w:ind w:left="418" w:hanging="418"/>
        <w:contextualSpacing w:val="0"/>
        <w:rPr>
          <w:lang w:val="en-US" w:eastAsia="zh-CN"/>
        </w:rPr>
      </w:pPr>
      <w:hyperlink r:id="rId23" w:history="1">
        <w:r w:rsidR="00786B09">
          <w:rPr>
            <w:rStyle w:val="Hyperlink"/>
            <w:lang w:val="en-US" w:eastAsia="zh-CN"/>
          </w:rPr>
          <w:t>R1-2107449</w:t>
        </w:r>
      </w:hyperlink>
      <w:r w:rsidR="00786B09">
        <w:rPr>
          <w:lang w:val="en-US" w:eastAsia="zh-CN"/>
        </w:rPr>
        <w:tab/>
        <w:t>Aspects related to the reduced number of Rx branches of RedCap</w:t>
      </w:r>
      <w:r w:rsidR="00786B09">
        <w:rPr>
          <w:lang w:val="en-US" w:eastAsia="zh-CN"/>
        </w:rPr>
        <w:tab/>
        <w:t>LG Electronics</w:t>
      </w:r>
    </w:p>
    <w:p w14:paraId="5A2512AF" w14:textId="77777777" w:rsidR="006D336C" w:rsidRDefault="001A7883">
      <w:pPr>
        <w:pStyle w:val="ListParagraph"/>
        <w:numPr>
          <w:ilvl w:val="0"/>
          <w:numId w:val="29"/>
        </w:numPr>
        <w:ind w:left="418" w:hanging="418"/>
        <w:contextualSpacing w:val="0"/>
        <w:rPr>
          <w:lang w:val="en-US" w:eastAsia="zh-CN"/>
        </w:rPr>
      </w:pPr>
      <w:hyperlink r:id="rId24" w:history="1">
        <w:r w:rsidR="00786B09">
          <w:rPr>
            <w:rStyle w:val="Hyperlink"/>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1A7883">
      <w:pPr>
        <w:pStyle w:val="ListParagraph"/>
        <w:numPr>
          <w:ilvl w:val="0"/>
          <w:numId w:val="29"/>
        </w:numPr>
        <w:ind w:left="418" w:hanging="418"/>
        <w:contextualSpacing w:val="0"/>
        <w:rPr>
          <w:lang w:val="en-US" w:eastAsia="zh-CN"/>
        </w:rPr>
      </w:pPr>
      <w:hyperlink r:id="rId25" w:history="1">
        <w:r w:rsidR="00786B09">
          <w:rPr>
            <w:rStyle w:val="Hyperlink"/>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1A7883">
      <w:pPr>
        <w:pStyle w:val="ListParagraph"/>
        <w:numPr>
          <w:ilvl w:val="0"/>
          <w:numId w:val="29"/>
        </w:numPr>
        <w:ind w:left="418" w:hanging="418"/>
        <w:contextualSpacing w:val="0"/>
        <w:rPr>
          <w:lang w:val="en-US" w:eastAsia="zh-CN"/>
        </w:rPr>
      </w:pPr>
      <w:hyperlink r:id="rId26" w:history="1">
        <w:r w:rsidR="00786B09">
          <w:rPr>
            <w:rStyle w:val="Hyperlink"/>
            <w:lang w:val="en-US" w:eastAsia="zh-CN"/>
          </w:rPr>
          <w:t>R1-2107810</w:t>
        </w:r>
      </w:hyperlink>
      <w:r w:rsidR="00786B09">
        <w:rPr>
          <w:lang w:val="en-US" w:eastAsia="zh-CN"/>
        </w:rPr>
        <w:tab/>
        <w:t>Reduced number of Rx branches for RedCap UEs</w:t>
      </w:r>
      <w:r w:rsidR="00786B09">
        <w:rPr>
          <w:lang w:val="en-US" w:eastAsia="zh-CN"/>
        </w:rPr>
        <w:tab/>
        <w:t>InterDigital, Inc.</w:t>
      </w:r>
    </w:p>
    <w:p w14:paraId="3A7CFE46" w14:textId="77777777" w:rsidR="006D336C" w:rsidRDefault="001A7883">
      <w:pPr>
        <w:pStyle w:val="ListParagraph"/>
        <w:numPr>
          <w:ilvl w:val="0"/>
          <w:numId w:val="29"/>
        </w:numPr>
        <w:ind w:left="418" w:hanging="418"/>
        <w:contextualSpacing w:val="0"/>
        <w:rPr>
          <w:lang w:val="en-US" w:eastAsia="zh-CN"/>
        </w:rPr>
      </w:pPr>
      <w:hyperlink r:id="rId27" w:history="1">
        <w:r w:rsidR="00786B09">
          <w:rPr>
            <w:rStyle w:val="Hyperlink"/>
            <w:lang w:val="en-US" w:eastAsia="zh-CN"/>
          </w:rPr>
          <w:t>R1-2107865</w:t>
        </w:r>
      </w:hyperlink>
      <w:r w:rsidR="00786B09">
        <w:rPr>
          <w:lang w:val="en-US" w:eastAsia="zh-CN"/>
        </w:rPr>
        <w:tab/>
        <w:t>Discussion on reduced minimum number of Rx branches for RedCap</w:t>
      </w:r>
      <w:r w:rsidR="00786B09">
        <w:rPr>
          <w:lang w:val="en-US" w:eastAsia="zh-CN"/>
        </w:rPr>
        <w:tab/>
        <w:t>NTT DOCOMO, INC.</w:t>
      </w:r>
    </w:p>
    <w:p w14:paraId="683391CD" w14:textId="77777777" w:rsidR="006D336C" w:rsidRDefault="001A7883">
      <w:pPr>
        <w:pStyle w:val="ListParagraph"/>
        <w:numPr>
          <w:ilvl w:val="0"/>
          <w:numId w:val="29"/>
        </w:numPr>
        <w:ind w:left="418" w:hanging="418"/>
        <w:contextualSpacing w:val="0"/>
        <w:rPr>
          <w:lang w:val="en-US" w:eastAsia="zh-CN"/>
        </w:rPr>
      </w:pPr>
      <w:hyperlink r:id="rId28" w:history="1">
        <w:r w:rsidR="00786B09">
          <w:rPr>
            <w:rStyle w:val="Hyperlink"/>
            <w:lang w:val="en-US" w:eastAsia="zh-CN"/>
          </w:rPr>
          <w:t>R1-2107927</w:t>
        </w:r>
      </w:hyperlink>
      <w:r w:rsidR="00786B09">
        <w:rPr>
          <w:lang w:val="en-US" w:eastAsia="zh-CN"/>
        </w:rPr>
        <w:tab/>
        <w:t>Discussion on the remaining issues of reduced Rx for RedCap</w:t>
      </w:r>
      <w:r w:rsidR="00786B09">
        <w:rPr>
          <w:lang w:val="en-US" w:eastAsia="zh-CN"/>
        </w:rPr>
        <w:tab/>
        <w:t>Xiaomi</w:t>
      </w:r>
    </w:p>
    <w:p w14:paraId="1D6D6587" w14:textId="77777777" w:rsidR="006D336C" w:rsidRDefault="001A7883">
      <w:pPr>
        <w:pStyle w:val="ListParagraph"/>
        <w:numPr>
          <w:ilvl w:val="0"/>
          <w:numId w:val="29"/>
        </w:numPr>
        <w:ind w:left="418" w:hanging="418"/>
        <w:contextualSpacing w:val="0"/>
        <w:rPr>
          <w:lang w:val="en-US" w:eastAsia="zh-CN"/>
        </w:rPr>
      </w:pPr>
      <w:hyperlink r:id="rId29" w:history="1">
        <w:r w:rsidR="00786B09">
          <w:rPr>
            <w:rStyle w:val="Hyperlink"/>
            <w:lang w:val="en-US" w:eastAsia="zh-CN"/>
          </w:rPr>
          <w:t>R1-2107948</w:t>
        </w:r>
      </w:hyperlink>
      <w:r w:rsidR="00786B09">
        <w:rPr>
          <w:lang w:val="en-US" w:eastAsia="zh-CN"/>
        </w:rPr>
        <w:tab/>
        <w:t>Remain issues for reduced number or Rx branches for RedCap</w:t>
      </w:r>
      <w:r w:rsidR="00786B09">
        <w:rPr>
          <w:lang w:val="en-US" w:eastAsia="zh-CN"/>
        </w:rPr>
        <w:tab/>
        <w:t>Lenovo, Motorola Mobility</w:t>
      </w:r>
    </w:p>
    <w:p w14:paraId="08DCAFC8" w14:textId="77777777" w:rsidR="006D336C" w:rsidRDefault="001A7883">
      <w:pPr>
        <w:pStyle w:val="ListParagraph"/>
        <w:numPr>
          <w:ilvl w:val="0"/>
          <w:numId w:val="29"/>
        </w:numPr>
        <w:ind w:left="418" w:hanging="418"/>
        <w:contextualSpacing w:val="0"/>
        <w:rPr>
          <w:lang w:val="en-US" w:eastAsia="zh-CN"/>
        </w:rPr>
      </w:pPr>
      <w:hyperlink r:id="rId30" w:history="1">
        <w:r w:rsidR="00786B09">
          <w:rPr>
            <w:rStyle w:val="Hyperlink"/>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default"/>
    <w:sig w:usb0="00000003" w:usb1="288F0000" w:usb2="00000006" w:usb3="00000000" w:csb0="00040001" w:csb1="00000000"/>
  </w:font>
  <w:font w:name="Batang">
    <w:altName w:val="바탕"/>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charset w:val="00"/>
    <w:family w:val="roman"/>
    <w:pitch w:val="default"/>
  </w:font>
  <w:font w:name="Malgun Gothic">
    <w:panose1 w:val="020B0503020000020004"/>
    <w:charset w:val="81"/>
    <w:family w:val="swiss"/>
    <w:pitch w:val="default"/>
    <w:sig w:usb0="900002AF" w:usb1="01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PMincho"/>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2.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8988</Words>
  <Characters>51238</Characters>
  <Application>Microsoft Office Word</Application>
  <DocSecurity>0</DocSecurity>
  <Lines>426</Lines>
  <Paragraphs>120</Paragraphs>
  <ScaleCrop>false</ScaleCrop>
  <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4</cp:revision>
  <dcterms:created xsi:type="dcterms:W3CDTF">2021-08-19T14:01:00Z</dcterms:created>
  <dcterms:modified xsi:type="dcterms:W3CDTF">2021-08-19T14:27:00Z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