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ZTE, Sanechips</w:t>
            </w:r>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hint="eastAsia"/>
                <w:lang w:eastAsia="ja-JP"/>
              </w:rPr>
            </w:pPr>
            <w:r>
              <w:rPr>
                <w:rFonts w:eastAsia="Yu Mincho"/>
                <w:lang w:eastAsia="ja-JP"/>
              </w:rPr>
              <w:t>Q2-1: Yes</w:t>
            </w:r>
          </w:p>
        </w:tc>
        <w:tc>
          <w:tcPr>
            <w:tcW w:w="6216" w:type="dxa"/>
          </w:tcPr>
          <w:p w14:paraId="620DE84D" w14:textId="498FDFF2" w:rsidR="000640B9" w:rsidRDefault="000640B9" w:rsidP="00AB1473">
            <w:pPr>
              <w:rPr>
                <w:rFonts w:eastAsia="Yu Mincho" w:hint="eastAsia"/>
                <w:lang w:eastAsia="ja-JP"/>
              </w:rPr>
            </w:pPr>
            <w:r>
              <w:rPr>
                <w:rFonts w:eastAsia="Yu Mincho"/>
                <w:lang w:eastAsia="ja-JP"/>
              </w:rPr>
              <w:t>We do  not see strong reason to consider other solutions with spec impact.</w:t>
            </w: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lastRenderedPageBreak/>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77777777" w:rsidR="008152CA" w:rsidRDefault="00D36349">
            <w:pPr>
              <w:numPr>
                <w:ilvl w:val="1"/>
                <w:numId w:val="14"/>
              </w:numPr>
              <w:spacing w:after="0"/>
              <w:rPr>
                <w:rFonts w:eastAsia="Times New Roman"/>
              </w:rPr>
            </w:pPr>
            <w:r>
              <w:rPr>
                <w:rFonts w:eastAsia="Times New Roman"/>
              </w:rPr>
              <w:t>FFS: Which DCI formats are mandatory for the RedCap UEs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77777777"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77777777"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77777777" w:rsidR="008152CA" w:rsidRDefault="00D36349">
            <w:pPr>
              <w:tabs>
                <w:tab w:val="left" w:pos="1410"/>
              </w:tabs>
              <w:spacing w:after="100" w:afterAutospacing="1"/>
            </w:pPr>
            <w:r>
              <w:t>DCI format 2_x can be optionally supported and DCI format 3_x is not supported for RedCap UEs.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lastRenderedPageBreak/>
              <w:t xml:space="preserve">Redundancy version for TB1, </w:t>
            </w:r>
          </w:p>
          <w:p w14:paraId="07DC2789"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07DC278E" w14:textId="77777777"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Support reduction of MCS field for non_fallback DCI format for RedCap UEs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7777777"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777777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potenital one bit reduction for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77777777"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77777777" w:rsidR="008152CA" w:rsidRDefault="00D3634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77777777" w:rsidR="008152CA" w:rsidRDefault="00D3634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xml:space="preserve">), but also a little confusing to us. Does RedCap UE not </w:t>
            </w:r>
            <w:r w:rsidRPr="00AB1473">
              <w:rPr>
                <w:rFonts w:eastAsiaTheme="minorEastAsia" w:hint="eastAsia"/>
                <w:sz w:val="20"/>
                <w:lang w:val="en-US" w:eastAsia="zh-CN"/>
              </w:rPr>
              <w:lastRenderedPageBreak/>
              <w:t>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lastRenderedPageBreak/>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77777777" w:rsidR="008152CA" w:rsidRDefault="00D3634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77777777"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UEs. Their bitwidth can change based on RedCap UE capabilities. So </w:t>
            </w:r>
            <w:r>
              <w:rPr>
                <w:rFonts w:eastAsiaTheme="minorEastAsia"/>
                <w:lang w:eastAsia="zh-CN"/>
              </w:rPr>
              <w:t>there is no need to explicitly capture them in TS 38.212.</w:t>
            </w:r>
          </w:p>
          <w:p w14:paraId="07DC27F4" w14:textId="77777777"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UEs.</w:t>
            </w:r>
          </w:p>
          <w:p w14:paraId="07DC27F5" w14:textId="77777777"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hint="eastAsia"/>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77777777"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77777777" w:rsidR="008152CA" w:rsidRDefault="00D3634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77777777" w:rsidR="008152CA" w:rsidRDefault="00D36349">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77777777" w:rsidR="008152CA" w:rsidRDefault="00D36349">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lastRenderedPageBreak/>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 xml:space="preserve">From our understanding, the RSRP measured by RedCap may be somehow affected by the reduced number of Rx branches. However, </w:t>
            </w:r>
            <w:r>
              <w:rPr>
                <w:color w:val="000000" w:themeColor="text1"/>
                <w:lang w:eastAsia="sv-SE"/>
              </w:rPr>
              <w:lastRenderedPageBreak/>
              <w:t>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lastRenderedPageBreak/>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ListParagraph"/>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P4-5: Define separate value set for the IE of MIMO-LayersDL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lastRenderedPageBreak/>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are OK with huawei’s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77777777" w:rsidR="008152CA" w:rsidRDefault="00D36349">
            <w:pPr>
              <w:rPr>
                <w:rFonts w:eastAsiaTheme="minorEastAsia"/>
                <w:lang w:eastAsia="zh-CN"/>
              </w:rPr>
            </w:pPr>
            <w:r>
              <w:rPr>
                <w:lang w:eastAsia="ko-KR"/>
              </w:rPr>
              <w:t xml:space="preserve">P4-5 is not needed. The applicable values already include candidate values for RedCap UEs.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7777777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UEs.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hint="eastAsia"/>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hint="eastAsia"/>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lastRenderedPageBreak/>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4"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hint="eastAsia"/>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hint="eastAsia"/>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ZTE, Sanechips</w:t>
            </w:r>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8152CA" w14:paraId="07DC2938" w14:textId="77777777">
        <w:tc>
          <w:tcPr>
            <w:tcW w:w="2830" w:type="dxa"/>
          </w:tcPr>
          <w:p w14:paraId="07DC2935" w14:textId="77777777" w:rsidR="008152CA" w:rsidRDefault="008152CA">
            <w:pPr>
              <w:spacing w:after="0"/>
            </w:pPr>
          </w:p>
        </w:tc>
        <w:tc>
          <w:tcPr>
            <w:tcW w:w="2410" w:type="dxa"/>
          </w:tcPr>
          <w:p w14:paraId="07DC2936" w14:textId="77777777" w:rsidR="008152CA" w:rsidRDefault="008152CA">
            <w:pPr>
              <w:spacing w:after="0"/>
            </w:pPr>
          </w:p>
        </w:tc>
        <w:tc>
          <w:tcPr>
            <w:tcW w:w="4110" w:type="dxa"/>
          </w:tcPr>
          <w:p w14:paraId="07DC2937" w14:textId="77777777" w:rsidR="008152CA" w:rsidRDefault="008152CA">
            <w:pPr>
              <w:spacing w:after="0"/>
            </w:pPr>
          </w:p>
        </w:tc>
      </w:tr>
      <w:tr w:rsidR="008152CA" w14:paraId="07DC293C" w14:textId="77777777">
        <w:tc>
          <w:tcPr>
            <w:tcW w:w="2830" w:type="dxa"/>
          </w:tcPr>
          <w:p w14:paraId="07DC2939" w14:textId="77777777" w:rsidR="008152CA" w:rsidRDefault="008152CA">
            <w:pPr>
              <w:spacing w:after="0"/>
              <w:rPr>
                <w:rFonts w:eastAsiaTheme="minorEastAsia"/>
                <w:lang w:eastAsia="zh-CN"/>
              </w:rPr>
            </w:pPr>
          </w:p>
        </w:tc>
        <w:tc>
          <w:tcPr>
            <w:tcW w:w="2410" w:type="dxa"/>
          </w:tcPr>
          <w:p w14:paraId="07DC293A" w14:textId="77777777" w:rsidR="008152CA" w:rsidRDefault="008152CA">
            <w:pPr>
              <w:spacing w:after="0"/>
              <w:rPr>
                <w:rFonts w:eastAsiaTheme="minorEastAsia"/>
                <w:lang w:eastAsia="zh-CN"/>
              </w:rPr>
            </w:pPr>
          </w:p>
        </w:tc>
        <w:tc>
          <w:tcPr>
            <w:tcW w:w="4110" w:type="dxa"/>
          </w:tcPr>
          <w:p w14:paraId="07DC293B" w14:textId="77777777" w:rsidR="008152CA" w:rsidRDefault="008152CA">
            <w:pPr>
              <w:spacing w:after="0"/>
              <w:rPr>
                <w:rFonts w:eastAsiaTheme="minorEastAsia"/>
                <w:lang w:eastAsia="zh-CN"/>
              </w:rPr>
            </w:pPr>
          </w:p>
        </w:tc>
      </w:tr>
      <w:tr w:rsidR="008152CA" w14:paraId="07DC2940" w14:textId="77777777">
        <w:tc>
          <w:tcPr>
            <w:tcW w:w="2830" w:type="dxa"/>
          </w:tcPr>
          <w:p w14:paraId="07DC293D" w14:textId="77777777" w:rsidR="008152CA" w:rsidRDefault="008152CA">
            <w:pPr>
              <w:spacing w:after="0"/>
            </w:pPr>
          </w:p>
        </w:tc>
        <w:tc>
          <w:tcPr>
            <w:tcW w:w="2410" w:type="dxa"/>
          </w:tcPr>
          <w:p w14:paraId="07DC293E" w14:textId="77777777" w:rsidR="008152CA" w:rsidRDefault="008152CA">
            <w:pPr>
              <w:spacing w:after="0"/>
            </w:pPr>
          </w:p>
        </w:tc>
        <w:tc>
          <w:tcPr>
            <w:tcW w:w="4110" w:type="dxa"/>
          </w:tcPr>
          <w:p w14:paraId="07DC293F" w14:textId="77777777" w:rsidR="008152CA" w:rsidRDefault="008152CA">
            <w:pPr>
              <w:spacing w:after="0"/>
            </w:pPr>
          </w:p>
        </w:tc>
      </w:tr>
      <w:tr w:rsidR="008152CA" w14:paraId="07DC2944" w14:textId="77777777">
        <w:tc>
          <w:tcPr>
            <w:tcW w:w="2830" w:type="dxa"/>
          </w:tcPr>
          <w:p w14:paraId="07DC2941" w14:textId="77777777" w:rsidR="008152CA" w:rsidRDefault="008152CA">
            <w:pPr>
              <w:spacing w:after="0"/>
            </w:pPr>
          </w:p>
        </w:tc>
        <w:tc>
          <w:tcPr>
            <w:tcW w:w="2410" w:type="dxa"/>
          </w:tcPr>
          <w:p w14:paraId="07DC2942" w14:textId="77777777" w:rsidR="008152CA" w:rsidRDefault="008152CA">
            <w:pPr>
              <w:spacing w:after="0"/>
            </w:pPr>
          </w:p>
        </w:tc>
        <w:tc>
          <w:tcPr>
            <w:tcW w:w="4110" w:type="dxa"/>
          </w:tcPr>
          <w:p w14:paraId="07DC2943" w14:textId="77777777" w:rsidR="008152CA" w:rsidRDefault="008152CA">
            <w:pPr>
              <w:spacing w:after="0"/>
            </w:pPr>
          </w:p>
        </w:tc>
      </w:tr>
      <w:tr w:rsidR="008152CA" w14:paraId="07DC2948" w14:textId="77777777">
        <w:tc>
          <w:tcPr>
            <w:tcW w:w="2830" w:type="dxa"/>
          </w:tcPr>
          <w:p w14:paraId="07DC2945" w14:textId="77777777" w:rsidR="008152CA" w:rsidRDefault="008152CA">
            <w:pPr>
              <w:spacing w:after="0"/>
            </w:pPr>
          </w:p>
        </w:tc>
        <w:tc>
          <w:tcPr>
            <w:tcW w:w="2410" w:type="dxa"/>
          </w:tcPr>
          <w:p w14:paraId="07DC2946" w14:textId="77777777" w:rsidR="008152CA" w:rsidRDefault="008152CA">
            <w:pPr>
              <w:spacing w:after="0"/>
            </w:pPr>
          </w:p>
        </w:tc>
        <w:tc>
          <w:tcPr>
            <w:tcW w:w="4110" w:type="dxa"/>
          </w:tcPr>
          <w:p w14:paraId="07DC2947" w14:textId="77777777" w:rsidR="008152CA" w:rsidRDefault="008152CA">
            <w:pPr>
              <w:spacing w:after="0"/>
            </w:pPr>
          </w:p>
        </w:tc>
      </w:tr>
      <w:tr w:rsidR="008152CA" w14:paraId="07DC294C" w14:textId="77777777">
        <w:tc>
          <w:tcPr>
            <w:tcW w:w="2830" w:type="dxa"/>
          </w:tcPr>
          <w:p w14:paraId="07DC2949" w14:textId="77777777" w:rsidR="008152CA" w:rsidRDefault="008152CA">
            <w:pPr>
              <w:spacing w:after="0"/>
            </w:pPr>
          </w:p>
        </w:tc>
        <w:tc>
          <w:tcPr>
            <w:tcW w:w="2410" w:type="dxa"/>
          </w:tcPr>
          <w:p w14:paraId="07DC294A" w14:textId="77777777" w:rsidR="008152CA" w:rsidRDefault="008152CA">
            <w:pPr>
              <w:spacing w:after="0"/>
            </w:pPr>
          </w:p>
        </w:tc>
        <w:tc>
          <w:tcPr>
            <w:tcW w:w="4110" w:type="dxa"/>
          </w:tcPr>
          <w:p w14:paraId="07DC294B" w14:textId="77777777" w:rsidR="008152CA" w:rsidRDefault="008152CA">
            <w:pPr>
              <w:spacing w:after="0"/>
            </w:pPr>
          </w:p>
        </w:tc>
      </w:tr>
      <w:tr w:rsidR="008152CA" w14:paraId="07DC2950" w14:textId="77777777">
        <w:tc>
          <w:tcPr>
            <w:tcW w:w="2830" w:type="dxa"/>
          </w:tcPr>
          <w:p w14:paraId="07DC294D" w14:textId="77777777" w:rsidR="008152CA" w:rsidRDefault="008152CA">
            <w:pPr>
              <w:spacing w:after="0"/>
            </w:pPr>
          </w:p>
        </w:tc>
        <w:tc>
          <w:tcPr>
            <w:tcW w:w="2410" w:type="dxa"/>
          </w:tcPr>
          <w:p w14:paraId="07DC294E" w14:textId="77777777" w:rsidR="008152CA" w:rsidRDefault="008152CA">
            <w:pPr>
              <w:spacing w:after="0"/>
            </w:pPr>
          </w:p>
        </w:tc>
        <w:tc>
          <w:tcPr>
            <w:tcW w:w="4110" w:type="dxa"/>
          </w:tcPr>
          <w:p w14:paraId="07DC294F" w14:textId="77777777" w:rsidR="008152CA" w:rsidRDefault="008152CA">
            <w:pPr>
              <w:spacing w:after="0"/>
            </w:pPr>
          </w:p>
        </w:tc>
      </w:tr>
      <w:tr w:rsidR="008152CA" w14:paraId="07DC2954" w14:textId="77777777">
        <w:tc>
          <w:tcPr>
            <w:tcW w:w="2830" w:type="dxa"/>
          </w:tcPr>
          <w:p w14:paraId="07DC2951" w14:textId="77777777" w:rsidR="008152CA" w:rsidRDefault="008152CA">
            <w:pPr>
              <w:spacing w:after="0"/>
            </w:pPr>
          </w:p>
        </w:tc>
        <w:tc>
          <w:tcPr>
            <w:tcW w:w="2410" w:type="dxa"/>
          </w:tcPr>
          <w:p w14:paraId="07DC2952" w14:textId="77777777" w:rsidR="008152CA" w:rsidRDefault="008152CA">
            <w:pPr>
              <w:spacing w:after="0"/>
            </w:pPr>
          </w:p>
        </w:tc>
        <w:tc>
          <w:tcPr>
            <w:tcW w:w="4110" w:type="dxa"/>
          </w:tcPr>
          <w:p w14:paraId="07DC2953" w14:textId="77777777" w:rsidR="008152CA" w:rsidRDefault="008152CA">
            <w:pPr>
              <w:spacing w:after="0"/>
            </w:pPr>
          </w:p>
        </w:tc>
      </w:tr>
      <w:tr w:rsidR="008152CA" w14:paraId="07DC2958" w14:textId="77777777">
        <w:tc>
          <w:tcPr>
            <w:tcW w:w="2830" w:type="dxa"/>
          </w:tcPr>
          <w:p w14:paraId="07DC2955" w14:textId="77777777" w:rsidR="008152CA" w:rsidRDefault="008152CA">
            <w:pPr>
              <w:spacing w:after="0"/>
            </w:pPr>
          </w:p>
        </w:tc>
        <w:tc>
          <w:tcPr>
            <w:tcW w:w="2410" w:type="dxa"/>
          </w:tcPr>
          <w:p w14:paraId="07DC2956" w14:textId="77777777" w:rsidR="008152CA" w:rsidRDefault="008152CA">
            <w:pPr>
              <w:spacing w:after="0"/>
            </w:pPr>
          </w:p>
        </w:tc>
        <w:tc>
          <w:tcPr>
            <w:tcW w:w="4110" w:type="dxa"/>
          </w:tcPr>
          <w:p w14:paraId="07DC2957" w14:textId="77777777" w:rsidR="008152CA" w:rsidRDefault="008152CA">
            <w:pPr>
              <w:spacing w:after="0"/>
            </w:pPr>
          </w:p>
        </w:tc>
      </w:tr>
      <w:tr w:rsidR="008152CA" w14:paraId="07DC295C" w14:textId="77777777">
        <w:tc>
          <w:tcPr>
            <w:tcW w:w="2830" w:type="dxa"/>
          </w:tcPr>
          <w:p w14:paraId="07DC2959" w14:textId="77777777" w:rsidR="008152CA" w:rsidRDefault="008152CA">
            <w:pPr>
              <w:spacing w:after="0"/>
              <w:rPr>
                <w:rFonts w:eastAsiaTheme="minorEastAsia"/>
                <w:lang w:eastAsia="zh-CN"/>
              </w:rPr>
            </w:pPr>
          </w:p>
        </w:tc>
        <w:tc>
          <w:tcPr>
            <w:tcW w:w="2410" w:type="dxa"/>
          </w:tcPr>
          <w:p w14:paraId="07DC295A" w14:textId="77777777" w:rsidR="008152CA" w:rsidRDefault="008152CA">
            <w:pPr>
              <w:spacing w:after="0"/>
              <w:rPr>
                <w:rFonts w:eastAsiaTheme="minorEastAsia"/>
                <w:lang w:eastAsia="zh-CN"/>
              </w:rPr>
            </w:pPr>
          </w:p>
        </w:tc>
        <w:tc>
          <w:tcPr>
            <w:tcW w:w="4110" w:type="dxa"/>
          </w:tcPr>
          <w:p w14:paraId="07DC295B" w14:textId="77777777" w:rsidR="008152CA" w:rsidRDefault="008152CA">
            <w:pPr>
              <w:spacing w:after="0"/>
              <w:rPr>
                <w:rFonts w:eastAsiaTheme="minorEastAsia"/>
                <w:lang w:eastAsia="zh-CN"/>
              </w:rPr>
            </w:pPr>
          </w:p>
        </w:tc>
      </w:tr>
      <w:tr w:rsidR="008152CA" w14:paraId="07DC2960" w14:textId="77777777">
        <w:tc>
          <w:tcPr>
            <w:tcW w:w="2830" w:type="dxa"/>
          </w:tcPr>
          <w:p w14:paraId="07DC295D" w14:textId="77777777" w:rsidR="008152CA" w:rsidRDefault="008152CA">
            <w:pPr>
              <w:spacing w:after="0"/>
              <w:rPr>
                <w:rFonts w:eastAsiaTheme="minorEastAsia"/>
                <w:lang w:eastAsia="zh-CN"/>
              </w:rPr>
            </w:pPr>
          </w:p>
        </w:tc>
        <w:tc>
          <w:tcPr>
            <w:tcW w:w="2410" w:type="dxa"/>
          </w:tcPr>
          <w:p w14:paraId="07DC295E" w14:textId="77777777" w:rsidR="008152CA" w:rsidRDefault="008152CA">
            <w:pPr>
              <w:spacing w:after="0"/>
              <w:rPr>
                <w:rFonts w:eastAsiaTheme="minorEastAsia"/>
                <w:lang w:eastAsia="zh-CN"/>
              </w:rPr>
            </w:pPr>
          </w:p>
        </w:tc>
        <w:tc>
          <w:tcPr>
            <w:tcW w:w="4110" w:type="dxa"/>
          </w:tcPr>
          <w:p w14:paraId="07DC295F" w14:textId="77777777" w:rsidR="008152CA" w:rsidRDefault="008152CA">
            <w:pPr>
              <w:spacing w:after="0"/>
              <w:rPr>
                <w:rFonts w:eastAsiaTheme="minorEastAsia"/>
                <w:lang w:eastAsia="zh-CN"/>
              </w:rPr>
            </w:pPr>
          </w:p>
        </w:tc>
      </w:tr>
      <w:tr w:rsidR="008152CA" w14:paraId="07DC2964" w14:textId="77777777">
        <w:tc>
          <w:tcPr>
            <w:tcW w:w="2830" w:type="dxa"/>
          </w:tcPr>
          <w:p w14:paraId="07DC2961" w14:textId="77777777" w:rsidR="008152CA" w:rsidRDefault="008152CA">
            <w:pPr>
              <w:spacing w:after="0"/>
              <w:rPr>
                <w:rFonts w:eastAsiaTheme="minorEastAsia"/>
                <w:lang w:eastAsia="zh-CN"/>
              </w:rPr>
            </w:pPr>
          </w:p>
        </w:tc>
        <w:tc>
          <w:tcPr>
            <w:tcW w:w="2410" w:type="dxa"/>
          </w:tcPr>
          <w:p w14:paraId="07DC2962" w14:textId="77777777" w:rsidR="008152CA" w:rsidRDefault="008152CA">
            <w:pPr>
              <w:spacing w:after="0"/>
              <w:rPr>
                <w:rFonts w:eastAsiaTheme="minorEastAsia"/>
                <w:lang w:eastAsia="zh-CN"/>
              </w:rPr>
            </w:pPr>
          </w:p>
        </w:tc>
        <w:tc>
          <w:tcPr>
            <w:tcW w:w="4110" w:type="dxa"/>
          </w:tcPr>
          <w:p w14:paraId="07DC2963" w14:textId="77777777" w:rsidR="008152CA" w:rsidRDefault="008152CA">
            <w:pPr>
              <w:spacing w:after="0"/>
              <w:rPr>
                <w:rFonts w:eastAsiaTheme="minorEastAsia"/>
                <w:lang w:eastAsia="zh-CN"/>
              </w:rPr>
            </w:pPr>
          </w:p>
        </w:tc>
      </w:tr>
      <w:tr w:rsidR="008152CA" w14:paraId="07DC2968" w14:textId="77777777">
        <w:tc>
          <w:tcPr>
            <w:tcW w:w="2830" w:type="dxa"/>
          </w:tcPr>
          <w:p w14:paraId="07DC2965" w14:textId="77777777" w:rsidR="008152CA" w:rsidRDefault="008152CA">
            <w:pPr>
              <w:spacing w:after="0"/>
              <w:rPr>
                <w:rFonts w:eastAsiaTheme="minorEastAsia"/>
                <w:lang w:eastAsia="zh-CN"/>
              </w:rPr>
            </w:pPr>
          </w:p>
        </w:tc>
        <w:tc>
          <w:tcPr>
            <w:tcW w:w="2410" w:type="dxa"/>
          </w:tcPr>
          <w:p w14:paraId="07DC2966" w14:textId="77777777" w:rsidR="008152CA" w:rsidRDefault="008152CA">
            <w:pPr>
              <w:spacing w:after="0"/>
              <w:rPr>
                <w:rFonts w:eastAsiaTheme="minorEastAsia"/>
                <w:lang w:eastAsia="zh-CN"/>
              </w:rPr>
            </w:pPr>
          </w:p>
        </w:tc>
        <w:tc>
          <w:tcPr>
            <w:tcW w:w="4110" w:type="dxa"/>
          </w:tcPr>
          <w:p w14:paraId="07DC2967" w14:textId="77777777" w:rsidR="008152CA" w:rsidRDefault="008152CA">
            <w:pPr>
              <w:spacing w:after="0"/>
              <w:rPr>
                <w:rFonts w:eastAsiaTheme="minorEastAsia"/>
                <w:lang w:eastAsia="zh-CN"/>
              </w:rPr>
            </w:pPr>
          </w:p>
        </w:tc>
      </w:tr>
      <w:tr w:rsidR="008152CA" w14:paraId="07DC296C" w14:textId="77777777">
        <w:tc>
          <w:tcPr>
            <w:tcW w:w="2830" w:type="dxa"/>
          </w:tcPr>
          <w:p w14:paraId="07DC2969" w14:textId="77777777" w:rsidR="008152CA" w:rsidRDefault="008152CA">
            <w:pPr>
              <w:spacing w:after="0"/>
              <w:rPr>
                <w:rFonts w:eastAsiaTheme="minorEastAsia"/>
                <w:lang w:eastAsia="zh-CN"/>
              </w:rPr>
            </w:pPr>
          </w:p>
        </w:tc>
        <w:tc>
          <w:tcPr>
            <w:tcW w:w="2410" w:type="dxa"/>
          </w:tcPr>
          <w:p w14:paraId="07DC296A" w14:textId="77777777" w:rsidR="008152CA" w:rsidRDefault="008152CA">
            <w:pPr>
              <w:spacing w:after="0"/>
              <w:rPr>
                <w:rFonts w:eastAsiaTheme="minorEastAsia"/>
                <w:lang w:eastAsia="zh-CN"/>
              </w:rPr>
            </w:pPr>
          </w:p>
        </w:tc>
        <w:tc>
          <w:tcPr>
            <w:tcW w:w="4110" w:type="dxa"/>
          </w:tcPr>
          <w:p w14:paraId="07DC296B" w14:textId="77777777" w:rsidR="008152CA" w:rsidRDefault="008152CA">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4"/>
    </w:p>
    <w:p w14:paraId="07DC2972" w14:textId="77777777" w:rsidR="008152CA" w:rsidRPr="00AB1473" w:rsidRDefault="00FD4E13">
      <w:pPr>
        <w:pStyle w:val="ListParagraph"/>
        <w:numPr>
          <w:ilvl w:val="0"/>
          <w:numId w:val="22"/>
        </w:numPr>
        <w:ind w:left="418" w:hanging="418"/>
        <w:contextualSpacing w:val="0"/>
        <w:rPr>
          <w:lang w:val="en-US" w:eastAsia="zh-CN"/>
        </w:rPr>
      </w:pPr>
      <w:hyperlink r:id="rId11" w:history="1">
        <w:r w:rsidR="00D36349" w:rsidRPr="00AB1473">
          <w:rPr>
            <w:rStyle w:val="Hyperlink"/>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FD4E13">
      <w:pPr>
        <w:pStyle w:val="ListParagraph"/>
        <w:numPr>
          <w:ilvl w:val="0"/>
          <w:numId w:val="22"/>
        </w:numPr>
        <w:ind w:left="418" w:hanging="418"/>
        <w:contextualSpacing w:val="0"/>
        <w:rPr>
          <w:lang w:val="en-US" w:eastAsia="zh-CN"/>
        </w:rPr>
      </w:pPr>
      <w:hyperlink r:id="rId12" w:history="1">
        <w:r w:rsidR="00D36349" w:rsidRPr="00AB1473">
          <w:rPr>
            <w:rStyle w:val="Hyperlink"/>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FD4E13">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FD4E13">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FD4E13">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FD4E13">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FD4E13">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FD4E13">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FD4E13">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FD4E13">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FD4E13">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FD4E13">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FD4E13">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FD4E13">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FD4E13">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FD4E13">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FD4E13">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FD4E13">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FD4E13">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8"/>
  </w:num>
  <w:num w:numId="7">
    <w:abstractNumId w:val="3"/>
  </w:num>
  <w:num w:numId="8">
    <w:abstractNumId w:val="10"/>
  </w:num>
  <w:num w:numId="9">
    <w:abstractNumId w:val="22"/>
  </w:num>
  <w:num w:numId="10">
    <w:abstractNumId w:val="5"/>
  </w:num>
  <w:num w:numId="11">
    <w:abstractNumId w:val="20"/>
  </w:num>
  <w:num w:numId="12">
    <w:abstractNumId w:val="4"/>
  </w:num>
  <w:num w:numId="13">
    <w:abstractNumId w:val="14"/>
  </w:num>
  <w:num w:numId="14">
    <w:abstractNumId w:val="9"/>
  </w:num>
  <w:num w:numId="15">
    <w:abstractNumId w:val="19"/>
  </w:num>
  <w:num w:numId="16">
    <w:abstractNumId w:val="8"/>
  </w:num>
  <w:num w:numId="17">
    <w:abstractNumId w:val="23"/>
  </w:num>
  <w:num w:numId="18">
    <w:abstractNumId w:val="11"/>
  </w:num>
  <w:num w:numId="19">
    <w:abstractNumId w:val="13"/>
  </w:num>
  <w:num w:numId="20">
    <w:abstractNumId w:val="7"/>
  </w:num>
  <w:num w:numId="21">
    <w:abstractNumId w:val="6"/>
  </w:num>
  <w:num w:numId="22">
    <w:abstractNumId w:val="21"/>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4768C-9D47-4D5B-B2CA-1FC70FF07971}">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5817</Words>
  <Characters>33163</Characters>
  <Application>Microsoft Office Word</Application>
  <DocSecurity>0</DocSecurity>
  <Lines>276</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7</cp:revision>
  <dcterms:created xsi:type="dcterms:W3CDTF">2021-08-17T00:00:00Z</dcterms:created>
  <dcterms:modified xsi:type="dcterms:W3CDTF">2021-08-17T00:07:00Z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