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03A040B"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5"/>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5"/>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5"/>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5"/>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0"/>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5"/>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5"/>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5"/>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5"/>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5"/>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5"/>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5"/>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5"/>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5"/>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5"/>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5"/>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0"/>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0"/>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7"/>
                <w:highlight w:val="green"/>
              </w:rPr>
              <w:lastRenderedPageBreak/>
              <w:t>Agreement</w:t>
            </w:r>
            <w:r w:rsidRPr="00F8412A">
              <w:rPr>
                <w:rStyle w:val="af7"/>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7"/>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0"/>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5"/>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5"/>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5"/>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5"/>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5"/>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0"/>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lastRenderedPageBreak/>
              <w:t>Q 3-2: P1, P3, P4</w:t>
            </w:r>
          </w:p>
        </w:tc>
        <w:tc>
          <w:tcPr>
            <w:tcW w:w="6216" w:type="dxa"/>
          </w:tcPr>
          <w:p w14:paraId="272AA67E" w14:textId="77777777" w:rsidR="00BB647D" w:rsidRPr="00107018" w:rsidRDefault="00BB647D" w:rsidP="00D46B5E">
            <w:pPr>
              <w:rPr>
                <w:lang w:eastAsia="ko-KR"/>
              </w:rPr>
            </w:pPr>
            <w:r>
              <w:rPr>
                <w:lang w:eastAsia="ko-KR"/>
              </w:rPr>
              <w:lastRenderedPageBreak/>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맑은 고딕"/>
                <w:lang w:eastAsia="ko-KR"/>
              </w:rPr>
            </w:pPr>
            <w:r>
              <w:rPr>
                <w:rFonts w:eastAsia="맑은 고딕" w:hint="eastAsia"/>
                <w:lang w:eastAsia="ko-KR"/>
              </w:rPr>
              <w:t>LG</w:t>
            </w:r>
          </w:p>
        </w:tc>
        <w:tc>
          <w:tcPr>
            <w:tcW w:w="1936" w:type="dxa"/>
          </w:tcPr>
          <w:p w14:paraId="57F6D251" w14:textId="77777777" w:rsidR="009D5BF3" w:rsidRDefault="009D5BF3" w:rsidP="00636989">
            <w:pPr>
              <w:tabs>
                <w:tab w:val="left" w:pos="551"/>
              </w:tabs>
              <w:rPr>
                <w:rFonts w:eastAsia="맑은 고딕"/>
                <w:lang w:eastAsia="ko-KR"/>
              </w:rPr>
            </w:pPr>
            <w:r>
              <w:rPr>
                <w:rFonts w:eastAsia="맑은 고딕" w:hint="eastAsia"/>
                <w:lang w:eastAsia="ko-KR"/>
              </w:rPr>
              <w:t>Q 3-1: No</w:t>
            </w:r>
          </w:p>
          <w:p w14:paraId="32EF4B16" w14:textId="77777777" w:rsidR="009D5BF3" w:rsidRPr="00315690" w:rsidRDefault="009D5BF3" w:rsidP="00636989">
            <w:pPr>
              <w:tabs>
                <w:tab w:val="left" w:pos="551"/>
              </w:tabs>
              <w:rPr>
                <w:rFonts w:eastAsia="맑은 고딕"/>
                <w:lang w:eastAsia="ko-KR"/>
              </w:rPr>
            </w:pPr>
            <w:r>
              <w:rPr>
                <w:rFonts w:eastAsia="맑은 고딕"/>
                <w:lang w:eastAsia="ko-KR"/>
              </w:rPr>
              <w:t>Q 3-2: None</w:t>
            </w:r>
          </w:p>
        </w:tc>
        <w:tc>
          <w:tcPr>
            <w:tcW w:w="6216" w:type="dxa"/>
          </w:tcPr>
          <w:p w14:paraId="212066C8" w14:textId="77777777" w:rsidR="009D5BF3" w:rsidRPr="00315690" w:rsidRDefault="009D5BF3" w:rsidP="00636989">
            <w:pPr>
              <w:rPr>
                <w:rFonts w:eastAsia="맑은 고딕"/>
                <w:lang w:eastAsia="ko-KR"/>
              </w:rPr>
            </w:pPr>
            <w:r>
              <w:rPr>
                <w:rFonts w:eastAsia="맑은 고딕"/>
                <w:lang w:eastAsia="ko-KR"/>
              </w:rPr>
              <w:t>gNB may not provide the parameters regarding the fields on P3 that are not needed for RedCap UEs. Therefore, we don’t see the need for capturing them explicitly.</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lastRenderedPageBreak/>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5"/>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Msg3/Msg A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맑은 고딕"/>
                <w:lang w:eastAsia="ko-KR"/>
              </w:rPr>
            </w:pPr>
            <w:r>
              <w:rPr>
                <w:rFonts w:eastAsia="맑은 고딕" w:hint="eastAsia"/>
                <w:lang w:eastAsia="ko-KR"/>
              </w:rPr>
              <w:t>LG</w:t>
            </w:r>
          </w:p>
        </w:tc>
        <w:tc>
          <w:tcPr>
            <w:tcW w:w="1936" w:type="dxa"/>
          </w:tcPr>
          <w:p w14:paraId="33608008" w14:textId="77777777" w:rsidR="009D5BF3" w:rsidRPr="008478B8" w:rsidRDefault="009D5BF3" w:rsidP="00636989">
            <w:pPr>
              <w:tabs>
                <w:tab w:val="left" w:pos="551"/>
              </w:tabs>
              <w:rPr>
                <w:rFonts w:eastAsia="맑은 고딕"/>
                <w:lang w:eastAsia="ko-KR"/>
              </w:rPr>
            </w:pPr>
            <w:r>
              <w:rPr>
                <w:rFonts w:eastAsia="맑은 고딕"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5"/>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바탕"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5"/>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5"/>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0"/>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맑은 고딕"/>
                <w:lang w:eastAsia="ko-KR"/>
              </w:rPr>
            </w:pPr>
            <w:r>
              <w:rPr>
                <w:rFonts w:eastAsia="맑은 고딕" w:hint="eastAsia"/>
                <w:lang w:eastAsia="ko-KR"/>
              </w:rPr>
              <w:t>LG</w:t>
            </w:r>
          </w:p>
        </w:tc>
        <w:tc>
          <w:tcPr>
            <w:tcW w:w="1936" w:type="dxa"/>
          </w:tcPr>
          <w:p w14:paraId="5054EA69" w14:textId="77777777" w:rsidR="009D5BF3" w:rsidRPr="00B24274" w:rsidRDefault="009D5BF3" w:rsidP="00636989">
            <w:pPr>
              <w:tabs>
                <w:tab w:val="left" w:pos="551"/>
              </w:tabs>
              <w:rPr>
                <w:rFonts w:eastAsia="맑은 고딕"/>
                <w:lang w:eastAsia="ko-KR"/>
              </w:rPr>
            </w:pPr>
            <w:r>
              <w:rPr>
                <w:rFonts w:eastAsia="맑은 고딕" w:hint="eastAsia"/>
                <w:lang w:eastAsia="ko-KR"/>
              </w:rPr>
              <w:t>N</w:t>
            </w:r>
          </w:p>
        </w:tc>
        <w:tc>
          <w:tcPr>
            <w:tcW w:w="6216" w:type="dxa"/>
          </w:tcPr>
          <w:p w14:paraId="64B198F5" w14:textId="77777777" w:rsidR="009D5BF3" w:rsidRPr="00B24274" w:rsidRDefault="009D5BF3" w:rsidP="00636989">
            <w:pPr>
              <w:rPr>
                <w:rFonts w:eastAsia="맑은 고딕"/>
                <w:lang w:eastAsia="ko-KR"/>
              </w:rPr>
            </w:pPr>
            <w:r w:rsidRPr="00A24559">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t xml:space="preserve">In [19], it is suggested to modify the existing description of ‘maxNumberMIMO-LayersPDSCH’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lastRenderedPageBreak/>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5"/>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5"/>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5"/>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0"/>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맑은 고딕"/>
                <w:lang w:eastAsia="ko-KR"/>
              </w:rPr>
            </w:pPr>
            <w:r>
              <w:rPr>
                <w:rFonts w:eastAsia="맑은 고딕" w:hint="eastAsia"/>
                <w:lang w:eastAsia="ko-KR"/>
              </w:rPr>
              <w:t>L</w:t>
            </w:r>
            <w:r>
              <w:rPr>
                <w:rFonts w:eastAsia="맑은 고딕"/>
                <w:lang w:eastAsia="ko-KR"/>
              </w:rPr>
              <w:t>G</w:t>
            </w:r>
          </w:p>
        </w:tc>
        <w:tc>
          <w:tcPr>
            <w:tcW w:w="1936" w:type="dxa"/>
          </w:tcPr>
          <w:p w14:paraId="37EF5C85" w14:textId="77777777" w:rsidR="009D5BF3" w:rsidRPr="0096778B" w:rsidRDefault="009D5BF3" w:rsidP="00636989">
            <w:pPr>
              <w:tabs>
                <w:tab w:val="left" w:pos="551"/>
              </w:tabs>
              <w:rPr>
                <w:rFonts w:eastAsia="맑은 고딕"/>
                <w:lang w:eastAsia="ko-KR"/>
              </w:rPr>
            </w:pPr>
          </w:p>
        </w:tc>
        <w:tc>
          <w:tcPr>
            <w:tcW w:w="6216" w:type="dxa"/>
          </w:tcPr>
          <w:p w14:paraId="74BD39B2" w14:textId="77777777" w:rsidR="009D5BF3" w:rsidRPr="002F665C" w:rsidRDefault="009D5BF3" w:rsidP="00636989">
            <w:pPr>
              <w:rPr>
                <w:rFonts w:eastAsia="맑은 고딕"/>
                <w:lang w:eastAsia="ko-KR"/>
              </w:rPr>
            </w:pPr>
            <w:r>
              <w:rPr>
                <w:rFonts w:eastAsia="맑은 고딕" w:hint="eastAsia"/>
                <w:lang w:eastAsia="ko-KR"/>
              </w:rPr>
              <w:t>Agree with v</w:t>
            </w:r>
            <w:r>
              <w:rPr>
                <w:rFonts w:eastAsia="맑은 고딕"/>
                <w:lang w:eastAsia="ko-KR"/>
              </w:rPr>
              <w:t>ivo.</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0"/>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5"/>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0"/>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맑은 고딕"/>
                <w:lang w:eastAsia="ko-KR"/>
              </w:rPr>
            </w:pPr>
            <w:bookmarkStart w:id="4" w:name="_Hlk41391803"/>
            <w:r>
              <w:rPr>
                <w:rFonts w:eastAsia="맑은 고딕" w:hint="eastAsia"/>
                <w:lang w:eastAsia="ko-KR"/>
              </w:rPr>
              <w:t>LG</w:t>
            </w:r>
          </w:p>
        </w:tc>
        <w:tc>
          <w:tcPr>
            <w:tcW w:w="1936" w:type="dxa"/>
          </w:tcPr>
          <w:p w14:paraId="01CF9E7F" w14:textId="77777777" w:rsidR="009D5BF3" w:rsidRPr="002F665C" w:rsidRDefault="009D5BF3" w:rsidP="00636989">
            <w:pPr>
              <w:tabs>
                <w:tab w:val="left" w:pos="551"/>
              </w:tabs>
              <w:rPr>
                <w:rFonts w:eastAsia="맑은 고딕"/>
                <w:lang w:eastAsia="ko-KR"/>
              </w:rPr>
            </w:pPr>
            <w:r>
              <w:rPr>
                <w:rFonts w:eastAsia="맑은 고딕" w:hint="eastAsia"/>
                <w:lang w:eastAsia="ko-KR"/>
              </w:rPr>
              <w:t>N</w:t>
            </w:r>
          </w:p>
        </w:tc>
        <w:tc>
          <w:tcPr>
            <w:tcW w:w="6216" w:type="dxa"/>
          </w:tcPr>
          <w:p w14:paraId="1500116E" w14:textId="77777777" w:rsidR="009D5BF3" w:rsidRDefault="009D5BF3" w:rsidP="00636989">
            <w:pPr>
              <w:rPr>
                <w:rFonts w:eastAsiaTheme="minorEastAsia"/>
                <w:lang w:eastAsia="zh-CN"/>
              </w:rPr>
            </w:pPr>
          </w:p>
        </w:tc>
      </w:tr>
    </w:tbl>
    <w:p w14:paraId="4ECB33C0" w14:textId="77777777" w:rsidR="007916B8" w:rsidRDefault="007916B8">
      <w:pPr>
        <w:spacing w:after="0"/>
        <w:rPr>
          <w:rFonts w:ascii="Arial" w:hAnsi="Arial"/>
          <w:sz w:val="36"/>
        </w:rPr>
      </w:pPr>
      <w:r>
        <w:br w:type="page"/>
      </w:r>
      <w:bookmarkStart w:id="5" w:name="_GoBack"/>
      <w:bookmarkEnd w:id="5"/>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9061FA" w:rsidP="00133EAB">
      <w:pPr>
        <w:pStyle w:val="a5"/>
        <w:numPr>
          <w:ilvl w:val="0"/>
          <w:numId w:val="10"/>
        </w:numPr>
        <w:ind w:left="418" w:hanging="418"/>
        <w:contextualSpacing w:val="0"/>
        <w:rPr>
          <w:lang w:eastAsia="x-none"/>
        </w:rPr>
      </w:pPr>
      <w:hyperlink r:id="rId12" w:history="1">
        <w:r w:rsidR="00804931">
          <w:rPr>
            <w:rStyle w:val="af1"/>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9061FA" w:rsidP="00133EAB">
      <w:pPr>
        <w:pStyle w:val="a5"/>
        <w:numPr>
          <w:ilvl w:val="0"/>
          <w:numId w:val="10"/>
        </w:numPr>
        <w:ind w:left="418" w:hanging="418"/>
        <w:contextualSpacing w:val="0"/>
        <w:rPr>
          <w:lang w:eastAsia="x-none"/>
        </w:rPr>
      </w:pPr>
      <w:hyperlink r:id="rId13" w:history="1">
        <w:r w:rsidR="00804931">
          <w:rPr>
            <w:rStyle w:val="af1"/>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9061FA" w:rsidP="00133EAB">
      <w:pPr>
        <w:pStyle w:val="a5"/>
        <w:numPr>
          <w:ilvl w:val="0"/>
          <w:numId w:val="10"/>
        </w:numPr>
        <w:ind w:left="418" w:hanging="418"/>
        <w:contextualSpacing w:val="0"/>
        <w:rPr>
          <w:lang w:eastAsia="x-none"/>
        </w:rPr>
      </w:pPr>
      <w:hyperlink r:id="rId14" w:history="1">
        <w:r w:rsidR="00804931">
          <w:rPr>
            <w:rStyle w:val="af1"/>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9061FA" w:rsidP="00133EAB">
      <w:pPr>
        <w:pStyle w:val="a5"/>
        <w:numPr>
          <w:ilvl w:val="0"/>
          <w:numId w:val="10"/>
        </w:numPr>
        <w:ind w:left="418" w:hanging="418"/>
        <w:contextualSpacing w:val="0"/>
        <w:rPr>
          <w:lang w:eastAsia="x-none"/>
        </w:rPr>
      </w:pPr>
      <w:hyperlink r:id="rId15" w:history="1">
        <w:r w:rsidR="00804931">
          <w:rPr>
            <w:rStyle w:val="af1"/>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9061FA" w:rsidP="00133EAB">
      <w:pPr>
        <w:pStyle w:val="a5"/>
        <w:numPr>
          <w:ilvl w:val="0"/>
          <w:numId w:val="10"/>
        </w:numPr>
        <w:ind w:left="418" w:hanging="418"/>
        <w:contextualSpacing w:val="0"/>
        <w:rPr>
          <w:lang w:eastAsia="x-none"/>
        </w:rPr>
      </w:pPr>
      <w:hyperlink r:id="rId16" w:history="1">
        <w:r w:rsidR="00804931">
          <w:rPr>
            <w:rStyle w:val="af1"/>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9061FA" w:rsidP="00133EAB">
      <w:pPr>
        <w:pStyle w:val="a5"/>
        <w:numPr>
          <w:ilvl w:val="0"/>
          <w:numId w:val="10"/>
        </w:numPr>
        <w:ind w:left="418" w:hanging="418"/>
        <w:contextualSpacing w:val="0"/>
        <w:rPr>
          <w:lang w:eastAsia="x-none"/>
        </w:rPr>
      </w:pPr>
      <w:hyperlink r:id="rId17" w:history="1">
        <w:r w:rsidR="00804931">
          <w:rPr>
            <w:rStyle w:val="af1"/>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9061FA" w:rsidP="00133EAB">
      <w:pPr>
        <w:pStyle w:val="a5"/>
        <w:numPr>
          <w:ilvl w:val="0"/>
          <w:numId w:val="10"/>
        </w:numPr>
        <w:ind w:left="418" w:hanging="418"/>
        <w:contextualSpacing w:val="0"/>
        <w:rPr>
          <w:lang w:eastAsia="x-none"/>
        </w:rPr>
      </w:pPr>
      <w:hyperlink r:id="rId18" w:history="1">
        <w:r w:rsidR="00804931">
          <w:rPr>
            <w:rStyle w:val="af1"/>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9061FA" w:rsidP="00133EAB">
      <w:pPr>
        <w:pStyle w:val="a5"/>
        <w:numPr>
          <w:ilvl w:val="0"/>
          <w:numId w:val="10"/>
        </w:numPr>
        <w:ind w:left="418" w:hanging="418"/>
        <w:contextualSpacing w:val="0"/>
        <w:rPr>
          <w:lang w:eastAsia="x-none"/>
        </w:rPr>
      </w:pPr>
      <w:hyperlink r:id="rId19" w:history="1">
        <w:r w:rsidR="00804931">
          <w:rPr>
            <w:rStyle w:val="af1"/>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9061FA" w:rsidP="00133EAB">
      <w:pPr>
        <w:pStyle w:val="a5"/>
        <w:numPr>
          <w:ilvl w:val="0"/>
          <w:numId w:val="10"/>
        </w:numPr>
        <w:ind w:left="418" w:hanging="418"/>
        <w:contextualSpacing w:val="0"/>
        <w:rPr>
          <w:lang w:eastAsia="x-none"/>
        </w:rPr>
      </w:pPr>
      <w:hyperlink r:id="rId20" w:history="1">
        <w:r w:rsidR="00804931">
          <w:rPr>
            <w:rStyle w:val="af1"/>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9061FA" w:rsidP="00133EAB">
      <w:pPr>
        <w:pStyle w:val="a5"/>
        <w:numPr>
          <w:ilvl w:val="0"/>
          <w:numId w:val="10"/>
        </w:numPr>
        <w:ind w:left="418" w:hanging="418"/>
        <w:contextualSpacing w:val="0"/>
        <w:rPr>
          <w:lang w:eastAsia="x-none"/>
        </w:rPr>
      </w:pPr>
      <w:hyperlink r:id="rId21" w:history="1">
        <w:r w:rsidR="00804931">
          <w:rPr>
            <w:rStyle w:val="af1"/>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9061FA" w:rsidP="00133EAB">
      <w:pPr>
        <w:pStyle w:val="a5"/>
        <w:numPr>
          <w:ilvl w:val="0"/>
          <w:numId w:val="10"/>
        </w:numPr>
        <w:ind w:left="418" w:hanging="418"/>
        <w:contextualSpacing w:val="0"/>
        <w:rPr>
          <w:lang w:eastAsia="x-none"/>
        </w:rPr>
      </w:pPr>
      <w:hyperlink r:id="rId22" w:history="1">
        <w:r w:rsidR="00804931">
          <w:rPr>
            <w:rStyle w:val="af1"/>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9061FA" w:rsidP="00133EAB">
      <w:pPr>
        <w:pStyle w:val="a5"/>
        <w:numPr>
          <w:ilvl w:val="0"/>
          <w:numId w:val="10"/>
        </w:numPr>
        <w:ind w:left="418" w:hanging="418"/>
        <w:contextualSpacing w:val="0"/>
        <w:rPr>
          <w:lang w:eastAsia="x-none"/>
        </w:rPr>
      </w:pPr>
      <w:hyperlink r:id="rId23" w:history="1">
        <w:r w:rsidR="00804931">
          <w:rPr>
            <w:rStyle w:val="af1"/>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9061FA" w:rsidP="00133EAB">
      <w:pPr>
        <w:pStyle w:val="a5"/>
        <w:numPr>
          <w:ilvl w:val="0"/>
          <w:numId w:val="10"/>
        </w:numPr>
        <w:ind w:left="418" w:hanging="418"/>
        <w:contextualSpacing w:val="0"/>
        <w:rPr>
          <w:lang w:eastAsia="x-none"/>
        </w:rPr>
      </w:pPr>
      <w:hyperlink r:id="rId24" w:history="1">
        <w:r w:rsidR="00804931">
          <w:rPr>
            <w:rStyle w:val="af1"/>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9061FA" w:rsidP="00133EAB">
      <w:pPr>
        <w:pStyle w:val="a5"/>
        <w:numPr>
          <w:ilvl w:val="0"/>
          <w:numId w:val="10"/>
        </w:numPr>
        <w:ind w:left="418" w:hanging="418"/>
        <w:contextualSpacing w:val="0"/>
        <w:rPr>
          <w:lang w:eastAsia="x-none"/>
        </w:rPr>
      </w:pPr>
      <w:hyperlink r:id="rId25" w:history="1">
        <w:r w:rsidR="00804931">
          <w:rPr>
            <w:rStyle w:val="af1"/>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9061FA" w:rsidP="00133EAB">
      <w:pPr>
        <w:pStyle w:val="a5"/>
        <w:numPr>
          <w:ilvl w:val="0"/>
          <w:numId w:val="10"/>
        </w:numPr>
        <w:ind w:left="418" w:hanging="418"/>
        <w:contextualSpacing w:val="0"/>
        <w:rPr>
          <w:lang w:eastAsia="x-none"/>
        </w:rPr>
      </w:pPr>
      <w:hyperlink r:id="rId26" w:history="1">
        <w:r w:rsidR="00804931">
          <w:rPr>
            <w:rStyle w:val="af1"/>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9061FA" w:rsidP="00133EAB">
      <w:pPr>
        <w:pStyle w:val="a5"/>
        <w:numPr>
          <w:ilvl w:val="0"/>
          <w:numId w:val="10"/>
        </w:numPr>
        <w:ind w:left="418" w:hanging="418"/>
        <w:contextualSpacing w:val="0"/>
        <w:rPr>
          <w:lang w:eastAsia="x-none"/>
        </w:rPr>
      </w:pPr>
      <w:hyperlink r:id="rId27" w:history="1">
        <w:r w:rsidR="00804931">
          <w:rPr>
            <w:rStyle w:val="af1"/>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9061FA" w:rsidP="00133EAB">
      <w:pPr>
        <w:pStyle w:val="a5"/>
        <w:numPr>
          <w:ilvl w:val="0"/>
          <w:numId w:val="10"/>
        </w:numPr>
        <w:ind w:left="418" w:hanging="418"/>
        <w:contextualSpacing w:val="0"/>
        <w:rPr>
          <w:lang w:eastAsia="x-none"/>
        </w:rPr>
      </w:pPr>
      <w:hyperlink r:id="rId28" w:history="1">
        <w:r w:rsidR="00804931">
          <w:rPr>
            <w:rStyle w:val="af1"/>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9061FA" w:rsidP="00133EAB">
      <w:pPr>
        <w:pStyle w:val="a5"/>
        <w:numPr>
          <w:ilvl w:val="0"/>
          <w:numId w:val="10"/>
        </w:numPr>
        <w:ind w:left="418" w:hanging="418"/>
        <w:contextualSpacing w:val="0"/>
        <w:rPr>
          <w:lang w:eastAsia="x-none"/>
        </w:rPr>
      </w:pPr>
      <w:hyperlink r:id="rId29" w:history="1">
        <w:r w:rsidR="00804931">
          <w:rPr>
            <w:rStyle w:val="af1"/>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9061FA" w:rsidP="00133EAB">
      <w:pPr>
        <w:pStyle w:val="a5"/>
        <w:numPr>
          <w:ilvl w:val="0"/>
          <w:numId w:val="10"/>
        </w:numPr>
        <w:ind w:left="418" w:hanging="418"/>
        <w:contextualSpacing w:val="0"/>
        <w:rPr>
          <w:lang w:eastAsia="x-none"/>
        </w:rPr>
      </w:pPr>
      <w:hyperlink r:id="rId30" w:history="1">
        <w:r w:rsidR="00804931">
          <w:rPr>
            <w:rStyle w:val="af1"/>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DBD9E" w14:textId="77777777" w:rsidR="009061FA" w:rsidRDefault="009061FA" w:rsidP="00581A60">
      <w:pPr>
        <w:spacing w:after="0"/>
      </w:pPr>
      <w:r>
        <w:separator/>
      </w:r>
    </w:p>
  </w:endnote>
  <w:endnote w:type="continuationSeparator" w:id="0">
    <w:p w14:paraId="6461CD59" w14:textId="77777777" w:rsidR="009061FA" w:rsidRDefault="009061FA" w:rsidP="00581A60">
      <w:pPr>
        <w:spacing w:after="0"/>
      </w:pPr>
      <w:r>
        <w:continuationSeparator/>
      </w:r>
    </w:p>
  </w:endnote>
  <w:endnote w:type="continuationNotice" w:id="1">
    <w:p w14:paraId="511B94A9" w14:textId="77777777" w:rsidR="009061FA" w:rsidRDefault="009061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17666" w14:textId="77777777" w:rsidR="009061FA" w:rsidRDefault="009061FA" w:rsidP="00581A60">
      <w:pPr>
        <w:spacing w:after="0"/>
      </w:pPr>
      <w:r>
        <w:separator/>
      </w:r>
    </w:p>
  </w:footnote>
  <w:footnote w:type="continuationSeparator" w:id="0">
    <w:p w14:paraId="557D339F" w14:textId="77777777" w:rsidR="009061FA" w:rsidRDefault="009061FA" w:rsidP="00581A60">
      <w:pPr>
        <w:spacing w:after="0"/>
      </w:pPr>
      <w:r>
        <w:continuationSeparator/>
      </w:r>
    </w:p>
  </w:footnote>
  <w:footnote w:type="continuationNotice" w:id="1">
    <w:p w14:paraId="075D43FD" w14:textId="77777777" w:rsidR="009061FA" w:rsidRDefault="009061F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E25A4-A4CD-4708-AE34-E96942D6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4021</Words>
  <Characters>22925</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26893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이성훈/선임연구원/차세대표준(연)5G표준Task(sunghoon29.lee@lge.com)</cp:lastModifiedBy>
  <cp:revision>3</cp:revision>
  <dcterms:created xsi:type="dcterms:W3CDTF">2021-08-16T12:44:00Z</dcterms:created>
  <dcterms:modified xsi:type="dcterms:W3CDTF">2021-08-16T13:47:00Z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