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7"/>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7"/>
        <w:numPr>
          <w:ilvl w:val="0"/>
          <w:numId w:val="21"/>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6"/>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proofErr w:type="spellStart"/>
            <w:r>
              <w:t>InterDigital</w:t>
            </w:r>
            <w:proofErr w:type="spellEnd"/>
            <w:r>
              <w:t xml:space="preserve">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proofErr w:type="spellStart"/>
            <w:proofErr w:type="gramStart"/>
            <w:r>
              <w:t>LGe</w:t>
            </w:r>
            <w:proofErr w:type="spellEnd"/>
            <w:r>
              <w:t>[</w:t>
            </w:r>
            <w:proofErr w:type="gramEnd"/>
            <w:r>
              <w:t>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7"/>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7"/>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7"/>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7"/>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7"/>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7"/>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7"/>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7"/>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7"/>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7"/>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6"/>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 xml:space="preserve">Huawei, </w:t>
            </w:r>
            <w:proofErr w:type="spellStart"/>
            <w:r>
              <w:rPr>
                <w:lang w:eastAsia="ko-KR"/>
              </w:rPr>
              <w:t>HiSilicon</w:t>
            </w:r>
            <w:proofErr w:type="spellEnd"/>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游明朝" w:hint="eastAsia"/>
                <w:lang w:eastAsia="ja-JP"/>
              </w:rPr>
            </w:pPr>
            <w:r>
              <w:rPr>
                <w:rFonts w:eastAsia="游明朝" w:hint="eastAsia"/>
                <w:lang w:eastAsia="ja-JP"/>
              </w:rPr>
              <w:t>P</w:t>
            </w:r>
            <w:r>
              <w:rPr>
                <w:rFonts w:eastAsia="游明朝"/>
                <w:lang w:eastAsia="ja-JP"/>
              </w:rPr>
              <w:t>anasonic</w:t>
            </w:r>
          </w:p>
        </w:tc>
        <w:tc>
          <w:tcPr>
            <w:tcW w:w="1936" w:type="dxa"/>
          </w:tcPr>
          <w:p w14:paraId="5E06FC55" w14:textId="77777777" w:rsidR="00AA7422" w:rsidRDefault="00AA7422" w:rsidP="00AA7422">
            <w:pPr>
              <w:tabs>
                <w:tab w:val="left" w:pos="551"/>
              </w:tabs>
              <w:rPr>
                <w:rFonts w:eastAsia="游明朝"/>
                <w:lang w:eastAsia="ja-JP"/>
              </w:rPr>
            </w:pPr>
            <w:r>
              <w:rPr>
                <w:rFonts w:eastAsia="游明朝" w:hint="eastAsia"/>
                <w:lang w:eastAsia="ja-JP"/>
              </w:rPr>
              <w:t>Q</w:t>
            </w:r>
            <w:r>
              <w:rPr>
                <w:rFonts w:eastAsia="游明朝"/>
                <w:lang w:eastAsia="ja-JP"/>
              </w:rPr>
              <w:t>2-1: Yes</w:t>
            </w:r>
          </w:p>
          <w:p w14:paraId="093FDACB" w14:textId="4D0B2FE8" w:rsidR="00AA7422" w:rsidRDefault="00AA7422" w:rsidP="00AA7422">
            <w:pPr>
              <w:tabs>
                <w:tab w:val="left" w:pos="551"/>
              </w:tabs>
              <w:spacing w:after="0"/>
              <w:rPr>
                <w:rFonts w:eastAsiaTheme="minorEastAsia" w:hint="eastAsia"/>
                <w:lang w:eastAsia="zh-CN"/>
              </w:rPr>
            </w:pPr>
            <w:r>
              <w:rPr>
                <w:rFonts w:eastAsia="游明朝" w:hint="eastAsia"/>
                <w:lang w:eastAsia="ja-JP"/>
              </w:rPr>
              <w:t>Q</w:t>
            </w:r>
            <w:r>
              <w:rPr>
                <w:rFonts w:eastAsia="游明朝"/>
                <w:lang w:eastAsia="ja-JP"/>
              </w:rPr>
              <w:t>2-2: None</w:t>
            </w:r>
          </w:p>
        </w:tc>
        <w:tc>
          <w:tcPr>
            <w:tcW w:w="6216" w:type="dxa"/>
          </w:tcPr>
          <w:p w14:paraId="71B965F9" w14:textId="4139A7C1" w:rsidR="00AA7422" w:rsidRDefault="00AA7422" w:rsidP="00AA7422">
            <w:pPr>
              <w:rPr>
                <w:rFonts w:eastAsiaTheme="minorEastAsia"/>
                <w:lang w:eastAsia="zh-CN"/>
              </w:rPr>
            </w:pPr>
            <w:r>
              <w:rPr>
                <w:rFonts w:eastAsia="游明朝" w:hint="eastAsia"/>
                <w:lang w:eastAsia="ja-JP"/>
              </w:rPr>
              <w:t>O</w:t>
            </w:r>
            <w:r>
              <w:rPr>
                <w:rFonts w:eastAsia="游明朝"/>
                <w:lang w:eastAsia="ja-JP"/>
              </w:rPr>
              <w:t xml:space="preserve">n Alt.3, our understanding is up to gNB implementation using CSI feedback. Alt 4/5/6/7 has some specification </w:t>
            </w:r>
            <w:proofErr w:type="gramStart"/>
            <w:r>
              <w:rPr>
                <w:rFonts w:eastAsia="游明朝"/>
                <w:lang w:eastAsia="ja-JP"/>
              </w:rPr>
              <w:t>impacts</w:t>
            </w:r>
            <w:proofErr w:type="gramEnd"/>
            <w:r>
              <w:rPr>
                <w:rFonts w:eastAsia="游明朝"/>
                <w:lang w:eastAsia="ja-JP"/>
              </w:rPr>
              <w:t xml:space="preserve"> and these are optimization, which is not necessary considering the remaining TUs.</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SimSun"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6"/>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f"/>
                <w:highlight w:val="green"/>
              </w:rPr>
              <w:t>Agreement</w:t>
            </w:r>
            <w:r w:rsidRPr="00F8412A">
              <w:rPr>
                <w:rStyle w:val="aff"/>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f"/>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w:t>
            </w:r>
            <w:proofErr w:type="spellStart"/>
            <w:r w:rsidRPr="00F8412A">
              <w:t>MsgA</w:t>
            </w:r>
            <w:proofErr w:type="spellEnd"/>
            <w:r w:rsidRPr="00F8412A">
              <w:t xml:space="preserve">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lastRenderedPageBreak/>
              <w:t xml:space="preserve">DCI format 0_1/1_1 </w:t>
            </w:r>
            <w:proofErr w:type="gramStart"/>
            <w:r w:rsidRPr="00F8412A">
              <w:t>are</w:t>
            </w:r>
            <w:proofErr w:type="gramEnd"/>
            <w:r w:rsidRPr="00F8412A">
              <w:t xml:space="preserve"> mandatory as in legacy. DCI 0_2/1_2 </w:t>
            </w:r>
            <w:proofErr w:type="gramStart"/>
            <w:r w:rsidRPr="00F8412A">
              <w:t>are</w:t>
            </w:r>
            <w:proofErr w:type="gramEnd"/>
            <w:r w:rsidRPr="00F8412A">
              <w:t xml:space="preserv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6"/>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16</w:t>
            </w:r>
            <w:proofErr w:type="gramStart"/>
            <w:r w:rsidR="009C4C02">
              <w:rPr>
                <w:rFonts w:ascii="Times" w:hAnsi="Times"/>
                <w:szCs w:val="24"/>
              </w:rPr>
              <w:t xml:space="preserve">, </w:t>
            </w:r>
            <w:r w:rsidR="00463BF3">
              <w:rPr>
                <w:rFonts w:ascii="Times" w:hAnsi="Times"/>
                <w:szCs w:val="24"/>
              </w:rPr>
              <w:t>]</w:t>
            </w:r>
            <w:proofErr w:type="gramEnd"/>
          </w:p>
        </w:tc>
        <w:tc>
          <w:tcPr>
            <w:tcW w:w="8285" w:type="dxa"/>
          </w:tcPr>
          <w:p w14:paraId="4684FB27" w14:textId="77777777" w:rsidR="00B90D40" w:rsidRDefault="00B90D40"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7"/>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7"/>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6"/>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 xml:space="preserve">Huawei, </w:t>
            </w:r>
            <w:proofErr w:type="spellStart"/>
            <w:r>
              <w:rPr>
                <w:lang w:eastAsia="ko-KR"/>
              </w:rPr>
              <w:t>HiSilicon</w:t>
            </w:r>
            <w:proofErr w:type="spellEnd"/>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t>
            </w:r>
            <w:r>
              <w:rPr>
                <w:lang w:eastAsia="ko-KR"/>
              </w:rPr>
              <w:lastRenderedPageBreak/>
              <w:t>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lastRenderedPageBreak/>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noProof/>
                <w:lang w:val="en-US" w:eastAsia="en-GB"/>
              </w:rPr>
              <w:t xml:space="preserve">marginal from coverage perspective. DCI format </w:t>
            </w:r>
            <w:r w:rsidRPr="007F6D32">
              <w:t>2_x can be optionally supported</w:t>
            </w:r>
            <w:r>
              <w:t xml:space="preserve"> for group common signalling.  </w:t>
            </w:r>
            <w:proofErr w:type="spellStart"/>
            <w:r>
              <w:t>Sidelink</w:t>
            </w:r>
            <w:proofErr w:type="spellEnd"/>
            <w:r>
              <w:t xml:space="preserve">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游明朝" w:hint="eastAsia"/>
                <w:lang w:eastAsia="ja-JP"/>
              </w:rPr>
            </w:pPr>
            <w:r>
              <w:rPr>
                <w:rFonts w:eastAsia="游明朝" w:hint="eastAsia"/>
                <w:lang w:eastAsia="ja-JP"/>
              </w:rPr>
              <w:t>P</w:t>
            </w:r>
            <w:r>
              <w:rPr>
                <w:rFonts w:eastAsia="游明朝"/>
                <w:lang w:eastAsia="ja-JP"/>
              </w:rPr>
              <w:t>anasonic</w:t>
            </w:r>
          </w:p>
        </w:tc>
        <w:tc>
          <w:tcPr>
            <w:tcW w:w="1936" w:type="dxa"/>
          </w:tcPr>
          <w:p w14:paraId="52A9F528" w14:textId="77777777" w:rsidR="00B12BC6" w:rsidRDefault="00B12BC6" w:rsidP="00B12BC6">
            <w:pPr>
              <w:tabs>
                <w:tab w:val="left" w:pos="551"/>
              </w:tabs>
              <w:rPr>
                <w:rFonts w:eastAsia="游明朝"/>
                <w:lang w:eastAsia="ja-JP"/>
              </w:rPr>
            </w:pPr>
            <w:r>
              <w:rPr>
                <w:rFonts w:eastAsia="游明朝" w:hint="eastAsia"/>
                <w:lang w:eastAsia="ja-JP"/>
              </w:rPr>
              <w:t>Q</w:t>
            </w:r>
            <w:r>
              <w:rPr>
                <w:rFonts w:eastAsia="游明朝"/>
                <w:lang w:eastAsia="ja-JP"/>
              </w:rPr>
              <w:t>3-1: No</w:t>
            </w:r>
          </w:p>
          <w:p w14:paraId="6A9A446F" w14:textId="5D2ED4CC" w:rsidR="00B12BC6" w:rsidRDefault="00B12BC6" w:rsidP="00B12BC6">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68A68B12" w14:textId="77777777" w:rsidR="00B12BC6" w:rsidRDefault="00B12BC6" w:rsidP="00B12BC6">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one bit optimization is limited. </w:t>
            </w:r>
          </w:p>
        </w:tc>
      </w:tr>
    </w:tbl>
    <w:p w14:paraId="0CD42A6D" w14:textId="57DC61CE" w:rsidR="00E5689F" w:rsidRPr="008B3A4B"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7"/>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游明朝" w:hint="eastAsia"/>
                <w:lang w:eastAsia="ja-JP"/>
              </w:rPr>
            </w:pPr>
            <w:r>
              <w:rPr>
                <w:rFonts w:eastAsia="游明朝" w:hint="eastAsia"/>
                <w:lang w:eastAsia="ja-JP"/>
              </w:rPr>
              <w:t>P</w:t>
            </w:r>
            <w:r>
              <w:rPr>
                <w:rFonts w:eastAsia="游明朝"/>
                <w:lang w:eastAsia="ja-JP"/>
              </w:rPr>
              <w:t>anasonic</w:t>
            </w:r>
          </w:p>
        </w:tc>
        <w:tc>
          <w:tcPr>
            <w:tcW w:w="1936" w:type="dxa"/>
          </w:tcPr>
          <w:p w14:paraId="6829162D" w14:textId="6C34C865" w:rsidR="00F112AA" w:rsidRDefault="00F112AA" w:rsidP="00F112AA">
            <w:pPr>
              <w:tabs>
                <w:tab w:val="left" w:pos="551"/>
              </w:tabs>
              <w:rPr>
                <w:rFonts w:eastAsiaTheme="minorEastAsia" w:hint="eastAsia"/>
                <w:lang w:eastAsia="zh-CN"/>
              </w:rPr>
            </w:pPr>
            <w:r>
              <w:rPr>
                <w:rFonts w:eastAsia="游明朝"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bl>
    <w:p w14:paraId="6192D412" w14:textId="77777777" w:rsidR="00AE0C28"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proofErr w:type="spellStart"/>
      <w:r w:rsidRPr="00062FD4">
        <w:rPr>
          <w:i/>
          <w:iCs/>
        </w:rPr>
        <w:t>rsrp-ThresholdSSB</w:t>
      </w:r>
      <w:proofErr w:type="spellEnd"/>
      <w:r>
        <w:t xml:space="preserve"> is configured for the selection of the SSB during random access procedure. In addition, a </w:t>
      </w:r>
      <w:proofErr w:type="spellStart"/>
      <w:r w:rsidRPr="00062FD4">
        <w:rPr>
          <w:i/>
          <w:iCs/>
        </w:rPr>
        <w:t>rsrp</w:t>
      </w:r>
      <w:proofErr w:type="spellEnd"/>
      <w:r w:rsidRPr="00062FD4">
        <w:rPr>
          <w:i/>
          <w:iCs/>
        </w:rPr>
        <w:t>-</w:t>
      </w:r>
      <w:proofErr w:type="spellStart"/>
      <w:r w:rsidRPr="00062FD4">
        <w:rPr>
          <w:i/>
          <w:iCs/>
        </w:rPr>
        <w:t>ThresholdSSB</w:t>
      </w:r>
      <w:proofErr w:type="spellEnd"/>
      <w:r w:rsidRPr="00062FD4">
        <w:rPr>
          <w:i/>
          <w:iCs/>
        </w:rPr>
        <w:t>-SUL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proofErr w:type="spellStart"/>
      <w:r w:rsidRPr="00062FD4">
        <w:rPr>
          <w:i/>
          <w:iCs/>
        </w:rPr>
        <w:t>rsrp-ThresholdSSB</w:t>
      </w:r>
      <w:proofErr w:type="spellEnd"/>
      <w:r w:rsidRPr="00062FD4">
        <w:t xml:space="preserve"> amongst the associated SSBs</w:t>
      </w:r>
      <w:r>
        <w:t xml:space="preserve">. </w:t>
      </w:r>
      <w:r w:rsidR="0075037A">
        <w:t xml:space="preserve">Contribution [11] mentioned that </w:t>
      </w:r>
      <w:r w:rsidR="0075037A">
        <w:rPr>
          <w:rFonts w:eastAsia="SimSun"/>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w:t>
      </w:r>
      <w:r w:rsidRPr="001B5F1E">
        <w:rPr>
          <w:rFonts w:eastAsia="DengXian"/>
          <w:lang w:eastAsia="zh-CN"/>
        </w:rPr>
        <w:t>equipped with a minimum of 2 or 4 Rx antenna ports for specific frequency bands.</w:t>
      </w:r>
      <w:r>
        <w:rPr>
          <w:rFonts w:eastAsia="DengXian"/>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w:t>
      </w:r>
      <w:proofErr w:type="gramStart"/>
      <w:r>
        <w:t>less</w:t>
      </w:r>
      <w:proofErr w:type="gramEnd"/>
      <w:r>
        <w:t xml:space="preserve">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7"/>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7"/>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6"/>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游明朝" w:hint="eastAsia"/>
                <w:lang w:eastAsia="ja-JP"/>
              </w:rPr>
            </w:pPr>
            <w:r>
              <w:rPr>
                <w:rFonts w:eastAsia="游明朝" w:hint="eastAsia"/>
                <w:lang w:eastAsia="ja-JP"/>
              </w:rPr>
              <w:t>P</w:t>
            </w:r>
            <w:r>
              <w:rPr>
                <w:rFonts w:eastAsia="游明朝"/>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sidRPr="004F6F5F">
        <w:rPr>
          <w:rFonts w:eastAsia="SimSun"/>
          <w:sz w:val="21"/>
          <w:szCs w:val="21"/>
          <w:lang w:eastAsia="zh-CN"/>
        </w:rPr>
        <w:t>it is mandatory with capability signalling to support at least 4 MIMO layers in the bands where 4Rx is specified and at least 2 MIMO layers in FR2.</w:t>
      </w:r>
      <w:r w:rsidR="00DC10BC">
        <w:rPr>
          <w:rFonts w:eastAsia="SimSun"/>
          <w:sz w:val="21"/>
          <w:szCs w:val="21"/>
          <w:lang w:eastAsia="zh-CN"/>
        </w:rPr>
        <w:t xml:space="preserve"> However, 1 Rx and 1 MIMO layer have been agreed to be supported for Redcap. In addition, the DL MIMO layer is provided by the IE of ‘</w:t>
      </w:r>
      <w:r w:rsidR="00DC10BC" w:rsidRPr="00E22C95">
        <w:t>MIMO-</w:t>
      </w:r>
      <w:proofErr w:type="spellStart"/>
      <w:r w:rsidR="00DC10BC" w:rsidRPr="00E22C95">
        <w:t>LayersDL</w:t>
      </w:r>
      <w:proofErr w:type="spellEnd"/>
      <w:r w:rsidR="00DC10BC">
        <w:rPr>
          <w:rFonts w:eastAsia="SimSun"/>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MIMO-</w:t>
      </w:r>
      <w:proofErr w:type="spellStart"/>
      <w:proofErr w:type="gramStart"/>
      <w:r w:rsidRPr="00E22C95">
        <w:t>LayersDL</w:t>
      </w:r>
      <w:proofErr w:type="spellEnd"/>
      <w:r w:rsidRPr="00E22C95">
        <w:t xml:space="preserve"> ::=</w:t>
      </w:r>
      <w:proofErr w:type="gramEnd"/>
      <w:r w:rsidRPr="00E22C95">
        <w:t xml:space="preserve">   </w:t>
      </w:r>
      <w:r w:rsidRPr="0064098F">
        <w:rPr>
          <w:color w:val="993366"/>
        </w:rPr>
        <w:t>ENUMERATED</w:t>
      </w:r>
      <w:r w:rsidRPr="00E22C95">
        <w:t xml:space="preserve"> {</w:t>
      </w:r>
      <w:proofErr w:type="spellStart"/>
      <w:r w:rsidRPr="00E22C95">
        <w:t>twoLayers</w:t>
      </w:r>
      <w:proofErr w:type="spellEnd"/>
      <w:r w:rsidRPr="00E22C95">
        <w:t xml:space="preserve">, </w:t>
      </w:r>
      <w:proofErr w:type="spellStart"/>
      <w:r w:rsidRPr="00E22C95">
        <w:t>fourLayers</w:t>
      </w:r>
      <w:proofErr w:type="spellEnd"/>
      <w:r w:rsidRPr="00E22C95">
        <w:t xml:space="preserve">, </w:t>
      </w:r>
      <w:proofErr w:type="spellStart"/>
      <w:r w:rsidRPr="00E22C95">
        <w:t>eightLayers</w:t>
      </w:r>
      <w:proofErr w:type="spellEnd"/>
      <w:r w:rsidRPr="00E22C95">
        <w:t>}</w:t>
      </w:r>
    </w:p>
    <w:p w14:paraId="06206D63" w14:textId="03713ABB" w:rsidR="00DC10BC" w:rsidRPr="00553124" w:rsidRDefault="00DC10BC" w:rsidP="00DC10BC">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7"/>
        <w:numPr>
          <w:ilvl w:val="0"/>
          <w:numId w:val="18"/>
        </w:numPr>
        <w:contextualSpacing w:val="0"/>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4</w:t>
      </w:r>
      <w:r w:rsidRPr="003709CF">
        <w:rPr>
          <w:rFonts w:ascii="Times New Roman" w:eastAsia="DengXian"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7"/>
        <w:numPr>
          <w:ilvl w:val="0"/>
          <w:numId w:val="18"/>
        </w:numPr>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5</w:t>
      </w:r>
      <w:r w:rsidRPr="003709CF">
        <w:rPr>
          <w:rFonts w:ascii="Times New Roman" w:eastAsia="DengXian"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7"/>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游明朝" w:hint="eastAsia"/>
                <w:lang w:eastAsia="ja-JP"/>
              </w:rPr>
            </w:pPr>
            <w:r>
              <w:rPr>
                <w:rFonts w:eastAsia="游明朝" w:hint="eastAsia"/>
                <w:lang w:eastAsia="ja-JP"/>
              </w:rPr>
              <w:t>P</w:t>
            </w:r>
            <w:r>
              <w:rPr>
                <w:rFonts w:eastAsia="游明朝"/>
                <w:lang w:eastAsia="ja-JP"/>
              </w:rPr>
              <w:t>anasonic</w:t>
            </w:r>
          </w:p>
        </w:tc>
        <w:tc>
          <w:tcPr>
            <w:tcW w:w="1936" w:type="dxa"/>
          </w:tcPr>
          <w:p w14:paraId="3E702681" w14:textId="522D8A51" w:rsidR="00FC77BC" w:rsidRPr="00FC77BC" w:rsidRDefault="00FC77BC" w:rsidP="00D5358C">
            <w:pPr>
              <w:tabs>
                <w:tab w:val="left" w:pos="551"/>
              </w:tabs>
              <w:rPr>
                <w:rFonts w:eastAsia="游明朝" w:hint="eastAsia"/>
                <w:lang w:eastAsia="ja-JP"/>
              </w:rPr>
            </w:pPr>
            <w:r>
              <w:rPr>
                <w:rFonts w:eastAsia="游明朝" w:hint="eastAsia"/>
                <w:lang w:eastAsia="ja-JP"/>
              </w:rPr>
              <w:t>Y</w:t>
            </w:r>
          </w:p>
        </w:tc>
        <w:tc>
          <w:tcPr>
            <w:tcW w:w="6216" w:type="dxa"/>
          </w:tcPr>
          <w:p w14:paraId="6F81F4FB" w14:textId="77777777" w:rsidR="00FC77BC" w:rsidRDefault="00FC77BC" w:rsidP="00D5358C">
            <w:pPr>
              <w:rPr>
                <w:rFonts w:eastAsiaTheme="minorEastAsia"/>
                <w:lang w:eastAsia="zh-CN"/>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6"/>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lastRenderedPageBreak/>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7"/>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6"/>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游明朝" w:hint="eastAsia"/>
                <w:lang w:eastAsia="ja-JP"/>
              </w:rPr>
            </w:pPr>
            <w:r>
              <w:rPr>
                <w:rFonts w:eastAsia="游明朝" w:hint="eastAsia"/>
                <w:lang w:eastAsia="ja-JP"/>
              </w:rPr>
              <w:t>P</w:t>
            </w:r>
            <w:r>
              <w:rPr>
                <w:rFonts w:eastAsia="游明朝"/>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游明朝" w:hint="eastAsia"/>
                <w:lang w:eastAsia="ja-JP"/>
              </w:rPr>
              <w:t>N</w:t>
            </w:r>
          </w:p>
        </w:tc>
        <w:tc>
          <w:tcPr>
            <w:tcW w:w="6216" w:type="dxa"/>
          </w:tcPr>
          <w:p w14:paraId="79B4E12A" w14:textId="65C37B45" w:rsidR="00953EA8" w:rsidRDefault="00953EA8" w:rsidP="00953EA8">
            <w:pPr>
              <w:rPr>
                <w:rFonts w:eastAsiaTheme="minorEastAsia" w:hint="eastAsia"/>
                <w:lang w:eastAsia="zh-CN"/>
              </w:rPr>
            </w:pPr>
            <w:r>
              <w:rPr>
                <w:rFonts w:eastAsia="游明朝" w:hint="eastAsia"/>
                <w:lang w:eastAsia="ja-JP"/>
              </w:rPr>
              <w:t>N</w:t>
            </w:r>
            <w:r>
              <w:rPr>
                <w:rFonts w:eastAsia="游明朝"/>
                <w:lang w:eastAsia="ja-JP"/>
              </w:rPr>
              <w:t>o need to discuss it again as we expect the same conclusion.</w:t>
            </w:r>
          </w:p>
        </w:tc>
      </w:tr>
    </w:tbl>
    <w:p w14:paraId="4ECB33C0" w14:textId="77777777" w:rsidR="007916B8" w:rsidRDefault="007916B8">
      <w:pPr>
        <w:spacing w:after="0"/>
        <w:rPr>
          <w:rFonts w:ascii="Arial" w:hAnsi="Arial"/>
          <w:sz w:val="36"/>
        </w:rPr>
      </w:pPr>
      <w:bookmarkStart w:id="4" w:name="_Hlk41391803"/>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游明朝"/>
                <w:lang w:eastAsia="ja-JP"/>
              </w:rPr>
            </w:pPr>
          </w:p>
        </w:tc>
        <w:tc>
          <w:tcPr>
            <w:tcW w:w="2410" w:type="dxa"/>
          </w:tcPr>
          <w:p w14:paraId="00666B6C" w14:textId="3862A9E8" w:rsidR="00DC66C7" w:rsidRPr="00907FD4" w:rsidRDefault="00DC66C7" w:rsidP="007B0CDC">
            <w:pPr>
              <w:spacing w:after="0"/>
              <w:rPr>
                <w:rFonts w:eastAsia="游明朝"/>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游明朝"/>
                <w:lang w:eastAsia="ja-JP"/>
              </w:rPr>
            </w:pPr>
          </w:p>
        </w:tc>
        <w:tc>
          <w:tcPr>
            <w:tcW w:w="2410" w:type="dxa"/>
          </w:tcPr>
          <w:p w14:paraId="00666B74" w14:textId="7171C5BE" w:rsidR="00DC66C7" w:rsidRPr="007A4717" w:rsidRDefault="00DC66C7" w:rsidP="007B0CDC">
            <w:pPr>
              <w:spacing w:after="0"/>
              <w:rPr>
                <w:rFonts w:eastAsia="游明朝"/>
                <w:lang w:eastAsia="ja-JP"/>
              </w:rPr>
            </w:pPr>
          </w:p>
        </w:tc>
        <w:tc>
          <w:tcPr>
            <w:tcW w:w="4110" w:type="dxa"/>
          </w:tcPr>
          <w:p w14:paraId="00666B75" w14:textId="2D820E77" w:rsidR="00DC66C7" w:rsidRPr="007A4717" w:rsidRDefault="00DC66C7" w:rsidP="007B0CDC">
            <w:pPr>
              <w:spacing w:after="0"/>
              <w:rPr>
                <w:rFonts w:eastAsia="游明朝"/>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游明朝"/>
                <w:lang w:eastAsia="ja-JP"/>
              </w:rPr>
            </w:pPr>
          </w:p>
        </w:tc>
        <w:tc>
          <w:tcPr>
            <w:tcW w:w="2410" w:type="dxa"/>
          </w:tcPr>
          <w:p w14:paraId="00666B84" w14:textId="52212EB3" w:rsidR="002803D5" w:rsidRPr="002803D5" w:rsidRDefault="002803D5" w:rsidP="007B0CDC">
            <w:pPr>
              <w:spacing w:after="0"/>
              <w:rPr>
                <w:rFonts w:eastAsia="游明朝"/>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953EA8" w:rsidP="00133EAB">
      <w:pPr>
        <w:pStyle w:val="a7"/>
        <w:numPr>
          <w:ilvl w:val="0"/>
          <w:numId w:val="10"/>
        </w:numPr>
        <w:ind w:left="418" w:hanging="418"/>
        <w:contextualSpacing w:val="0"/>
        <w:rPr>
          <w:lang w:eastAsia="x-none"/>
        </w:rPr>
      </w:pPr>
      <w:hyperlink r:id="rId12" w:history="1">
        <w:r w:rsidR="00804931">
          <w:rPr>
            <w:rStyle w:val="af7"/>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953EA8" w:rsidP="00133EAB">
      <w:pPr>
        <w:pStyle w:val="a7"/>
        <w:numPr>
          <w:ilvl w:val="0"/>
          <w:numId w:val="10"/>
        </w:numPr>
        <w:ind w:left="418" w:hanging="418"/>
        <w:contextualSpacing w:val="0"/>
        <w:rPr>
          <w:lang w:eastAsia="x-none"/>
        </w:rPr>
      </w:pPr>
      <w:hyperlink r:id="rId13" w:history="1">
        <w:r w:rsidR="00804931">
          <w:rPr>
            <w:rStyle w:val="af7"/>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953EA8" w:rsidP="00133EAB">
      <w:pPr>
        <w:pStyle w:val="a7"/>
        <w:numPr>
          <w:ilvl w:val="0"/>
          <w:numId w:val="10"/>
        </w:numPr>
        <w:ind w:left="418" w:hanging="418"/>
        <w:contextualSpacing w:val="0"/>
        <w:rPr>
          <w:lang w:eastAsia="x-none"/>
        </w:rPr>
      </w:pPr>
      <w:hyperlink r:id="rId14" w:history="1">
        <w:r w:rsidR="00804931">
          <w:rPr>
            <w:rStyle w:val="af7"/>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953EA8" w:rsidP="00133EAB">
      <w:pPr>
        <w:pStyle w:val="a7"/>
        <w:numPr>
          <w:ilvl w:val="0"/>
          <w:numId w:val="10"/>
        </w:numPr>
        <w:ind w:left="418" w:hanging="418"/>
        <w:contextualSpacing w:val="0"/>
        <w:rPr>
          <w:lang w:eastAsia="x-none"/>
        </w:rPr>
      </w:pPr>
      <w:hyperlink r:id="rId15" w:history="1">
        <w:r w:rsidR="00804931">
          <w:rPr>
            <w:rStyle w:val="af7"/>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953EA8" w:rsidP="00133EAB">
      <w:pPr>
        <w:pStyle w:val="a7"/>
        <w:numPr>
          <w:ilvl w:val="0"/>
          <w:numId w:val="10"/>
        </w:numPr>
        <w:ind w:left="418" w:hanging="418"/>
        <w:contextualSpacing w:val="0"/>
        <w:rPr>
          <w:lang w:eastAsia="x-none"/>
        </w:rPr>
      </w:pPr>
      <w:hyperlink r:id="rId16" w:history="1">
        <w:r w:rsidR="00804931">
          <w:rPr>
            <w:rStyle w:val="af7"/>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953EA8" w:rsidP="00133EAB">
      <w:pPr>
        <w:pStyle w:val="a7"/>
        <w:numPr>
          <w:ilvl w:val="0"/>
          <w:numId w:val="10"/>
        </w:numPr>
        <w:ind w:left="418" w:hanging="418"/>
        <w:contextualSpacing w:val="0"/>
        <w:rPr>
          <w:lang w:eastAsia="x-none"/>
        </w:rPr>
      </w:pPr>
      <w:hyperlink r:id="rId17" w:history="1">
        <w:r w:rsidR="00804931">
          <w:rPr>
            <w:rStyle w:val="af7"/>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953EA8" w:rsidP="00133EAB">
      <w:pPr>
        <w:pStyle w:val="a7"/>
        <w:numPr>
          <w:ilvl w:val="0"/>
          <w:numId w:val="10"/>
        </w:numPr>
        <w:ind w:left="418" w:hanging="418"/>
        <w:contextualSpacing w:val="0"/>
        <w:rPr>
          <w:lang w:eastAsia="x-none"/>
        </w:rPr>
      </w:pPr>
      <w:hyperlink r:id="rId18" w:history="1">
        <w:r w:rsidR="00804931">
          <w:rPr>
            <w:rStyle w:val="af7"/>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953EA8" w:rsidP="00133EAB">
      <w:pPr>
        <w:pStyle w:val="a7"/>
        <w:numPr>
          <w:ilvl w:val="0"/>
          <w:numId w:val="10"/>
        </w:numPr>
        <w:ind w:left="418" w:hanging="418"/>
        <w:contextualSpacing w:val="0"/>
        <w:rPr>
          <w:lang w:eastAsia="x-none"/>
        </w:rPr>
      </w:pPr>
      <w:hyperlink r:id="rId19" w:history="1">
        <w:r w:rsidR="00804931">
          <w:rPr>
            <w:rStyle w:val="af7"/>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953EA8" w:rsidP="00133EAB">
      <w:pPr>
        <w:pStyle w:val="a7"/>
        <w:numPr>
          <w:ilvl w:val="0"/>
          <w:numId w:val="10"/>
        </w:numPr>
        <w:ind w:left="418" w:hanging="418"/>
        <w:contextualSpacing w:val="0"/>
        <w:rPr>
          <w:lang w:eastAsia="x-none"/>
        </w:rPr>
      </w:pPr>
      <w:hyperlink r:id="rId20" w:history="1">
        <w:r w:rsidR="00804931">
          <w:rPr>
            <w:rStyle w:val="af7"/>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953EA8" w:rsidP="00133EAB">
      <w:pPr>
        <w:pStyle w:val="a7"/>
        <w:numPr>
          <w:ilvl w:val="0"/>
          <w:numId w:val="10"/>
        </w:numPr>
        <w:ind w:left="418" w:hanging="418"/>
        <w:contextualSpacing w:val="0"/>
        <w:rPr>
          <w:lang w:eastAsia="x-none"/>
        </w:rPr>
      </w:pPr>
      <w:hyperlink r:id="rId21" w:history="1">
        <w:r w:rsidR="00804931">
          <w:rPr>
            <w:rStyle w:val="af7"/>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953EA8" w:rsidP="00133EAB">
      <w:pPr>
        <w:pStyle w:val="a7"/>
        <w:numPr>
          <w:ilvl w:val="0"/>
          <w:numId w:val="10"/>
        </w:numPr>
        <w:ind w:left="418" w:hanging="418"/>
        <w:contextualSpacing w:val="0"/>
        <w:rPr>
          <w:lang w:eastAsia="x-none"/>
        </w:rPr>
      </w:pPr>
      <w:hyperlink r:id="rId22" w:history="1">
        <w:r w:rsidR="00804931">
          <w:rPr>
            <w:rStyle w:val="af7"/>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953EA8" w:rsidP="00133EAB">
      <w:pPr>
        <w:pStyle w:val="a7"/>
        <w:numPr>
          <w:ilvl w:val="0"/>
          <w:numId w:val="10"/>
        </w:numPr>
        <w:ind w:left="418" w:hanging="418"/>
        <w:contextualSpacing w:val="0"/>
        <w:rPr>
          <w:lang w:eastAsia="x-none"/>
        </w:rPr>
      </w:pPr>
      <w:hyperlink r:id="rId23" w:history="1">
        <w:r w:rsidR="00804931">
          <w:rPr>
            <w:rStyle w:val="af7"/>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953EA8" w:rsidP="00133EAB">
      <w:pPr>
        <w:pStyle w:val="a7"/>
        <w:numPr>
          <w:ilvl w:val="0"/>
          <w:numId w:val="10"/>
        </w:numPr>
        <w:ind w:left="418" w:hanging="418"/>
        <w:contextualSpacing w:val="0"/>
        <w:rPr>
          <w:lang w:eastAsia="x-none"/>
        </w:rPr>
      </w:pPr>
      <w:hyperlink r:id="rId24" w:history="1">
        <w:r w:rsidR="00804931">
          <w:rPr>
            <w:rStyle w:val="af7"/>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953EA8" w:rsidP="00133EAB">
      <w:pPr>
        <w:pStyle w:val="a7"/>
        <w:numPr>
          <w:ilvl w:val="0"/>
          <w:numId w:val="10"/>
        </w:numPr>
        <w:ind w:left="418" w:hanging="418"/>
        <w:contextualSpacing w:val="0"/>
        <w:rPr>
          <w:lang w:eastAsia="x-none"/>
        </w:rPr>
      </w:pPr>
      <w:hyperlink r:id="rId25" w:history="1">
        <w:r w:rsidR="00804931">
          <w:rPr>
            <w:rStyle w:val="af7"/>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953EA8" w:rsidP="00133EAB">
      <w:pPr>
        <w:pStyle w:val="a7"/>
        <w:numPr>
          <w:ilvl w:val="0"/>
          <w:numId w:val="10"/>
        </w:numPr>
        <w:ind w:left="418" w:hanging="418"/>
        <w:contextualSpacing w:val="0"/>
        <w:rPr>
          <w:lang w:eastAsia="x-none"/>
        </w:rPr>
      </w:pPr>
      <w:hyperlink r:id="rId26" w:history="1">
        <w:r w:rsidR="00804931">
          <w:rPr>
            <w:rStyle w:val="af7"/>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953EA8" w:rsidP="00133EAB">
      <w:pPr>
        <w:pStyle w:val="a7"/>
        <w:numPr>
          <w:ilvl w:val="0"/>
          <w:numId w:val="10"/>
        </w:numPr>
        <w:ind w:left="418" w:hanging="418"/>
        <w:contextualSpacing w:val="0"/>
        <w:rPr>
          <w:lang w:eastAsia="x-none"/>
        </w:rPr>
      </w:pPr>
      <w:hyperlink r:id="rId27" w:history="1">
        <w:r w:rsidR="00804931">
          <w:rPr>
            <w:rStyle w:val="af7"/>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953EA8" w:rsidP="00133EAB">
      <w:pPr>
        <w:pStyle w:val="a7"/>
        <w:numPr>
          <w:ilvl w:val="0"/>
          <w:numId w:val="10"/>
        </w:numPr>
        <w:ind w:left="418" w:hanging="418"/>
        <w:contextualSpacing w:val="0"/>
        <w:rPr>
          <w:lang w:eastAsia="x-none"/>
        </w:rPr>
      </w:pPr>
      <w:hyperlink r:id="rId28" w:history="1">
        <w:r w:rsidR="00804931">
          <w:rPr>
            <w:rStyle w:val="af7"/>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953EA8" w:rsidP="00133EAB">
      <w:pPr>
        <w:pStyle w:val="a7"/>
        <w:numPr>
          <w:ilvl w:val="0"/>
          <w:numId w:val="10"/>
        </w:numPr>
        <w:ind w:left="418" w:hanging="418"/>
        <w:contextualSpacing w:val="0"/>
        <w:rPr>
          <w:lang w:eastAsia="x-none"/>
        </w:rPr>
      </w:pPr>
      <w:hyperlink r:id="rId29" w:history="1">
        <w:r w:rsidR="00804931">
          <w:rPr>
            <w:rStyle w:val="af7"/>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953EA8" w:rsidP="00133EAB">
      <w:pPr>
        <w:pStyle w:val="a7"/>
        <w:numPr>
          <w:ilvl w:val="0"/>
          <w:numId w:val="10"/>
        </w:numPr>
        <w:ind w:left="418" w:hanging="418"/>
        <w:contextualSpacing w:val="0"/>
        <w:rPr>
          <w:lang w:eastAsia="x-none"/>
        </w:rPr>
      </w:pPr>
      <w:hyperlink r:id="rId30" w:history="1">
        <w:r w:rsidR="00804931">
          <w:rPr>
            <w:rStyle w:val="af7"/>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1678" w14:textId="77777777" w:rsidR="000349F7" w:rsidRDefault="000349F7" w:rsidP="00581A60">
      <w:pPr>
        <w:spacing w:after="0"/>
      </w:pPr>
      <w:r>
        <w:separator/>
      </w:r>
    </w:p>
  </w:endnote>
  <w:endnote w:type="continuationSeparator" w:id="0">
    <w:p w14:paraId="548B9268" w14:textId="77777777" w:rsidR="000349F7" w:rsidRDefault="000349F7" w:rsidP="00581A60">
      <w:pPr>
        <w:spacing w:after="0"/>
      </w:pPr>
      <w:r>
        <w:continuationSeparator/>
      </w:r>
    </w:p>
  </w:endnote>
  <w:endnote w:type="continuationNotice" w:id="1">
    <w:p w14:paraId="0A46986D" w14:textId="77777777" w:rsidR="000349F7" w:rsidRDefault="000349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40CC" w14:textId="77777777" w:rsidR="000349F7" w:rsidRDefault="000349F7" w:rsidP="00581A60">
      <w:pPr>
        <w:spacing w:after="0"/>
      </w:pPr>
      <w:r>
        <w:separator/>
      </w:r>
    </w:p>
  </w:footnote>
  <w:footnote w:type="continuationSeparator" w:id="0">
    <w:p w14:paraId="55C6CEFE" w14:textId="77777777" w:rsidR="000349F7" w:rsidRDefault="000349F7" w:rsidP="00581A60">
      <w:pPr>
        <w:spacing w:after="0"/>
      </w:pPr>
      <w:r>
        <w:continuationSeparator/>
      </w:r>
    </w:p>
  </w:footnote>
  <w:footnote w:type="continuationNotice" w:id="1">
    <w:p w14:paraId="6025DFEA" w14:textId="77777777" w:rsidR="000349F7" w:rsidRDefault="000349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DFF6F-94A6-49D7-B500-C4178F07639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3678</Words>
  <Characters>20970</Characters>
  <Application>Microsoft Office Word</Application>
  <DocSecurity>0</DocSecurity>
  <Lines>174</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24599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14</cp:revision>
  <dcterms:created xsi:type="dcterms:W3CDTF">2021-08-16T10:24:00Z</dcterms:created>
  <dcterms:modified xsi:type="dcterms:W3CDTF">2021-08-16T11:23:00Z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