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To move forward, our  s</w:t>
            </w:r>
            <w:r w:rsidR="001C31D6">
              <w:rPr>
                <w:rFonts w:eastAsia="Malgun Gothic"/>
                <w:lang w:eastAsia="ko-KR"/>
              </w:rPr>
              <w:t>uggest</w:t>
            </w:r>
            <w:r>
              <w:rPr>
                <w:rFonts w:eastAsia="Malgun Gothic"/>
                <w:lang w:eastAsia="ko-KR"/>
              </w:rPr>
              <w:t>ion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ListParagraph"/>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ListParagraph"/>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ListParagraph"/>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ListParagraph"/>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ListParagraph"/>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ListParagraph"/>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lastRenderedPageBreak/>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ZTE, Sanechips</w:t>
            </w:r>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lastRenderedPageBreak/>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lastRenderedPageBreak/>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lastRenderedPageBreak/>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lastRenderedPageBreak/>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lastRenderedPageBreak/>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lastRenderedPageBreak/>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lastRenderedPageBreak/>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lastRenderedPageBreak/>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lastRenderedPageBreak/>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lastRenderedPageBreak/>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lastRenderedPageBreak/>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lastRenderedPageBreak/>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lastRenderedPageBreak/>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lastRenderedPageBreak/>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lastRenderedPageBreak/>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is low in the separate initial DL BWP. Assuming 100 MHz channel BW, DDDSU frame format in TDD, and 8 SSB beams/20 ms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lastRenderedPageBreak/>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w:t>
      </w:r>
      <w:r>
        <w:rPr>
          <w:rFonts w:ascii="Times" w:hAnsi="Times"/>
          <w:szCs w:val="24"/>
          <w:lang w:val="en-US"/>
        </w:rPr>
        <w:lastRenderedPageBreak/>
        <w:t xml:space="preserve">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lastRenderedPageBreak/>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lastRenderedPageBreak/>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lastRenderedPageBreak/>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lastRenderedPageBreak/>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lastRenderedPageBreak/>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SimSun"/>
                <w:lang w:val="en-US" w:eastAsia="zh-CN"/>
              </w:rPr>
            </w:pPr>
            <w:r>
              <w:rPr>
                <w:rFonts w:eastAsia="SimSun"/>
                <w:lang w:val="en-US" w:eastAsia="zh-CN"/>
              </w:rPr>
              <w:t>Ericsson</w:t>
            </w:r>
          </w:p>
        </w:tc>
        <w:tc>
          <w:tcPr>
            <w:tcW w:w="916" w:type="dxa"/>
          </w:tcPr>
          <w:p w14:paraId="59458D76" w14:textId="77777777" w:rsidR="002D351C" w:rsidRDefault="002D351C" w:rsidP="001B7CD8">
            <w:pPr>
              <w:tabs>
                <w:tab w:val="left" w:pos="551"/>
              </w:tabs>
              <w:rPr>
                <w:rFonts w:eastAsia="SimSun"/>
                <w:lang w:val="en-US" w:eastAsia="zh-CN"/>
              </w:rPr>
            </w:pPr>
            <w:r>
              <w:rPr>
                <w:rFonts w:eastAsia="SimSun"/>
                <w:lang w:val="en-US" w:eastAsia="zh-CN"/>
              </w:rPr>
              <w:t>Y</w:t>
            </w:r>
          </w:p>
        </w:tc>
        <w:tc>
          <w:tcPr>
            <w:tcW w:w="7776" w:type="dxa"/>
          </w:tcPr>
          <w:p w14:paraId="5C50BD49" w14:textId="77777777" w:rsidR="002D351C" w:rsidRDefault="002D351C" w:rsidP="001B7CD8">
            <w:pPr>
              <w:rPr>
                <w:lang w:val="en-US" w:eastAsia="zh-CN"/>
              </w:rPr>
            </w:pP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lastRenderedPageBreak/>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lastRenderedPageBreak/>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w:t>
            </w:r>
            <w:r>
              <w:rPr>
                <w:lang w:val="en-US" w:eastAsia="ko-KR"/>
              </w:rPr>
              <w:lastRenderedPageBreak/>
              <w:t xml:space="preserve">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lastRenderedPageBreak/>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lastRenderedPageBreak/>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lastRenderedPageBreak/>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lastRenderedPageBreak/>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lastRenderedPageBreak/>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lastRenderedPageBreak/>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lastRenderedPageBreak/>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lastRenderedPageBreak/>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9A3F3A">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9A3F3A">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9A3F3A">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9A3F3A">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9A3F3A">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9A3F3A">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9A3F3A">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9A3F3A">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9A3F3A">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9A3F3A">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9A3F3A">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9A3F3A">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9A3F3A">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9A3F3A">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9A3F3A">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9A3F3A">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9A3F3A">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9A3F3A">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02785566" w14:textId="77777777" w:rsidR="00726019" w:rsidRDefault="009A3F3A">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9A3F3A">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9A3F3A">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9A3F3A">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9A3F3A">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9A3F3A">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9A3F3A">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9A3F3A">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9A3F3A">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9A3F3A">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9A3F3A">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9A3F3A">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9A3F3A">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9A3F3A">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9A3F3A">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9A3F3A">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9A3F3A">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9A3F3A">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9A3F3A">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9A3F3A">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9A3F3A">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9A3F3A">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9A3F3A">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9A3F3A">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9A3F3A">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9A3F3A">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2B10" w14:textId="77777777" w:rsidR="009A3F3A" w:rsidRDefault="009A3F3A" w:rsidP="004F7298">
      <w:pPr>
        <w:spacing w:after="0" w:line="240" w:lineRule="auto"/>
      </w:pPr>
      <w:r>
        <w:separator/>
      </w:r>
    </w:p>
  </w:endnote>
  <w:endnote w:type="continuationSeparator" w:id="0">
    <w:p w14:paraId="19C57D5D" w14:textId="77777777" w:rsidR="009A3F3A" w:rsidRDefault="009A3F3A"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83A3" w14:textId="77777777" w:rsidR="009A3F3A" w:rsidRDefault="009A3F3A" w:rsidP="004F7298">
      <w:pPr>
        <w:spacing w:after="0" w:line="240" w:lineRule="auto"/>
      </w:pPr>
      <w:r>
        <w:separator/>
      </w:r>
    </w:p>
  </w:footnote>
  <w:footnote w:type="continuationSeparator" w:id="0">
    <w:p w14:paraId="7160940C" w14:textId="77777777" w:rsidR="009A3F3A" w:rsidRDefault="009A3F3A"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6"/>
  </w:num>
  <w:num w:numId="11">
    <w:abstractNumId w:val="48"/>
  </w:num>
  <w:num w:numId="12">
    <w:abstractNumId w:val="14"/>
  </w:num>
  <w:num w:numId="13">
    <w:abstractNumId w:val="51"/>
  </w:num>
  <w:num w:numId="14">
    <w:abstractNumId w:val="41"/>
  </w:num>
  <w:num w:numId="15">
    <w:abstractNumId w:val="27"/>
  </w:num>
  <w:num w:numId="16">
    <w:abstractNumId w:val="36"/>
  </w:num>
  <w:num w:numId="17">
    <w:abstractNumId w:val="32"/>
  </w:num>
  <w:num w:numId="18">
    <w:abstractNumId w:val="26"/>
  </w:num>
  <w:num w:numId="19">
    <w:abstractNumId w:val="53"/>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5"/>
  </w:num>
  <w:num w:numId="27">
    <w:abstractNumId w:val="37"/>
  </w:num>
  <w:num w:numId="28">
    <w:abstractNumId w:val="61"/>
  </w:num>
  <w:num w:numId="29">
    <w:abstractNumId w:val="43"/>
  </w:num>
  <w:num w:numId="30">
    <w:abstractNumId w:val="57"/>
  </w:num>
  <w:num w:numId="31">
    <w:abstractNumId w:val="52"/>
  </w:num>
  <w:num w:numId="32">
    <w:abstractNumId w:val="38"/>
  </w:num>
  <w:num w:numId="33">
    <w:abstractNumId w:val="23"/>
  </w:num>
  <w:num w:numId="34">
    <w:abstractNumId w:val="56"/>
  </w:num>
  <w:num w:numId="35">
    <w:abstractNumId w:val="62"/>
  </w:num>
  <w:num w:numId="36">
    <w:abstractNumId w:val="18"/>
  </w:num>
  <w:num w:numId="37">
    <w:abstractNumId w:val="59"/>
  </w:num>
  <w:num w:numId="38">
    <w:abstractNumId w:val="44"/>
  </w:num>
  <w:num w:numId="39">
    <w:abstractNumId w:val="50"/>
  </w:num>
  <w:num w:numId="40">
    <w:abstractNumId w:val="34"/>
  </w:num>
  <w:num w:numId="41">
    <w:abstractNumId w:val="12"/>
  </w:num>
  <w:num w:numId="42">
    <w:abstractNumId w:val="65"/>
  </w:num>
  <w:num w:numId="43">
    <w:abstractNumId w:val="58"/>
  </w:num>
  <w:num w:numId="44">
    <w:abstractNumId w:val="15"/>
  </w:num>
  <w:num w:numId="45">
    <w:abstractNumId w:val="42"/>
  </w:num>
  <w:num w:numId="46">
    <w:abstractNumId w:val="47"/>
  </w:num>
  <w:num w:numId="47">
    <w:abstractNumId w:val="7"/>
  </w:num>
  <w:num w:numId="48">
    <w:abstractNumId w:val="22"/>
  </w:num>
  <w:num w:numId="49">
    <w:abstractNumId w:val="63"/>
  </w:num>
  <w:num w:numId="50">
    <w:abstractNumId w:val="5"/>
  </w:num>
  <w:num w:numId="51">
    <w:abstractNumId w:val="11"/>
  </w:num>
  <w:num w:numId="52">
    <w:abstractNumId w:val="60"/>
  </w:num>
  <w:num w:numId="53">
    <w:abstractNumId w:val="30"/>
  </w:num>
  <w:num w:numId="54">
    <w:abstractNumId w:val="49"/>
  </w:num>
  <w:num w:numId="55">
    <w:abstractNumId w:val="2"/>
  </w:num>
  <w:num w:numId="56">
    <w:abstractNumId w:val="55"/>
  </w:num>
  <w:num w:numId="57">
    <w:abstractNumId w:val="9"/>
  </w:num>
  <w:num w:numId="58">
    <w:abstractNumId w:val="4"/>
  </w:num>
  <w:num w:numId="59">
    <w:abstractNumId w:val="20"/>
  </w:num>
  <w:num w:numId="60">
    <w:abstractNumId w:val="24"/>
  </w:num>
  <w:num w:numId="61">
    <w:abstractNumId w:val="35"/>
  </w:num>
  <w:num w:numId="62">
    <w:abstractNumId w:val="54"/>
  </w:num>
  <w:num w:numId="63">
    <w:abstractNumId w:val="64"/>
  </w:num>
  <w:num w:numId="64">
    <w:abstractNumId w:val="31"/>
  </w:num>
  <w:num w:numId="65">
    <w:abstractNumId w:val="8"/>
  </w:num>
  <w:num w:numId="66">
    <w:abstractNumId w:val="30"/>
  </w:num>
  <w:num w:numId="67">
    <w:abstractNumId w:val="52"/>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101</Pages>
  <Words>37679</Words>
  <Characters>199701</Characters>
  <Application>Microsoft Office Word</Application>
  <DocSecurity>0</DocSecurity>
  <Lines>1664</Lines>
  <Paragraphs>473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13</cp:revision>
  <dcterms:created xsi:type="dcterms:W3CDTF">2021-08-23T20:58:00Z</dcterms:created>
  <dcterms:modified xsi:type="dcterms:W3CDTF">2021-08-23T22:26:00Z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