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principle, but need a clarification. First of all, we think the wording update from </w:t>
            </w:r>
            <w:proofErr w:type="spellStart"/>
            <w:r>
              <w:rPr>
                <w:sz w:val="20"/>
                <w:lang w:eastAsia="zh-CN"/>
              </w:rPr>
              <w:t>InterDigital</w:t>
            </w:r>
            <w:proofErr w:type="spellEnd"/>
            <w:r>
              <w:rPr>
                <w:sz w:val="20"/>
                <w:lang w:eastAsia="zh-CN"/>
              </w:rPr>
              <w:t xml:space="preserve">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spellStart"/>
            <w:r>
              <w:rPr>
                <w:lang w:eastAsia="zh-CN"/>
              </w:rPr>
              <w:t>InterDigital</w:t>
            </w:r>
            <w:proofErr w:type="spellEnd"/>
            <w:r>
              <w:rPr>
                <w:lang w:eastAsia="zh-CN"/>
              </w:rPr>
              <w:t>,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proofErr w:type="spellStart"/>
            <w:r>
              <w:rPr>
                <w:rFonts w:eastAsia="MS Mincho"/>
                <w:lang w:eastAsia="ja-JP"/>
              </w:rPr>
              <w:t>InterDigital</w:t>
            </w:r>
            <w:proofErr w:type="spellEnd"/>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lastRenderedPageBreak/>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Futurewei, Qualcomm, Panasonic, Apple, NTT DOCOMO, </w:t>
      </w:r>
      <w:proofErr w:type="spellStart"/>
      <w:r>
        <w:rPr>
          <w:lang w:val="en-GB" w:eastAsia="zh-CN"/>
        </w:rPr>
        <w:t>Convida</w:t>
      </w:r>
      <w:proofErr w:type="spellEnd"/>
      <w:r>
        <w:rPr>
          <w:lang w:val="en-GB" w:eastAsia="zh-CN"/>
        </w:rPr>
        <w:t xml:space="preserve">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proofErr w:type="spellStart"/>
            <w:r>
              <w:rPr>
                <w:lang w:eastAsia="zh-CN"/>
              </w:rPr>
              <w:lastRenderedPageBreak/>
              <w:t>InterDigital</w:t>
            </w:r>
            <w:proofErr w:type="spellEnd"/>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w:t>
            </w:r>
            <w:r>
              <w:rPr>
                <w:rFonts w:ascii="Arial" w:eastAsia="Calibri" w:hAnsi="Arial" w:cs="Arial"/>
                <w:sz w:val="20"/>
                <w:lang w:eastAsia="zh-CN"/>
              </w:rPr>
              <w:lastRenderedPageBreak/>
              <w:t>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lastRenderedPageBreak/>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 xml:space="preserve">It has been suggested that Alt 1 could be adopted if additional conditions on Y are agreed (as listed in Issue A1-4). Therefore FL suggests </w:t>
      </w:r>
      <w:proofErr w:type="gramStart"/>
      <w:r>
        <w:rPr>
          <w:b/>
          <w:bCs/>
        </w:rPr>
        <w:t>to adopt</w:t>
      </w:r>
      <w:proofErr w:type="gramEnd"/>
      <w:r>
        <w:rPr>
          <w:b/>
          <w:bCs/>
        </w:rPr>
        <w:t xml:space="preserve">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lastRenderedPageBreak/>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lastRenderedPageBreak/>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 xml:space="preserve">We prefer to progress a bit more by allowing additional value(s) in principle. It is fine to FFS the exact values for the moment. In our view, X=2 can be supported for SCS 480kHz. X=2,4 can be supported for SCS 960kHz. In any case, we prefer to avoid X=1 which </w:t>
            </w:r>
            <w:r>
              <w:rPr>
                <w:lang w:eastAsia="zh-CN"/>
              </w:rPr>
              <w:lastRenderedPageBreak/>
              <w:t>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proofErr w:type="spellStart"/>
            <w:r>
              <w:rPr>
                <w:lang w:eastAsia="zh-CN"/>
              </w:rPr>
              <w:t>InterDigital</w:t>
            </w:r>
            <w:proofErr w:type="spellEnd"/>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lastRenderedPageBreak/>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lastRenderedPageBreak/>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lastRenderedPageBreak/>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lastRenderedPageBreak/>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 xml:space="preserve">Some companies mentioned that Y &lt;= 1 has issues in aligning USS and CSS. However, the USS-CSS alignment issue can be fully </w:t>
            </w:r>
            <w:r>
              <w:rPr>
                <w:rFonts w:eastAsia="MS Mincho"/>
                <w:lang w:eastAsia="ja-JP"/>
              </w:rPr>
              <w:lastRenderedPageBreak/>
              <w:t>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proofErr w:type="spellStart"/>
            <w:r>
              <w:rPr>
                <w:rFonts w:eastAsia="MS Mincho"/>
                <w:lang w:eastAsia="ja-JP"/>
              </w:rPr>
              <w:t>InterDigital</w:t>
            </w:r>
            <w:proofErr w:type="spellEnd"/>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 xml:space="preserve">Most companies suggest </w:t>
      </w:r>
      <w:proofErr w:type="gramStart"/>
      <w:r>
        <w:t>to support</w:t>
      </w:r>
      <w:proofErr w:type="gramEnd"/>
      <w:r>
        <w:t xml:space="preserve">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lastRenderedPageBreak/>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lastRenderedPageBreak/>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In A1-2/A1-3, we discuss what the UE reports as BD capability for (</w:t>
      </w:r>
      <w:proofErr w:type="gramStart"/>
      <w:r>
        <w:rPr>
          <w:lang w:val="en-GB"/>
        </w:rPr>
        <w:t>X,Y</w:t>
      </w:r>
      <w:proofErr w:type="gramEnd"/>
      <w:r>
        <w:rPr>
          <w:lang w:val="en-GB"/>
        </w:rPr>
        <w:t>). In A1-5 we discuss to what multi-slot periodicities a UE can be configured. While a UE may report its capability e.g. only for (</w:t>
      </w:r>
      <w:proofErr w:type="gramStart"/>
      <w:r>
        <w:rPr>
          <w:lang w:val="en-GB"/>
        </w:rPr>
        <w:t>X,Y</w:t>
      </w:r>
      <w:proofErr w:type="gramEnd"/>
      <w:r>
        <w:rPr>
          <w:lang w:val="en-GB"/>
        </w:rPr>
        <w:t xml:space="preserve">)=(8,4),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lastRenderedPageBreak/>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However, we can continue with this discussion under Topic A2, once we downselect one of the alternatives</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lastRenderedPageBreak/>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 xml:space="preserve">We agree that this discussion should be deferred until the multi-slot monitoring capability discussion is concluded for CONNECTED mode, i.e., for </w:t>
            </w:r>
            <w:r>
              <w:rPr>
                <w:sz w:val="20"/>
                <w:lang w:eastAsia="zh-CN"/>
              </w:rPr>
              <w:lastRenderedPageBreak/>
              <w:t>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lastRenderedPageBreak/>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lastRenderedPageBreak/>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lastRenderedPageBreak/>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lastRenderedPageBreak/>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lastRenderedPageBreak/>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lastRenderedPageBreak/>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lastRenderedPageBreak/>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lastRenderedPageBreak/>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lastRenderedPageBreak/>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lastRenderedPageBreak/>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lastRenderedPageBreak/>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 xml:space="preserve">Lenovo, Motorola </w:t>
            </w:r>
            <w:r>
              <w:lastRenderedPageBreak/>
              <w:t>Mobility</w:t>
            </w:r>
          </w:p>
        </w:tc>
        <w:tc>
          <w:tcPr>
            <w:tcW w:w="12176" w:type="dxa"/>
          </w:tcPr>
          <w:p w14:paraId="20722B07" w14:textId="77777777" w:rsidR="001315D3" w:rsidRDefault="00734BFE">
            <w:r>
              <w:lastRenderedPageBreak/>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B0D" w14:textId="77777777" w:rsidR="001315D3" w:rsidRDefault="00734BF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lastRenderedPageBreak/>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w:t>
            </w:r>
            <w:r>
              <w:rPr>
                <w:lang w:eastAsia="zh-CN"/>
              </w:rPr>
              <w:lastRenderedPageBreak/>
              <w:t>should be discussed.</w:t>
            </w:r>
          </w:p>
        </w:tc>
      </w:tr>
      <w:tr w:rsidR="001315D3" w14:paraId="20722B68" w14:textId="77777777">
        <w:tc>
          <w:tcPr>
            <w:tcW w:w="2405" w:type="dxa"/>
          </w:tcPr>
          <w:p w14:paraId="20722B66" w14:textId="77777777" w:rsidR="001315D3" w:rsidRDefault="00734BFE">
            <w:r>
              <w:lastRenderedPageBreak/>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lastRenderedPageBreak/>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rsidR="00F64B5A">
              <w:fldChar w:fldCharType="begin"/>
            </w:r>
            <w:r w:rsidR="00F64B5A">
              <w:instrText xml:space="preserve"> SEQ Figure \* ARABIC </w:instrText>
            </w:r>
            <w:r w:rsidR="00F64B5A">
              <w:fldChar w:fldCharType="separate"/>
            </w:r>
            <w:r>
              <w:t>1</w:t>
            </w:r>
            <w:r w:rsidR="00F64B5A">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lastRenderedPageBreak/>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rsidR="00F64B5A">
              <w:fldChar w:fldCharType="begin"/>
            </w:r>
            <w:r w:rsidR="00F64B5A">
              <w:instrText xml:space="preserve"> SEQ Figure \* ARABIC </w:instrText>
            </w:r>
            <w:r w:rsidR="00F64B5A">
              <w:fldChar w:fldCharType="separate"/>
            </w:r>
            <w:r>
              <w:t>2</w:t>
            </w:r>
            <w:r w:rsidR="00F64B5A">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rsidR="00F64B5A">
              <w:fldChar w:fldCharType="begin"/>
            </w:r>
            <w:r w:rsidR="00F64B5A">
              <w:instrText xml:space="preserve"> SEQ Figure \* ARABIC </w:instrText>
            </w:r>
            <w:r w:rsidR="00F64B5A">
              <w:fldChar w:fldCharType="separate"/>
            </w:r>
            <w:r>
              <w:t>3</w:t>
            </w:r>
            <w:r w:rsidR="00F64B5A">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w:t>
            </w:r>
            <w:r>
              <w:rPr>
                <w:color w:val="000000" w:themeColor="text1"/>
                <w:lang w:eastAsia="zh-CN"/>
              </w:rPr>
              <w:lastRenderedPageBreak/>
              <w:t>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rsidR="00F64B5A">
              <w:fldChar w:fldCharType="begin"/>
            </w:r>
            <w:r w:rsidR="00F64B5A">
              <w:instrText xml:space="preserve"> SEQ Figure \* ARABIC </w:instrText>
            </w:r>
            <w:r w:rsidR="00F64B5A">
              <w:fldChar w:fldCharType="separate"/>
            </w:r>
            <w:r>
              <w:t>4</w:t>
            </w:r>
            <w:r w:rsidR="00F64B5A">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rsidR="00F64B5A">
              <w:fldChar w:fldCharType="begin"/>
            </w:r>
            <w:r w:rsidR="00F64B5A">
              <w:instrText xml:space="preserve"> SEQ Table \* ARABIC </w:instrText>
            </w:r>
            <w:r w:rsidR="00F64B5A">
              <w:fldChar w:fldCharType="separate"/>
            </w:r>
            <w:r>
              <w:t>1</w:t>
            </w:r>
            <w:r w:rsidR="00F64B5A">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lastRenderedPageBreak/>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rsidR="00F64B5A">
              <w:fldChar w:fldCharType="begin"/>
            </w:r>
            <w:r w:rsidR="00F64B5A">
              <w:instrText xml:space="preserve"> SEQ Table \* ARABIC </w:instrText>
            </w:r>
            <w:r w:rsidR="00F64B5A">
              <w:fldChar w:fldCharType="separate"/>
            </w:r>
            <w:r>
              <w:t>2</w:t>
            </w:r>
            <w:r w:rsidR="00F64B5A">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rsidR="00F64B5A">
              <w:fldChar w:fldCharType="begin"/>
            </w:r>
            <w:r w:rsidR="00F64B5A">
              <w:instrText xml:space="preserve"> SEQ Table \* ARABIC </w:instrText>
            </w:r>
            <w:r w:rsidR="00F64B5A">
              <w:fldChar w:fldCharType="separate"/>
            </w:r>
            <w:r>
              <w:t>3</w:t>
            </w:r>
            <w:r w:rsidR="00F64B5A">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rsidR="00F64B5A">
              <w:fldChar w:fldCharType="begin"/>
            </w:r>
            <w:r w:rsidR="00F64B5A">
              <w:instrText xml:space="preserve"> SEQ Table \* ARABIC </w:instrText>
            </w:r>
            <w:r w:rsidR="00F64B5A">
              <w:fldChar w:fldCharType="separate"/>
            </w:r>
            <w:r>
              <w:t>4</w:t>
            </w:r>
            <w:r w:rsidR="00F64B5A">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lastRenderedPageBreak/>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lastRenderedPageBreak/>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rsidR="00F64B5A">
              <w:fldChar w:fldCharType="begin"/>
            </w:r>
            <w:r w:rsidR="00F64B5A">
              <w:instrText xml:space="preserve"> SEQ Proposal \* ARABIC </w:instrText>
            </w:r>
            <w:r w:rsidR="00F64B5A">
              <w:fldChar w:fldCharType="separate"/>
            </w:r>
            <w:r>
              <w:t>4</w:t>
            </w:r>
            <w:r w:rsidR="00F64B5A">
              <w:fldChar w:fldCharType="end"/>
            </w:r>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rsidR="00F64B5A">
              <w:fldChar w:fldCharType="begin"/>
            </w:r>
            <w:r w:rsidR="00F64B5A">
              <w:instrText xml:space="preserve"> SEQ Proposal \* ARABIC </w:instrText>
            </w:r>
            <w:r w:rsidR="00F64B5A">
              <w:fldChar w:fldCharType="separate"/>
            </w:r>
            <w:r>
              <w:t>5</w:t>
            </w:r>
            <w:r w:rsidR="00F64B5A">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lastRenderedPageBreak/>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rsidR="00F64B5A">
              <w:fldChar w:fldCharType="begin"/>
            </w:r>
            <w:r w:rsidR="00F64B5A">
              <w:instrText xml:space="preserve"> SEQ Proposal \* ARABIC </w:instrText>
            </w:r>
            <w:r w:rsidR="00F64B5A">
              <w:fldChar w:fldCharType="separate"/>
            </w:r>
            <w:r>
              <w:t>6</w:t>
            </w:r>
            <w:r w:rsidR="00F64B5A">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rsidR="00F64B5A">
              <w:fldChar w:fldCharType="begin"/>
            </w:r>
            <w:r w:rsidR="00F64B5A">
              <w:instrText xml:space="preserve"> SEQ Proposal \* ARABIC </w:instrText>
            </w:r>
            <w:r w:rsidR="00F64B5A">
              <w:fldChar w:fldCharType="separate"/>
            </w:r>
            <w:r>
              <w:t>7</w:t>
            </w:r>
            <w:r w:rsidR="00F64B5A">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rsidR="00F64B5A">
              <w:fldChar w:fldCharType="begin"/>
            </w:r>
            <w:r w:rsidR="00F64B5A">
              <w:instrText xml:space="preserve"> SEQ Observation</w:instrText>
            </w:r>
            <w:r w:rsidR="00F64B5A">
              <w:instrText xml:space="preserve"> \* ARABIC </w:instrText>
            </w:r>
            <w:r w:rsidR="00F64B5A">
              <w:fldChar w:fldCharType="separate"/>
            </w:r>
            <w:r>
              <w:t>1</w:t>
            </w:r>
            <w:r w:rsidR="00F64B5A">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w:t>
            </w:r>
            <w:r>
              <w:rPr>
                <w:rFonts w:ascii="Arial" w:hAnsi="Arial" w:cs="Arial"/>
                <w:bCs/>
                <w:i/>
                <w:iCs/>
              </w:rPr>
              <w:lastRenderedPageBreak/>
              <w:t xml:space="preserve">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lastRenderedPageBreak/>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w:t>
            </w:r>
            <w:r>
              <w:rPr>
                <w:b/>
                <w:i/>
                <w:iCs/>
              </w:rPr>
              <w:lastRenderedPageBreak/>
              <w:t xml:space="preserve">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lastRenderedPageBreak/>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734BFE">
            <w:pPr>
              <w:keepNext/>
              <w:jc w:val="center"/>
            </w:pPr>
            <w: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84.05pt" o:ole="">
                  <v:imagedata r:id="rId19" o:title=""/>
                </v:shape>
                <o:OLEObject Type="Embed" ProgID="Visio.Drawing.11" ShapeID="_x0000_i1025" DrawAspect="Content" ObjectID="_1690946670" r:id="rId20"/>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734BFE">
            <w:pPr>
              <w:pStyle w:val="BodyText"/>
              <w:keepNext/>
              <w:jc w:val="center"/>
            </w:pPr>
            <w:r>
              <w:object w:dxaOrig="4483" w:dyaOrig="900" w14:anchorId="2072313B">
                <v:shape id="_x0000_i1026" type="#_x0000_t75" style="width:224.3pt;height:44.95pt" o:ole="">
                  <v:imagedata r:id="rId21" o:title=""/>
                </v:shape>
                <o:OLEObject Type="Embed" ProgID="Visio.Drawing.11" ShapeID="_x0000_i1026" DrawAspect="Content" ObjectID="_1690946671" r:id="rId22"/>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734BFE">
            <w:pPr>
              <w:pStyle w:val="BodyText"/>
              <w:keepNext/>
              <w:jc w:val="center"/>
            </w:pPr>
            <w:r>
              <w:object w:dxaOrig="7654" w:dyaOrig="2083" w14:anchorId="2072313C">
                <v:shape id="_x0000_i1027" type="#_x0000_t75" style="width:382.9pt;height:103.65pt" o:ole="">
                  <v:imagedata r:id="rId23" o:title=""/>
                </v:shape>
                <o:OLEObject Type="Embed" ProgID="Visio.Drawing.11" ShapeID="_x0000_i1027" DrawAspect="Content" ObjectID="_1690946672" r:id="rId24"/>
              </w:object>
            </w:r>
          </w:p>
          <w:p w14:paraId="20722CAB" w14:textId="77777777" w:rsidR="001315D3" w:rsidRDefault="00734BFE">
            <w:pPr>
              <w:pStyle w:val="Caption"/>
              <w:rPr>
                <w:lang w:eastAsia="zh-CN"/>
              </w:rPr>
            </w:pPr>
            <w:bookmarkStart w:id="18" w:name="_Ref67870726"/>
            <w:r>
              <w:t xml:space="preserve">Figure </w:t>
            </w:r>
            <w:r w:rsidR="00F64B5A">
              <w:fldChar w:fldCharType="begin"/>
            </w:r>
            <w:r w:rsidR="00F64B5A">
              <w:instrText xml:space="preserve"> SEQ Figure \* ARABIC </w:instrText>
            </w:r>
            <w:r w:rsidR="00F64B5A">
              <w:fldChar w:fldCharType="separate"/>
            </w:r>
            <w:r>
              <w:t>3</w:t>
            </w:r>
            <w:r w:rsidR="00F64B5A">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F64B5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F64B5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F64B5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F64B5A">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rsidR="00F64B5A">
              <w:fldChar w:fldCharType="begin"/>
            </w:r>
            <w:r w:rsidR="00F64B5A">
              <w:instrText xml:space="preserve"> SEQ Tabl</w:instrText>
            </w:r>
            <w:r w:rsidR="00F64B5A">
              <w:instrText xml:space="preserve">e \* ARABIC </w:instrText>
            </w:r>
            <w:r w:rsidR="00F64B5A">
              <w:fldChar w:fldCharType="separate"/>
            </w:r>
            <w:r>
              <w:t>2</w:t>
            </w:r>
            <w:r w:rsidR="00F64B5A">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For 480 kHz and 960 kHz SCS adopted beyond 52.6GHz, In the WID [3], PDCCH monitoring enhancement with multi-slot span is supported, it can maintain 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lastRenderedPageBreak/>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w:t>
            </w:r>
            <w:proofErr w:type="gramStart"/>
            <w:r>
              <w:rPr>
                <w:rFonts w:eastAsia="SimSun"/>
                <w:lang w:val="en-GB" w:eastAsia="zh-CN"/>
              </w:rPr>
              <w:t>similar to</w:t>
            </w:r>
            <w:proofErr w:type="gramEnd"/>
            <w:r>
              <w:rPr>
                <w:rFonts w:eastAsia="SimSun"/>
                <w:lang w:val="en-GB" w:eastAsia="zh-CN"/>
              </w:rPr>
              <w:t xml:space="preserve">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w:t>
            </w:r>
            <w:proofErr w:type="gramStart"/>
            <w:r>
              <w:rPr>
                <w:rFonts w:eastAsiaTheme="minorEastAsia"/>
                <w:sz w:val="24"/>
                <w:szCs w:val="24"/>
                <w:lang w:val="en-GB" w:eastAsia="ja-JP"/>
              </w:rPr>
              <w:t>is considered to be</w:t>
            </w:r>
            <w:proofErr w:type="gramEnd"/>
            <w:r>
              <w:rPr>
                <w:rFonts w:eastAsiaTheme="minorEastAsia"/>
                <w:sz w:val="24"/>
                <w:szCs w:val="24"/>
                <w:lang w:val="en-GB" w:eastAsia="ja-JP"/>
              </w:rPr>
              <w:t xml:space="preserv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w:t>
            </w:r>
            <w:proofErr w:type="gramStart"/>
            <w:r>
              <w:rPr>
                <w:rFonts w:eastAsiaTheme="minorEastAsia"/>
                <w:sz w:val="24"/>
                <w:szCs w:val="24"/>
                <w:lang w:val="en-GB" w:eastAsia="ja-JP"/>
              </w:rPr>
              <w:t>In order to</w:t>
            </w:r>
            <w:proofErr w:type="gramEnd"/>
            <w:r>
              <w:rPr>
                <w:rFonts w:eastAsiaTheme="minorEastAsia"/>
                <w:sz w:val="24"/>
                <w:szCs w:val="24"/>
                <w:lang w:val="en-GB" w:eastAsia="ja-JP"/>
              </w:rPr>
              <w:t xml:space="preserve">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734BFE">
            <w:pPr>
              <w:spacing w:line="360" w:lineRule="auto"/>
              <w:jc w:val="center"/>
            </w:pPr>
            <w:r>
              <w:object w:dxaOrig="8434" w:dyaOrig="2160" w14:anchorId="20723143">
                <v:shape id="_x0000_i1028" type="#_x0000_t75" style="width:422pt;height:108.2pt" o:ole="">
                  <v:imagedata r:id="rId28" o:title=""/>
                </v:shape>
                <o:OLEObject Type="Embed" ProgID="Visio.Drawing.15" ShapeID="_x0000_i1028" DrawAspect="Content" ObjectID="_1690946673" r:id="rId29"/>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rsidR="00F64B5A">
              <w:fldChar w:fldCharType="begin"/>
            </w:r>
            <w:r w:rsidR="00F64B5A">
              <w:instrText xml:space="preserve"> SEQ Table \* ARABIC </w:instrText>
            </w:r>
            <w:r w:rsidR="00F64B5A">
              <w:fldChar w:fldCharType="separate"/>
            </w:r>
            <w:r>
              <w:t>5</w:t>
            </w:r>
            <w:r w:rsidR="00F64B5A">
              <w:fldChar w:fldCharType="end"/>
            </w:r>
            <w:r>
              <w:t>. Search space set configuration</w:t>
            </w:r>
          </w:p>
          <w:p w14:paraId="20722EBF" w14:textId="77777777" w:rsidR="001315D3" w:rsidRDefault="00734BFE">
            <w:pPr>
              <w:pStyle w:val="PL"/>
            </w:pPr>
            <w:proofErr w:type="gramStart"/>
            <w:r>
              <w:t>SearchSpace ::=</w:t>
            </w:r>
            <w:proofErr w:type="gramEnd"/>
            <w:r>
              <w:t xml:space="preserve">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(0..79),</w:t>
            </w:r>
          </w:p>
          <w:p w14:paraId="20722ECD" w14:textId="77777777" w:rsidR="001315D3" w:rsidRDefault="00734BFE">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(0..1279),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rsidR="00F64B5A">
              <w:fldChar w:fldCharType="begin"/>
            </w:r>
            <w:r w:rsidR="00F64B5A">
              <w:instrText xml:space="preserve"> SEQ Figure \* ARABIC </w:instrText>
            </w:r>
            <w:r w:rsidR="00F64B5A">
              <w:fldChar w:fldCharType="separate"/>
            </w:r>
            <w:r>
              <w:t>5</w:t>
            </w:r>
            <w:r w:rsidR="00F64B5A">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734BFE">
            <w:r>
              <w:object w:dxaOrig="9669" w:dyaOrig="2880" w14:anchorId="20723148">
                <v:shape id="_x0000_i1029" type="#_x0000_t75" style="width:482.75pt;height:2in" o:ole="">
                  <v:imagedata r:id="rId32" o:title=""/>
                </v:shape>
                <o:OLEObject Type="Embed" ProgID="Visio.Drawing.15" ShapeID="_x0000_i1029" DrawAspect="Content" ObjectID="_1690946674" r:id="rId33"/>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734BFE">
            <w:pPr>
              <w:jc w:val="center"/>
            </w:pPr>
            <w:r>
              <w:object w:dxaOrig="9360" w:dyaOrig="4011" w14:anchorId="2072314B">
                <v:shape id="_x0000_i1030" type="#_x0000_t75" style="width:468.2pt;height:201pt" o:ole="">
                  <v:imagedata r:id="rId35" o:title=""/>
                </v:shape>
                <o:OLEObject Type="Embed" ProgID="Visio.Drawing.15" ShapeID="_x0000_i1030" DrawAspect="Content" ObjectID="_1690946675" r:id="rId36"/>
              </w:object>
            </w:r>
          </w:p>
          <w:p w14:paraId="20722F51" w14:textId="77777777" w:rsidR="001315D3" w:rsidRDefault="00734BFE">
            <w:pPr>
              <w:pStyle w:val="Caption"/>
            </w:pPr>
            <w:bookmarkStart w:id="230" w:name="_Ref68206910"/>
            <w:r>
              <w:t xml:space="preserve">Figure </w:t>
            </w:r>
            <w:r w:rsidR="00F64B5A">
              <w:fldChar w:fldCharType="begin"/>
            </w:r>
            <w:r w:rsidR="00F64B5A">
              <w:instrText xml:space="preserve"> SEQ Figure \* ARABIC </w:instrText>
            </w:r>
            <w:r w:rsidR="00F64B5A">
              <w:fldChar w:fldCharType="separate"/>
            </w:r>
            <w:r>
              <w:t>1</w:t>
            </w:r>
            <w:r w:rsidR="00F64B5A">
              <w:fldChar w:fldCharType="end"/>
            </w:r>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rsidR="00F64B5A">
              <w:fldChar w:fldCharType="begin"/>
            </w:r>
            <w:r w:rsidR="00F64B5A">
              <w:instrText xml:space="preserve"> SEQ Proposal \* ARABIC </w:instrText>
            </w:r>
            <w:r w:rsidR="00F64B5A">
              <w:fldChar w:fldCharType="separate"/>
            </w:r>
            <w:r>
              <w:t>7</w:t>
            </w:r>
            <w:r w:rsidR="00F64B5A">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734BFE">
            <w:pPr>
              <w:jc w:val="center"/>
            </w:pPr>
            <w:r>
              <w:object w:dxaOrig="9771" w:dyaOrig="1234" w14:anchorId="2072314C">
                <v:shape id="_x0000_i1031" type="#_x0000_t75" style="width:489pt;height:62.45pt" o:ole="">
                  <v:imagedata r:id="rId37" o:title=""/>
                </v:shape>
                <o:OLEObject Type="Embed" ProgID="Visio.Drawing.15" ShapeID="_x0000_i1031" DrawAspect="Content" ObjectID="_1690946676" r:id="rId38"/>
              </w:object>
            </w:r>
          </w:p>
          <w:p w14:paraId="20722F63" w14:textId="77777777" w:rsidR="001315D3" w:rsidRDefault="00734BFE">
            <w:pPr>
              <w:pStyle w:val="Caption"/>
            </w:pPr>
            <w:bookmarkStart w:id="252" w:name="_Ref68252811"/>
            <w:r>
              <w:t xml:space="preserve">Figure </w:t>
            </w:r>
            <w:r w:rsidR="00F64B5A">
              <w:fldChar w:fldCharType="begin"/>
            </w:r>
            <w:r w:rsidR="00F64B5A">
              <w:instrText xml:space="preserve"> SEQ Figure \* ARABIC </w:instrText>
            </w:r>
            <w:r w:rsidR="00F64B5A">
              <w:fldChar w:fldCharType="separate"/>
            </w:r>
            <w:r>
              <w:t>2</w:t>
            </w:r>
            <w:r w:rsidR="00F64B5A">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 xml:space="preserve">for Type0-PDCCH CSS set monitoring, the next MO can </w:t>
            </w:r>
            <w:proofErr w:type="gramStart"/>
            <w:r>
              <w:rPr>
                <w:bCs/>
              </w:rPr>
              <w:t>be located in</w:t>
            </w:r>
            <w:proofErr w:type="gramEnd"/>
            <w:r>
              <w:rPr>
                <w:bCs/>
              </w:rPr>
              <w:t xml:space="preserve">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734BFE">
            <w:pPr>
              <w:jc w:val="center"/>
              <w:rPr>
                <w:lang w:val="en-GB" w:eastAsia="zh-CN"/>
              </w:rPr>
            </w:pPr>
            <w:r>
              <w:object w:dxaOrig="7611" w:dyaOrig="1954" w14:anchorId="2072314D">
                <v:shape id="_x0000_i1032" type="#_x0000_t75" style="width:380.8pt;height:98.2pt" o:ole="">
                  <v:imagedata r:id="rId39" o:title=""/>
                </v:shape>
                <o:OLEObject Type="Embed" ProgID="Visio.Drawing.15" ShapeID="_x0000_i1032" DrawAspect="Content" ObjectID="_1690946677"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rsidR="00F64B5A">
              <w:fldChar w:fldCharType="begin"/>
            </w:r>
            <w:r w:rsidR="00F64B5A">
              <w:instrText xml:space="preserve"> SEQ Figure \* ARABIC </w:instrText>
            </w:r>
            <w:r w:rsidR="00F64B5A">
              <w:fldChar w:fldCharType="separate"/>
            </w:r>
            <w:r>
              <w:t>1</w:t>
            </w:r>
            <w:r w:rsidR="00F64B5A">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 xml:space="preserve">Topic A4: PDCCH Extensions for </w:t>
      </w:r>
      <w:proofErr w:type="gramStart"/>
      <w:r>
        <w:t>e.g.</w:t>
      </w:r>
      <w:proofErr w:type="gramEnd"/>
      <w:r>
        <w:t xml:space="preserve">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20723040" w14:textId="77777777" w:rsidR="001315D3" w:rsidRDefault="00734BFE">
            <w:pPr>
              <w:pStyle w:val="BodyText"/>
              <w:jc w:val="center"/>
              <w:rPr>
                <w:rFonts w:eastAsia="SimSun"/>
                <w:b/>
                <w:sz w:val="18"/>
                <w:szCs w:val="18"/>
                <w:lang w:eastAsia="zh-CN"/>
              </w:rPr>
            </w:pPr>
            <w:r>
              <w:object w:dxaOrig="4114" w:dyaOrig="7303" w14:anchorId="20723150">
                <v:shape id="_x0000_i1033" type="#_x0000_t75" style="width:206.45pt;height:365pt" o:ole="">
                  <v:imagedata r:id="rId42" o:title=""/>
                </v:shape>
                <o:OLEObject Type="Embed" ProgID="Visio.Drawing.15" ShapeID="_x0000_i1033" DrawAspect="Content" ObjectID="_1690946678" r:id="rId43"/>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lastRenderedPageBreak/>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0D3BE" w14:textId="77777777" w:rsidR="00F64B5A" w:rsidRDefault="00F64B5A" w:rsidP="006228BF">
      <w:pPr>
        <w:spacing w:after="0" w:line="240" w:lineRule="auto"/>
      </w:pPr>
      <w:r>
        <w:separator/>
      </w:r>
    </w:p>
  </w:endnote>
  <w:endnote w:type="continuationSeparator" w:id="0">
    <w:p w14:paraId="53097583" w14:textId="77777777" w:rsidR="00F64B5A" w:rsidRDefault="00F64B5A"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BD0A6" w14:textId="77777777" w:rsidR="00F64B5A" w:rsidRDefault="00F64B5A" w:rsidP="006228BF">
      <w:pPr>
        <w:spacing w:after="0" w:line="240" w:lineRule="auto"/>
      </w:pPr>
      <w:r>
        <w:separator/>
      </w:r>
    </w:p>
  </w:footnote>
  <w:footnote w:type="continuationSeparator" w:id="0">
    <w:p w14:paraId="67FE1266" w14:textId="77777777" w:rsidR="00F64B5A" w:rsidRDefault="00F64B5A"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Microsoft_Visio_2003-2010_Drawing2.vsd"/><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Microsoft_Visio_2003-2010_Drawing1.vsd"/><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20" Type="http://schemas.openxmlformats.org/officeDocument/2006/relationships/oleObject" Target="embeddings/Microsoft_Visio_2003-2010_Drawing.vsd"/><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E1017-42D7-486A-A003-AE88CC7A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107</Pages>
  <Words>35800</Words>
  <Characters>204066</Characters>
  <Application>Microsoft Office Word</Application>
  <DocSecurity>0</DocSecurity>
  <Lines>1700</Lines>
  <Paragraphs>478</Paragraphs>
  <ScaleCrop>false</ScaleCrop>
  <Company>Lenovo.com</Company>
  <LinksUpToDate>false</LinksUpToDate>
  <CharactersWithSpaces>239388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2</cp:revision>
  <cp:lastPrinted>2016-08-13T07:06:00Z</cp:lastPrinted>
  <dcterms:created xsi:type="dcterms:W3CDTF">2021-08-20T09:39:00Z</dcterms:created>
  <dcterms:modified xsi:type="dcterms:W3CDTF">2021-08-20T09:39:00Z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