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Issue A1-1: M</w:t>
      </w:r>
      <w:r>
        <w:rPr>
          <w:bCs/>
        </w:rPr>
        <w:t>ulti-slot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 xml:space="preserve">We agree in principle, but need a clarification. First of all, we think the wording update from </w:t>
            </w:r>
            <w:proofErr w:type="spellStart"/>
            <w:r>
              <w:rPr>
                <w:sz w:val="20"/>
                <w:lang w:eastAsia="zh-CN"/>
              </w:rPr>
              <w:t>InterDigital</w:t>
            </w:r>
            <w:proofErr w:type="spellEnd"/>
            <w:r>
              <w:rPr>
                <w:sz w:val="20"/>
                <w:lang w:eastAsia="zh-CN"/>
              </w:rPr>
              <w:t xml:space="preserve">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w:t>
            </w:r>
            <w:proofErr w:type="spellStart"/>
            <w:r>
              <w:rPr>
                <w:rFonts w:eastAsia="MS Mincho"/>
                <w:lang w:eastAsia="ja-JP"/>
              </w:rPr>
              <w:t>InterDigital</w:t>
            </w:r>
            <w:proofErr w:type="spellEnd"/>
            <w:r>
              <w:rPr>
                <w:rFonts w:eastAsia="MS Mincho"/>
                <w:lang w:eastAsia="ja-JP"/>
              </w:rPr>
              <w:t xml:space="preserve">. </w:t>
            </w:r>
          </w:p>
        </w:tc>
      </w:tr>
      <w:tr w:rsidR="001315D3" w14:paraId="20722738" w14:textId="77777777">
        <w:tc>
          <w:tcPr>
            <w:tcW w:w="2405" w:type="dxa"/>
          </w:tcPr>
          <w:p w14:paraId="20722736" w14:textId="77777777" w:rsidR="001315D3" w:rsidRDefault="00734BFE">
            <w:r>
              <w:rPr>
                <w:rFonts w:hint="eastAsia"/>
              </w:rPr>
              <w:t>H</w:t>
            </w:r>
            <w:r>
              <w:t xml:space="preserve">uawei, </w:t>
            </w:r>
            <w:proofErr w:type="spellStart"/>
            <w:r>
              <w:t>HiSilicon</w:t>
            </w:r>
            <w:proofErr w:type="spellEnd"/>
          </w:p>
        </w:tc>
        <w:tc>
          <w:tcPr>
            <w:tcW w:w="12176" w:type="dxa"/>
          </w:tcPr>
          <w:p w14:paraId="20722737" w14:textId="77777777" w:rsidR="001315D3" w:rsidRDefault="00734BFE">
            <w:pPr>
              <w:rPr>
                <w:lang w:eastAsia="zh-CN"/>
              </w:rPr>
            </w:pPr>
            <w:r>
              <w:rPr>
                <w:rFonts w:hint="eastAsia"/>
                <w:lang w:eastAsia="zh-CN"/>
              </w:rPr>
              <w:t>W</w:t>
            </w:r>
            <w:r>
              <w:rPr>
                <w:lang w:eastAsia="zh-CN"/>
              </w:rPr>
              <w:t xml:space="preserve">e support the proposal with the update from </w:t>
            </w:r>
            <w:proofErr w:type="spellStart"/>
            <w:r>
              <w:rPr>
                <w:lang w:eastAsia="zh-CN"/>
              </w:rPr>
              <w:t>InterDigital</w:t>
            </w:r>
            <w:proofErr w:type="spellEnd"/>
            <w:r>
              <w:rPr>
                <w:lang w:eastAsia="zh-CN"/>
              </w:rPr>
              <w:t>,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w:t>
            </w:r>
            <w:proofErr w:type="spellStart"/>
            <w:r>
              <w:rPr>
                <w:sz w:val="20"/>
                <w:lang w:eastAsia="zh-CN"/>
              </w:rPr>
              <w:t>InterDigital</w:t>
            </w:r>
            <w:proofErr w:type="spellEnd"/>
            <w:r>
              <w:rPr>
                <w:sz w:val="20"/>
                <w:lang w:eastAsia="zh-CN"/>
              </w:rPr>
              <w:t xml:space="preserve">.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FFS: Supported values/constraints of X and Y, e.g. Y&lt;=X, Y=X</w:t>
            </w:r>
          </w:p>
          <w:p w14:paraId="2072275D" w14:textId="77777777" w:rsidR="001315D3" w:rsidRDefault="00734BFE">
            <w:pPr>
              <w:pStyle w:val="ListParagraph"/>
              <w:widowControl/>
              <w:numPr>
                <w:ilvl w:val="1"/>
                <w:numId w:val="16"/>
              </w:numPr>
            </w:pPr>
            <w:r>
              <w:t>FFS: Restrictions on location of the Y [symbols or slots] within a slot group, e.g.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lastRenderedPageBreak/>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Specific numbers for X, Y may depend on UE capability and gNB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 xml:space="preserve">supported by vivo, Lenovo, Motorola Mobility, Samsung, </w:t>
      </w:r>
      <w:proofErr w:type="spellStart"/>
      <w:r>
        <w:rPr>
          <w:lang w:val="en-GB" w:eastAsia="zh-CN"/>
        </w:rPr>
        <w:t>Futurewei</w:t>
      </w:r>
      <w:proofErr w:type="spellEnd"/>
      <w:r>
        <w:rPr>
          <w:lang w:val="en-GB" w:eastAsia="zh-CN"/>
        </w:rPr>
        <w:t xml:space="preserve">, Qualcomm, Panasonic, Apple, NTT DOCOMO, </w:t>
      </w:r>
      <w:proofErr w:type="spellStart"/>
      <w:r>
        <w:rPr>
          <w:lang w:val="en-GB" w:eastAsia="zh-CN"/>
        </w:rPr>
        <w:t>Convida</w:t>
      </w:r>
      <w:proofErr w:type="spellEnd"/>
      <w:r>
        <w:rPr>
          <w:lang w:val="en-GB" w:eastAsia="zh-CN"/>
        </w:rPr>
        <w:t xml:space="preserve">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lastRenderedPageBreak/>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proofErr w:type="spellStart"/>
            <w:r>
              <w:rPr>
                <w:lang w:eastAsia="zh-CN"/>
              </w:rPr>
              <w:t>InterDigital</w:t>
            </w:r>
            <w:proofErr w:type="spellEnd"/>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lastRenderedPageBreak/>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proofErr w:type="spellStart"/>
            <w:r>
              <w:rPr>
                <w:lang w:eastAsia="zh-CN"/>
              </w:rPr>
              <w:t>Futurewei</w:t>
            </w:r>
            <w:proofErr w:type="spellEnd"/>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lastRenderedPageBreak/>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 xml:space="preserve">uawei, </w:t>
            </w:r>
            <w:proofErr w:type="spellStart"/>
            <w:r>
              <w:t>HiSilicon</w:t>
            </w:r>
            <w:proofErr w:type="spellEnd"/>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lastRenderedPageBreak/>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It has been suggested that Alt 1 could be adopted if additional conditions on Y are agreed (as listed in Issue A1-4). Therefore FL suggests to adopt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(i.e.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lastRenderedPageBreak/>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 xml:space="preserve">uawei, </w:t>
            </w:r>
            <w:proofErr w:type="spellStart"/>
            <w:r>
              <w:t>HiSilicon</w:t>
            </w:r>
            <w:proofErr w:type="spellEnd"/>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slot based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Smaller values of X can provide e.g. better multiplexing capabilities (i.e. better scheduling flexibility) and improved latency. They can also reduce the number of HARQ processes required for conti</w:t>
            </w:r>
            <w:r>
              <w:rPr>
                <w:lang w:eastAsia="zh-CN"/>
              </w:rPr>
              <w:t>g</w:t>
            </w:r>
            <w:r>
              <w:rPr>
                <w:lang w:eastAsia="zh-CN"/>
              </w:rPr>
              <w:t xml:space="preserve">uous DL (or UL) transmission.   </w:t>
            </w: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 xml:space="preserve">For Alt 2, per Rel-16 span definition, a span is a number of consecutive symbols in a slot where the UE is configured to monitor </w:t>
            </w:r>
            <w:r>
              <w:rPr>
                <w:lang w:eastAsia="zh-CN"/>
              </w:rPr>
              <w:lastRenderedPageBreak/>
              <w:t>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lastRenderedPageBreak/>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lastRenderedPageBreak/>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lastRenderedPageBreak/>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 xml:space="preserve">uawei, </w:t>
            </w:r>
            <w:proofErr w:type="spellStart"/>
            <w:r>
              <w:t>HiSilicon</w:t>
            </w:r>
            <w:proofErr w:type="spellEnd"/>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lastRenderedPageBreak/>
        <w:t>Most companies suggest to support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lastRenderedPageBreak/>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gNB can configure X based on gNB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proofErr w:type="spellStart"/>
            <w:r>
              <w:t>Futurewei</w:t>
            </w:r>
            <w:proofErr w:type="spellEnd"/>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w:t>
            </w:r>
            <w:proofErr w:type="spellStart"/>
            <w:r>
              <w:t>slong</w:t>
            </w:r>
            <w:proofErr w:type="spellEnd"/>
            <w:r>
              <w:t xml:space="preserve"> as the (X,Y) monitoring capability is respected. If it is not respected, then the SS(s) will be dropped. </w:t>
            </w:r>
          </w:p>
          <w:p w14:paraId="207228EA" w14:textId="77777777" w:rsidR="001315D3" w:rsidRDefault="00734BFE">
            <w:pPr>
              <w:pStyle w:val="ListParagraph"/>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 xml:space="preserve">uawei, </w:t>
            </w:r>
            <w:proofErr w:type="spellStart"/>
            <w:r>
              <w:t>HiSilicon</w:t>
            </w:r>
            <w:proofErr w:type="spellEnd"/>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w:t>
            </w:r>
            <w:r>
              <w:rPr>
                <w:lang w:eastAsia="zh-CN"/>
              </w:rPr>
              <w:lastRenderedPageBreak/>
              <w:t xml:space="preserve">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lastRenderedPageBreak/>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207228FE" w14:textId="77777777" w:rsidR="001315D3" w:rsidRDefault="00734BFE">
      <w:pPr>
        <w:pStyle w:val="BodyText"/>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 xml:space="preserve">should be configured as a slot group (X slots) or an integral multiple of a slot group. We are open to address the </w:t>
            </w:r>
            <w:r>
              <w:rPr>
                <w:rFonts w:hint="eastAsia"/>
                <w:bCs/>
                <w:lang w:eastAsia="zh-CN"/>
              </w:rPr>
              <w:lastRenderedPageBreak/>
              <w:t>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lastRenderedPageBreak/>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bl>
    <w:p w14:paraId="2072290F" w14:textId="77777777" w:rsidR="001315D3" w:rsidRDefault="001315D3">
      <w:pPr>
        <w:rPr>
          <w:lang w:val="en-GB" w:eastAsia="zh-CN"/>
        </w:rPr>
      </w:pPr>
    </w:p>
    <w:p w14:paraId="20722910" w14:textId="77777777" w:rsidR="001315D3" w:rsidRDefault="00734BFE">
      <w:pPr>
        <w:pStyle w:val="Heading2"/>
      </w:pPr>
      <w:r>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072291A" w14:textId="77777777" w:rsidR="001315D3" w:rsidRDefault="00734BFE">
      <w:r>
        <w:t xml:space="preserve">An open item is whether SSSG switching can support switching between PDCCH multi-slot monitoring periodicities (and per-slot </w:t>
      </w:r>
      <w:proofErr w:type="spellStart"/>
      <w:r>
        <w:t>monitoing</w:t>
      </w:r>
      <w:proofErr w:type="spellEnd"/>
      <w:r>
        <w:t>,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lastRenderedPageBreak/>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uggest to defer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w:t>
            </w:r>
            <w:r>
              <w:rPr>
                <w:lang w:eastAsia="zh-CN"/>
              </w:rPr>
              <w:lastRenderedPageBreak/>
              <w:t xml:space="preserve">to come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proofErr w:type="spellStart"/>
            <w:r>
              <w:rPr>
                <w:sz w:val="20"/>
                <w:lang w:eastAsia="zh-CN"/>
              </w:rPr>
              <w:lastRenderedPageBreak/>
              <w:t>Futurewei</w:t>
            </w:r>
            <w:proofErr w:type="spellEnd"/>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 xml:space="preserve">This is not necessary. This changed the monitoring behavior. if Y&lt;=X then such problem does </w:t>
            </w:r>
            <w:proofErr w:type="spellStart"/>
            <w:r>
              <w:rPr>
                <w:lang w:eastAsia="zh-CN"/>
              </w:rPr>
              <w:t>no</w:t>
            </w:r>
            <w:proofErr w:type="spellEnd"/>
            <w:r>
              <w:rPr>
                <w:lang w:eastAsia="zh-CN"/>
              </w:rPr>
              <w:t xml:space="preserve">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lastRenderedPageBreak/>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 xml:space="preserve">this can be considered , however currently we think this can be </w:t>
            </w:r>
            <w:proofErr w:type="spellStart"/>
            <w:r>
              <w:rPr>
                <w:lang w:eastAsia="zh-CN"/>
              </w:rPr>
              <w:t>acheive</w:t>
            </w:r>
            <w:proofErr w:type="spellEnd"/>
            <w:r>
              <w:rPr>
                <w:lang w:eastAsia="zh-CN"/>
              </w:rPr>
              <w:t xml:space="preser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lastRenderedPageBreak/>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lastRenderedPageBreak/>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w:t>
            </w:r>
            <w:r>
              <w:rPr>
                <w:lang w:eastAsia="zh-CN"/>
              </w:rPr>
              <w:lastRenderedPageBreak/>
              <w:t xml:space="preserve">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lastRenderedPageBreak/>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proofErr w:type="spellStart"/>
            <w:r>
              <w:rPr>
                <w:sz w:val="20"/>
                <w:lang w:eastAsia="zh-CN"/>
              </w:rPr>
              <w:lastRenderedPageBreak/>
              <w:t>InterDigital</w:t>
            </w:r>
            <w:proofErr w:type="spellEnd"/>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lastRenderedPageBreak/>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w:t>
            </w:r>
            <w:r>
              <w:rPr>
                <w:rFonts w:ascii="Arial" w:hAnsi="Arial" w:cs="Arial"/>
                <w:bCs/>
                <w:color w:val="000000" w:themeColor="text1"/>
                <w:lang w:eastAsia="zh-CN"/>
              </w:rPr>
              <w:lastRenderedPageBreak/>
              <w:t>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lastRenderedPageBreak/>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Suggest to discuss this issue under AI 8.2.5</w:t>
            </w:r>
          </w:p>
        </w:tc>
      </w:tr>
      <w:tr w:rsidR="001315D3" w14:paraId="20722AE3" w14:textId="77777777">
        <w:tc>
          <w:tcPr>
            <w:tcW w:w="2405" w:type="dxa"/>
          </w:tcPr>
          <w:p w14:paraId="20722AE1"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lastRenderedPageBreak/>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B0D" w14:textId="77777777" w:rsidR="001315D3" w:rsidRDefault="00734BFE">
            <w:pPr>
              <w:rPr>
                <w:lang w:val="en-GB"/>
              </w:rPr>
            </w:pPr>
            <w:r>
              <w:rPr>
                <w:lang w:eastAsia="zh-CN"/>
              </w:rPr>
              <w:t xml:space="preserve">We are fine in principle,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lastRenderedPageBreak/>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1315D3" w14:paraId="20722B4A" w14:textId="77777777">
        <w:tc>
          <w:tcPr>
            <w:tcW w:w="2405" w:type="dxa"/>
          </w:tcPr>
          <w:p w14:paraId="20722B48"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lastRenderedPageBreak/>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lastRenderedPageBreak/>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zh-CN"/>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lastRenderedPageBreak/>
              <w:t xml:space="preserve">Figure </w:t>
            </w:r>
            <w:r>
              <w:fldChar w:fldCharType="begin"/>
            </w:r>
            <w:r>
              <w:instrText xml:space="preserve"> SEQ Figure \* ARABIC </w:instrText>
            </w:r>
            <w:r>
              <w:fldChar w:fldCharType="separate"/>
            </w:r>
            <w:r>
              <w:t>1</w:t>
            </w:r>
            <w:r>
              <w:fldChar w:fldCharType="end"/>
            </w:r>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zh-CN"/>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r>
              <w:fldChar w:fldCharType="begin"/>
            </w:r>
            <w:r>
              <w:instrText xml:space="preserve"> SEQ Figure \* ARABIC </w:instrText>
            </w:r>
            <w:r>
              <w:fldChar w:fldCharType="separate"/>
            </w:r>
            <w:r>
              <w:t>2</w:t>
            </w:r>
            <w:r>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zh-CN"/>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r>
              <w:fldChar w:fldCharType="begin"/>
            </w:r>
            <w:r>
              <w:instrText xml:space="preserve"> SEQ Figure \* ARABIC </w:instrText>
            </w:r>
            <w:r>
              <w:fldChar w:fldCharType="separate"/>
            </w:r>
            <w:r>
              <w:t>3</w:t>
            </w:r>
            <w:r>
              <w:fldChar w:fldCharType="end"/>
            </w:r>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w:t>
            </w:r>
            <w:r>
              <w:rPr>
                <w:lang w:eastAsia="zh-CN"/>
              </w:rPr>
              <w:lastRenderedPageBreak/>
              <w:t>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zh-CN"/>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r>
              <w:fldChar w:fldCharType="begin"/>
            </w:r>
            <w:r>
              <w:instrText xml:space="preserve"> SEQ Figure \* ARABIC </w:instrText>
            </w:r>
            <w:r>
              <w:fldChar w:fldCharType="separate"/>
            </w:r>
            <w:r>
              <w:t>4</w:t>
            </w:r>
            <w:r>
              <w:fldChar w:fldCharType="end"/>
            </w:r>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lastRenderedPageBreak/>
              <w:t xml:space="preserve">Table </w:t>
            </w:r>
            <w:r>
              <w:fldChar w:fldCharType="begin"/>
            </w:r>
            <w:r>
              <w:instrText xml:space="preserve"> SEQ Table \* ARABIC </w:instrText>
            </w:r>
            <w:r>
              <w:fldChar w:fldCharType="separate"/>
            </w:r>
            <w:r>
              <w:t>1</w:t>
            </w:r>
            <w:r>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w:t>
            </w:r>
            <w:proofErr w:type="spellStart"/>
            <w:r>
              <w:t>didates</w:t>
            </w:r>
            <w:proofErr w:type="spellEnd"/>
            <w:r>
              <w:t xml:space="preserve">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r>
              <w:fldChar w:fldCharType="begin"/>
            </w:r>
            <w:r>
              <w:instrText xml:space="preserve"> SEQ Table \* ARABIC </w:instrText>
            </w:r>
            <w:r>
              <w:fldChar w:fldCharType="separate"/>
            </w:r>
            <w:r>
              <w:t>2</w:t>
            </w:r>
            <w:r>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r>
              <w:fldChar w:fldCharType="begin"/>
            </w:r>
            <w:r>
              <w:instrText xml:space="preserve"> SEQ Table \* ARABIC </w:instrText>
            </w:r>
            <w:r>
              <w:fldChar w:fldCharType="separate"/>
            </w:r>
            <w:r>
              <w:t>3</w:t>
            </w:r>
            <w:r>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r>
              <w:fldChar w:fldCharType="begin"/>
            </w:r>
            <w:r>
              <w:instrText xml:space="preserve"> SEQ Table \* ARABIC </w:instrText>
            </w:r>
            <w:r>
              <w:fldChar w:fldCharType="separate"/>
            </w:r>
            <w:r>
              <w:t>4</w:t>
            </w:r>
            <w:r>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lastRenderedPageBreak/>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Using slot-level (X, Y) span (i.e. Alt. 2.1) to define multi-slot PDCCH monitoring capability is preferred compared to symbol-level (X, Y) span </w:t>
            </w:r>
            <w:r>
              <w:rPr>
                <w:b/>
              </w:rPr>
              <w:lastRenderedPageBreak/>
              <w:t>(i.e.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t xml:space="preserve">Proposal </w:t>
            </w:r>
            <w:r>
              <w:fldChar w:fldCharType="begin"/>
            </w:r>
            <w:r>
              <w:instrText xml:space="preserve"> SEQ Proposal \* ARABIC </w:instrText>
            </w:r>
            <w:r>
              <w:fldChar w:fldCharType="separate"/>
            </w:r>
            <w:r>
              <w:t>4</w:t>
            </w:r>
            <w:r>
              <w:fldChar w:fldCharType="end"/>
            </w:r>
            <w:bookmarkEnd w:id="12"/>
            <w:r>
              <w:t>: Multi-slot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r>
              <w:fldChar w:fldCharType="begin"/>
            </w:r>
            <w:r>
              <w:instrText xml:space="preserve"> SEQ Proposal \* ARABIC </w:instrText>
            </w:r>
            <w:r>
              <w:fldChar w:fldCharType="separate"/>
            </w:r>
            <w:r>
              <w:t>5</w:t>
            </w:r>
            <w:r>
              <w:fldChar w:fldCharType="end"/>
            </w:r>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lastRenderedPageBreak/>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r>
              <w:fldChar w:fldCharType="begin"/>
            </w:r>
            <w:r>
              <w:instrText xml:space="preserve"> SEQ Proposal \* ARABIC </w:instrText>
            </w:r>
            <w:r>
              <w:fldChar w:fldCharType="separate"/>
            </w:r>
            <w:r>
              <w:t>6</w:t>
            </w:r>
            <w:r>
              <w:fldChar w:fldCharType="end"/>
            </w:r>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r>
              <w:fldChar w:fldCharType="begin"/>
            </w:r>
            <w:r>
              <w:instrText xml:space="preserve"> SEQ Proposal \* ARABIC </w:instrText>
            </w:r>
            <w:r>
              <w:fldChar w:fldCharType="separate"/>
            </w:r>
            <w:r>
              <w:t>7</w:t>
            </w:r>
            <w:r>
              <w:fldChar w:fldCharType="end"/>
            </w:r>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r>
              <w:fldChar w:fldCharType="begin"/>
            </w:r>
            <w:r>
              <w:instrText xml:space="preserve"> SEQ Observation \* ARABIC </w:instrText>
            </w:r>
            <w:r>
              <w:fldChar w:fldCharType="separate"/>
            </w:r>
            <w:r>
              <w:t>1</w:t>
            </w:r>
            <w:r>
              <w:fldChar w:fldCharType="end"/>
            </w:r>
            <w:r>
              <w:t>: More additional cases are brought by introduction of multi-slot-based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lastRenderedPageBreak/>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lastRenderedPageBreak/>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 xml:space="preserve">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w:t>
            </w:r>
            <w:r>
              <w:rPr>
                <w:b/>
                <w:i/>
                <w:iCs/>
              </w:rPr>
              <w:lastRenderedPageBreak/>
              <w:t>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 xml:space="preserve">Proposal 1: Support slot-based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lastRenderedPageBreak/>
              <w:t xml:space="preserve">Table 1: Maximum number </w:t>
            </w:r>
            <w:r>
              <w:rPr>
                <w:noProof/>
                <w:position w:val="-10"/>
                <w:lang w:val="en-US" w:eastAsia="zh-CN"/>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zh-CN"/>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zh-CN"/>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ListParagraph"/>
              <w:numPr>
                <w:ilvl w:val="0"/>
                <w:numId w:val="33"/>
              </w:numPr>
              <w:snapToGrid/>
              <w:spacing w:line="240" w:lineRule="auto"/>
              <w:jc w:val="both"/>
              <w:rPr>
                <w:b/>
                <w:u w:val="single"/>
              </w:rPr>
            </w:pPr>
            <w:r>
              <w:rPr>
                <w:b/>
                <w:u w:val="single"/>
              </w:rPr>
              <w:t xml:space="preserve">X &gt; 1 slots (e.g.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For multi-slot span based PDCCH monitoring, the limits for PDCCH candidates/non-overlapping CCEs can be defined per combination of (X, Y). Similar to multi-</w:t>
            </w:r>
            <w:r>
              <w:rPr>
                <w:rFonts w:eastAsia="MS Mincho" w:cs="Arial"/>
                <w:kern w:val="2"/>
                <w:szCs w:val="20"/>
                <w:lang w:eastAsia="ja-JP"/>
              </w:rPr>
              <w:lastRenderedPageBreak/>
              <w:t xml:space="preserve">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w:t>
            </w:r>
            <w:proofErr w:type="spellStart"/>
            <w:r>
              <w:rPr>
                <w:rFonts w:eastAsia="MS Mincho" w:cs="Arial"/>
                <w:kern w:val="2"/>
                <w:szCs w:val="20"/>
                <w:lang w:eastAsia="ja-JP"/>
              </w:rPr>
              <w:t>arger</w:t>
            </w:r>
            <w:proofErr w:type="spellEnd"/>
            <w:r>
              <w:rPr>
                <w:rFonts w:eastAsia="MS Mincho" w:cs="Arial"/>
                <w:kern w:val="2"/>
                <w:szCs w:val="20"/>
                <w:lang w:eastAsia="ja-JP"/>
              </w:rPr>
              <w:t xml:space="preserve">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w:t>
            </w:r>
            <w:proofErr w:type="spellStart"/>
            <w:r>
              <w:rPr>
                <w:rFonts w:eastAsia="MS Mincho" w:cs="Arial"/>
                <w:kern w:val="2"/>
                <w:szCs w:val="20"/>
                <w:lang w:eastAsia="ja-JP"/>
              </w:rPr>
              <w:t>ation</w:t>
            </w:r>
            <w:proofErr w:type="spellEnd"/>
            <w:r>
              <w:rPr>
                <w:rFonts w:eastAsia="MS Mincho" w:cs="Arial"/>
                <w:kern w:val="2"/>
                <w:szCs w:val="20"/>
                <w:lang w:eastAsia="ja-JP"/>
              </w:rPr>
              <w:t xml:space="preserve">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734BFE">
            <w:pPr>
              <w:keepNext/>
              <w:jc w:val="center"/>
            </w:pPr>
            <w: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5pt;height:83.7pt" o:ole="">
                  <v:imagedata r:id="rId19" o:title=""/>
                </v:shape>
                <o:OLEObject Type="Embed" ProgID="Visio.Drawing.11" ShapeID="_x0000_i1025" DrawAspect="Content" ObjectID="_1690956360" r:id="rId20"/>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734BFE">
            <w:pPr>
              <w:pStyle w:val="BodyText"/>
              <w:keepNext/>
              <w:jc w:val="center"/>
            </w:pPr>
            <w:r>
              <w:object w:dxaOrig="4483" w:dyaOrig="900" w14:anchorId="2072313B">
                <v:shape id="_x0000_i1026" type="#_x0000_t75" style="width:224.35pt;height:45.2pt" o:ole="">
                  <v:imagedata r:id="rId21" o:title=""/>
                </v:shape>
                <o:OLEObject Type="Embed" ProgID="Visio.Drawing.11" ShapeID="_x0000_i1026" DrawAspect="Content" ObjectID="_1690956361" r:id="rId22"/>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 xml:space="preserve">back-to-back MOs, Y equal to </w:t>
            </w:r>
            <w:r>
              <w:rPr>
                <w:bCs/>
                <w:lang w:eastAsia="zh-CN"/>
              </w:rPr>
              <w:lastRenderedPageBreak/>
              <w:t>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734BFE">
            <w:pPr>
              <w:pStyle w:val="BodyText"/>
              <w:keepNext/>
              <w:jc w:val="center"/>
            </w:pPr>
            <w:r>
              <w:object w:dxaOrig="7654" w:dyaOrig="2083" w14:anchorId="2072313C">
                <v:shape id="_x0000_i1027" type="#_x0000_t75" style="width:383.45pt;height:103.8pt" o:ole="">
                  <v:imagedata r:id="rId23" o:title=""/>
                </v:shape>
                <o:OLEObject Type="Embed" ProgID="Visio.Drawing.11" ShapeID="_x0000_i1027" DrawAspect="Content" ObjectID="_1690956362" r:id="rId24"/>
              </w:object>
            </w:r>
          </w:p>
          <w:p w14:paraId="20722CAB" w14:textId="77777777" w:rsidR="001315D3" w:rsidRDefault="00734BFE">
            <w:pPr>
              <w:pStyle w:val="Caption"/>
              <w:rPr>
                <w:lang w:eastAsia="zh-CN"/>
              </w:rPr>
            </w:pPr>
            <w:bookmarkStart w:id="18" w:name="_Ref67870726"/>
            <w:r>
              <w:t xml:space="preserve">Figure </w:t>
            </w:r>
            <w:r>
              <w:fldChar w:fldCharType="begin"/>
            </w:r>
            <w:r>
              <w:instrText xml:space="preserve"> SEQ Figure \* ARABIC </w:instrText>
            </w:r>
            <w:r>
              <w:fldChar w:fldCharType="separate"/>
            </w:r>
            <w:r>
              <w:t>3</w:t>
            </w:r>
            <w:r>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w:t>
            </w:r>
            <w:r>
              <w:rPr>
                <w:rFonts w:eastAsiaTheme="minorEastAsia"/>
              </w:rPr>
              <w:lastRenderedPageBreak/>
              <w:t xml:space="preserve">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14:paraId="20722CD9" w14:textId="77777777" w:rsidR="001315D3" w:rsidRDefault="00734BFE">
            <w:pPr>
              <w:pStyle w:val="Observation"/>
            </w:pPr>
            <w:bookmarkStart w:id="39" w:name="_Toc68610475"/>
            <w:bookmarkStart w:id="40" w:name="_Toc7916904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t>480 kHz SCS with bundle size of B=4</w:t>
            </w:r>
          </w:p>
          <w:p w14:paraId="20722CDC" w14:textId="77777777" w:rsidR="001315D3" w:rsidRDefault="005C52C8">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5C52C8">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5C52C8">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5C52C8">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t xml:space="preserve">Table </w:t>
            </w:r>
            <w:r>
              <w:fldChar w:fldCharType="begin"/>
            </w:r>
            <w:r>
              <w:instrText xml:space="preserve"> SEQ Table \* ARABIC </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w:t>
            </w:r>
            <w:r>
              <w:rPr>
                <w:bCs/>
                <w:lang w:val="en-GB"/>
              </w:rPr>
              <w:lastRenderedPageBreak/>
              <w:t xml:space="preserve">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zh-CN"/>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lastRenderedPageBreak/>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zh-CN"/>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zh-CN"/>
              </w:rPr>
              <w:lastRenderedPageBreak/>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lastRenderedPageBreak/>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lastRenderedPageBreak/>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lastRenderedPageBreak/>
              <w:t xml:space="preserve">For 480 kHz: X = 4 slots, for 960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734BFE">
            <w:pPr>
              <w:spacing w:line="360" w:lineRule="auto"/>
              <w:jc w:val="center"/>
            </w:pPr>
            <w:r>
              <w:object w:dxaOrig="8434" w:dyaOrig="2160" w14:anchorId="20723143">
                <v:shape id="_x0000_i1028" type="#_x0000_t75" style="width:421.95pt;height:108pt" o:ole="">
                  <v:imagedata r:id="rId28" o:title=""/>
                </v:shape>
                <o:OLEObject Type="Embed" ProgID="Visio.Drawing.15" ShapeID="_x0000_i1028" DrawAspect="Content" ObjectID="_1690956363" r:id="rId29"/>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t>Topic A2: Search Space Enhancement</w:t>
      </w:r>
    </w:p>
    <w:p w14:paraId="20722EBC"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r>
              <w:fldChar w:fldCharType="begin"/>
            </w:r>
            <w:r>
              <w:instrText xml:space="preserve"> SEQ Table \* ARABIC </w:instrText>
            </w:r>
            <w:r>
              <w:fldChar w:fldCharType="separate"/>
            </w:r>
            <w:r>
              <w:t>5</w:t>
            </w:r>
            <w:r>
              <w:fldChar w:fldCharType="end"/>
            </w:r>
            <w:r>
              <w:t>. Search space set configuration</w:t>
            </w:r>
          </w:p>
          <w:p w14:paraId="20722EBF" w14:textId="77777777" w:rsidR="001315D3" w:rsidRDefault="00734BFE">
            <w:pPr>
              <w:pStyle w:val="PL"/>
            </w:pPr>
            <w:r>
              <w:t xml:space="preserve">SearchSpace ::=                         </w:t>
            </w:r>
            <w:r>
              <w:rPr>
                <w:color w:val="993366"/>
              </w:rPr>
              <w:t>SEQUENCE</w:t>
            </w:r>
            <w:r>
              <w:t xml:space="preserve"> {</w:t>
            </w:r>
          </w:p>
          <w:p w14:paraId="20722EC0" w14:textId="77777777" w:rsidR="001315D3" w:rsidRDefault="00734BFE">
            <w:pPr>
              <w:pStyle w:val="PL"/>
              <w:ind w:firstLine="390"/>
            </w:pPr>
            <w:r>
              <w:t>searchSpaceId                           SearchSpaceId,</w:t>
            </w:r>
          </w:p>
          <w:p w14:paraId="20722EC1" w14:textId="77777777" w:rsidR="001315D3" w:rsidRDefault="00734BFE">
            <w:pPr>
              <w:pStyle w:val="PL"/>
              <w:ind w:firstLine="390"/>
              <w:rPr>
                <w:color w:val="808080"/>
              </w:rPr>
            </w:pPr>
            <w:r>
              <w:t xml:space="preserve">controlResourceSetId                    ControlResourceSetId                                        </w:t>
            </w:r>
          </w:p>
          <w:p w14:paraId="20722EC2" w14:textId="77777777" w:rsidR="001315D3" w:rsidRDefault="00734BFE">
            <w:pPr>
              <w:pStyle w:val="PL"/>
              <w:ind w:firstLine="390"/>
            </w:pPr>
            <w:r>
              <w:rPr>
                <w:highlight w:val="yellow"/>
              </w:rPr>
              <w:t>monitoringSlotPeriodicityAndOffset</w:t>
            </w:r>
            <w:r>
              <w:t xml:space="preserve">      </w:t>
            </w:r>
            <w:r>
              <w:rPr>
                <w:color w:val="993366"/>
              </w:rPr>
              <w:t>CHOICE</w:t>
            </w:r>
            <w:r>
              <w:t xml:space="preserve"> {</w:t>
            </w:r>
          </w:p>
          <w:p w14:paraId="20722EC3" w14:textId="77777777" w:rsidR="001315D3" w:rsidRDefault="00734BFE">
            <w:pPr>
              <w:pStyle w:val="PL"/>
              <w:rPr>
                <w:lang w:val="de-DE"/>
              </w:rPr>
            </w:pPr>
            <w:r>
              <w:t xml:space="preserve">        </w:t>
            </w:r>
            <w:r>
              <w:rPr>
                <w:lang w:val="de-DE"/>
              </w:rPr>
              <w:t xml:space="preserve">sl1                                     </w:t>
            </w:r>
            <w:r>
              <w:rPr>
                <w:color w:val="993366"/>
                <w:lang w:val="de-DE"/>
              </w:rPr>
              <w:t>NULL</w:t>
            </w:r>
            <w:r>
              <w:rPr>
                <w:lang w:val="de-DE"/>
              </w:rPr>
              <w:t>,</w:t>
            </w:r>
          </w:p>
          <w:p w14:paraId="20722EC4" w14:textId="77777777" w:rsidR="001315D3" w:rsidRDefault="00734BFE">
            <w:pPr>
              <w:pStyle w:val="PL"/>
              <w:rPr>
                <w:lang w:val="de-DE"/>
              </w:rPr>
            </w:pPr>
            <w:r>
              <w:rPr>
                <w:lang w:val="de-DE"/>
              </w:rPr>
              <w:t xml:space="preserve">        sl2                                     </w:t>
            </w:r>
            <w:r>
              <w:rPr>
                <w:color w:val="993366"/>
                <w:lang w:val="de-DE"/>
              </w:rPr>
              <w:t>INTEGER</w:t>
            </w:r>
            <w:r>
              <w:rPr>
                <w:lang w:val="de-DE"/>
              </w:rPr>
              <w:t xml:space="preserve"> (0..1),</w:t>
            </w:r>
          </w:p>
          <w:p w14:paraId="20722EC5" w14:textId="77777777" w:rsidR="001315D3" w:rsidRDefault="00734BFE">
            <w:pPr>
              <w:pStyle w:val="PL"/>
              <w:rPr>
                <w:lang w:val="de-DE"/>
              </w:rPr>
            </w:pPr>
            <w:r>
              <w:rPr>
                <w:lang w:val="de-DE"/>
              </w:rPr>
              <w:t xml:space="preserve">        sl4                                     </w:t>
            </w:r>
            <w:r>
              <w:rPr>
                <w:color w:val="993366"/>
                <w:lang w:val="de-DE"/>
              </w:rPr>
              <w:t>INTEGER</w:t>
            </w:r>
            <w:r>
              <w:rPr>
                <w:lang w:val="de-DE"/>
              </w:rPr>
              <w:t xml:space="preserve"> (0..3),</w:t>
            </w:r>
          </w:p>
          <w:p w14:paraId="20722EC6" w14:textId="77777777" w:rsidR="001315D3" w:rsidRDefault="00734BFE">
            <w:pPr>
              <w:pStyle w:val="PL"/>
              <w:rPr>
                <w:lang w:val="de-DE"/>
              </w:rPr>
            </w:pPr>
            <w:r>
              <w:rPr>
                <w:lang w:val="de-DE"/>
              </w:rPr>
              <w:t xml:space="preserve">        sl5                                     </w:t>
            </w:r>
            <w:r>
              <w:rPr>
                <w:color w:val="993366"/>
                <w:lang w:val="de-DE"/>
              </w:rPr>
              <w:t>INTEGER</w:t>
            </w:r>
            <w:r>
              <w:rPr>
                <w:lang w:val="de-DE"/>
              </w:rPr>
              <w:t xml:space="preserve"> (0..4),</w:t>
            </w:r>
          </w:p>
          <w:p w14:paraId="20722EC7" w14:textId="77777777" w:rsidR="001315D3" w:rsidRDefault="00734BFE">
            <w:pPr>
              <w:pStyle w:val="PL"/>
              <w:rPr>
                <w:lang w:val="de-DE"/>
              </w:rPr>
            </w:pPr>
            <w:r>
              <w:rPr>
                <w:lang w:val="de-DE"/>
              </w:rPr>
              <w:t xml:space="preserve">        sl8                                     </w:t>
            </w:r>
            <w:r>
              <w:rPr>
                <w:color w:val="993366"/>
                <w:lang w:val="de-DE"/>
              </w:rPr>
              <w:t>INTEGER</w:t>
            </w:r>
            <w:r>
              <w:rPr>
                <w:lang w:val="de-DE"/>
              </w:rPr>
              <w:t xml:space="preserve"> (0..7),</w:t>
            </w:r>
          </w:p>
          <w:p w14:paraId="20722EC8" w14:textId="77777777" w:rsidR="001315D3" w:rsidRDefault="00734BFE">
            <w:pPr>
              <w:pStyle w:val="PL"/>
              <w:rPr>
                <w:lang w:val="de-DE"/>
              </w:rPr>
            </w:pPr>
            <w:r>
              <w:rPr>
                <w:lang w:val="de-DE"/>
              </w:rPr>
              <w:t xml:space="preserve">        sl10                                    </w:t>
            </w:r>
            <w:r>
              <w:rPr>
                <w:color w:val="993366"/>
                <w:lang w:val="de-DE"/>
              </w:rPr>
              <w:t>INTEGER</w:t>
            </w:r>
            <w:r>
              <w:rPr>
                <w:lang w:val="de-DE"/>
              </w:rPr>
              <w:t xml:space="preserve"> (0..9),</w:t>
            </w:r>
          </w:p>
          <w:p w14:paraId="20722EC9" w14:textId="77777777" w:rsidR="001315D3" w:rsidRDefault="00734BFE">
            <w:pPr>
              <w:pStyle w:val="PL"/>
              <w:rPr>
                <w:lang w:val="de-DE"/>
              </w:rPr>
            </w:pPr>
            <w:r>
              <w:rPr>
                <w:lang w:val="de-DE"/>
              </w:rPr>
              <w:t xml:space="preserve">        sl16                                    </w:t>
            </w:r>
            <w:r>
              <w:rPr>
                <w:color w:val="993366"/>
                <w:lang w:val="de-DE"/>
              </w:rPr>
              <w:t>INTEGER</w:t>
            </w:r>
            <w:r>
              <w:rPr>
                <w:lang w:val="de-DE"/>
              </w:rPr>
              <w:t xml:space="preserve"> (0..15),</w:t>
            </w:r>
          </w:p>
          <w:p w14:paraId="20722ECA" w14:textId="77777777" w:rsidR="001315D3" w:rsidRDefault="00734BFE">
            <w:pPr>
              <w:pStyle w:val="PL"/>
              <w:rPr>
                <w:lang w:val="de-DE"/>
              </w:rPr>
            </w:pPr>
            <w:r>
              <w:rPr>
                <w:lang w:val="de-DE"/>
              </w:rPr>
              <w:t xml:space="preserve">        sl20                                    </w:t>
            </w:r>
            <w:r>
              <w:rPr>
                <w:color w:val="993366"/>
                <w:lang w:val="de-DE"/>
              </w:rPr>
              <w:t>INTEGER</w:t>
            </w:r>
            <w:r>
              <w:rPr>
                <w:lang w:val="de-DE"/>
              </w:rPr>
              <w:t xml:space="preserve"> (0..19),</w:t>
            </w:r>
          </w:p>
          <w:p w14:paraId="20722ECB" w14:textId="77777777" w:rsidR="001315D3" w:rsidRDefault="00734BFE">
            <w:pPr>
              <w:pStyle w:val="PL"/>
              <w:rPr>
                <w:lang w:val="de-DE"/>
              </w:rPr>
            </w:pPr>
            <w:r>
              <w:rPr>
                <w:lang w:val="de-DE"/>
              </w:rPr>
              <w:t xml:space="preserve">        sl40                                    </w:t>
            </w:r>
            <w:r>
              <w:rPr>
                <w:color w:val="993366"/>
                <w:lang w:val="de-DE"/>
              </w:rPr>
              <w:t>INTEGER</w:t>
            </w:r>
            <w:r>
              <w:rPr>
                <w:lang w:val="de-DE"/>
              </w:rPr>
              <w:t xml:space="preserve"> (0..39),</w:t>
            </w:r>
          </w:p>
          <w:p w14:paraId="20722ECC" w14:textId="77777777" w:rsidR="001315D3" w:rsidRDefault="00734BFE">
            <w:pPr>
              <w:pStyle w:val="PL"/>
              <w:rPr>
                <w:lang w:val="de-DE"/>
              </w:rPr>
            </w:pPr>
            <w:r>
              <w:rPr>
                <w:lang w:val="de-DE"/>
              </w:rPr>
              <w:t xml:space="preserve">        sl80                                    </w:t>
            </w:r>
            <w:r>
              <w:rPr>
                <w:color w:val="993366"/>
                <w:lang w:val="de-DE"/>
              </w:rPr>
              <w:t>INTEGER</w:t>
            </w:r>
            <w:r>
              <w:rPr>
                <w:lang w:val="de-DE"/>
              </w:rPr>
              <w:t xml:space="preserve"> (0..79),</w:t>
            </w:r>
          </w:p>
          <w:p w14:paraId="20722ECD" w14:textId="77777777" w:rsidR="001315D3" w:rsidRDefault="00734BFE">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sl640                                   </w:t>
            </w:r>
            <w:r>
              <w:rPr>
                <w:color w:val="993366"/>
                <w:lang w:val="nl-NL"/>
              </w:rPr>
              <w:t>INTEGER</w:t>
            </w:r>
            <w:r>
              <w:rPr>
                <w:lang w:val="nl-NL"/>
              </w:rPr>
              <w:t xml:space="preserve"> (0..639),</w:t>
            </w:r>
          </w:p>
          <w:p w14:paraId="20722ED0" w14:textId="77777777" w:rsidR="001315D3" w:rsidRDefault="00734BFE">
            <w:pPr>
              <w:pStyle w:val="PL"/>
              <w:rPr>
                <w:lang w:val="de-DE"/>
              </w:rPr>
            </w:pPr>
            <w:r>
              <w:rPr>
                <w:lang w:val="nl-NL"/>
              </w:rPr>
              <w:lastRenderedPageBreak/>
              <w:t xml:space="preserve">        </w:t>
            </w:r>
            <w:r>
              <w:rPr>
                <w:lang w:val="de-DE"/>
              </w:rPr>
              <w:t xml:space="preserve">sl1280                                  </w:t>
            </w:r>
            <w:r>
              <w:rPr>
                <w:color w:val="993366"/>
                <w:lang w:val="de-DE"/>
              </w:rPr>
              <w:t>INTEGER</w:t>
            </w:r>
            <w:r>
              <w:rPr>
                <w:lang w:val="de-DE"/>
              </w:rPr>
              <w:t xml:space="preserve"> (0..1279),</w:t>
            </w:r>
          </w:p>
          <w:p w14:paraId="20722ED1" w14:textId="77777777" w:rsidR="001315D3" w:rsidRDefault="00734BFE">
            <w:pPr>
              <w:pStyle w:val="PL"/>
              <w:rPr>
                <w:lang w:val="de-DE"/>
              </w:rPr>
            </w:pPr>
            <w:r>
              <w:rPr>
                <w:lang w:val="de-DE"/>
              </w:rPr>
              <w:t xml:space="preserve">        sl2560                                  </w:t>
            </w:r>
            <w:r>
              <w:rPr>
                <w:color w:val="993366"/>
                <w:lang w:val="de-DE"/>
              </w:rPr>
              <w:t>INTEGER</w:t>
            </w:r>
            <w:r>
              <w:rPr>
                <w:lang w:val="de-DE"/>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(2..2559)                                           </w:t>
            </w:r>
          </w:p>
          <w:p w14:paraId="20722ED4" w14:textId="77777777" w:rsidR="001315D3" w:rsidRDefault="00734BF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0"/>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r>
              <w:fldChar w:fldCharType="begin"/>
            </w:r>
            <w:r>
              <w:instrText xml:space="preserve"> SEQ Figure \* ARABIC </w:instrText>
            </w:r>
            <w:r>
              <w:fldChar w:fldCharType="separate"/>
            </w:r>
            <w:r>
              <w:t>5</w:t>
            </w:r>
            <w:r>
              <w:fldChar w:fldCharType="end"/>
            </w:r>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zh-CN"/>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1"/>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734BFE">
            <w:r>
              <w:object w:dxaOrig="9669" w:dyaOrig="2880" w14:anchorId="20723148">
                <v:shape id="_x0000_i1029" type="#_x0000_t75" style="width:483.05pt;height:2in" o:ole="">
                  <v:imagedata r:id="rId32" o:title=""/>
                </v:shape>
                <o:OLEObject Type="Embed" ProgID="Visio.Drawing.15" ShapeID="_x0000_i1029" DrawAspect="Content" ObjectID="_1690956364" r:id="rId33"/>
              </w:object>
            </w:r>
          </w:p>
          <w:p w14:paraId="20722F15" w14:textId="77777777" w:rsidR="001315D3" w:rsidRDefault="00734BFE">
            <w:pPr>
              <w:jc w:val="center"/>
              <w:rPr>
                <w:b/>
              </w:rPr>
            </w:pPr>
            <w:r>
              <w:rPr>
                <w:b/>
              </w:rPr>
              <w:lastRenderedPageBreak/>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zh-CN"/>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4"/>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lastRenderedPageBreak/>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734BFE">
            <w:pPr>
              <w:jc w:val="center"/>
            </w:pPr>
            <w:r>
              <w:object w:dxaOrig="9360" w:dyaOrig="4011" w14:anchorId="2072314B">
                <v:shape id="_x0000_i1030" type="#_x0000_t75" style="width:468pt;height:200.95pt" o:ole="">
                  <v:imagedata r:id="rId35" o:title=""/>
                </v:shape>
                <o:OLEObject Type="Embed" ProgID="Visio.Drawing.15" ShapeID="_x0000_i1030" DrawAspect="Content" ObjectID="_1690956365" r:id="rId36"/>
              </w:object>
            </w:r>
          </w:p>
          <w:p w14:paraId="20722F51" w14:textId="77777777" w:rsidR="001315D3" w:rsidRDefault="00734BFE">
            <w:pPr>
              <w:pStyle w:val="Caption"/>
            </w:pPr>
            <w:bookmarkStart w:id="230" w:name="_Ref68206910"/>
            <w:r>
              <w:t xml:space="preserve">Figure </w:t>
            </w:r>
            <w:r>
              <w:fldChar w:fldCharType="begin"/>
            </w:r>
            <w:r>
              <w:instrText xml:space="preserve"> SEQ Figure \* ARABIC </w:instrText>
            </w:r>
            <w:r>
              <w:fldChar w:fldCharType="separate"/>
            </w:r>
            <w:r>
              <w:t>1</w:t>
            </w:r>
            <w:r>
              <w:fldChar w:fldCharType="end"/>
            </w:r>
            <w:bookmarkEnd w:id="230"/>
            <w:r>
              <w:t>: Configuration example of USS and CSS MOs.</w:t>
            </w:r>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t>Alt 2: New CSS prioritization rule</w:t>
            </w:r>
          </w:p>
          <w:p w14:paraId="20722F58" w14:textId="77777777" w:rsidR="001315D3" w:rsidRDefault="00734BF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An SSB identified by a recent random access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r>
              <w:fldChar w:fldCharType="begin"/>
            </w:r>
            <w:r>
              <w:instrText xml:space="preserve"> SEQ Proposal \* ARABIC </w:instrText>
            </w:r>
            <w:r>
              <w:fldChar w:fldCharType="separate"/>
            </w:r>
            <w:r>
              <w:t>7</w:t>
            </w:r>
            <w:r>
              <w:fldChar w:fldCharType="end"/>
            </w:r>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734BFE">
            <w:pPr>
              <w:jc w:val="center"/>
            </w:pPr>
            <w:r>
              <w:object w:dxaOrig="9771" w:dyaOrig="1234" w14:anchorId="2072314C">
                <v:shape id="_x0000_i1031" type="#_x0000_t75" style="width:488.95pt;height:61.95pt" o:ole="">
                  <v:imagedata r:id="rId37" o:title=""/>
                </v:shape>
                <o:OLEObject Type="Embed" ProgID="Visio.Drawing.15" ShapeID="_x0000_i1031" DrawAspect="Content" ObjectID="_1690956366" r:id="rId38"/>
              </w:object>
            </w:r>
          </w:p>
          <w:p w14:paraId="20722F63" w14:textId="77777777" w:rsidR="001315D3" w:rsidRDefault="00734BFE">
            <w:pPr>
              <w:pStyle w:val="Caption"/>
            </w:pPr>
            <w:bookmarkStart w:id="252" w:name="_Ref68252811"/>
            <w:r>
              <w:t xml:space="preserve">Figure </w:t>
            </w:r>
            <w:r>
              <w:fldChar w:fldCharType="begin"/>
            </w:r>
            <w:r>
              <w:instrText xml:space="preserve"> SEQ Figure \* ARABIC </w:instrText>
            </w:r>
            <w:r>
              <w:fldChar w:fldCharType="separate"/>
            </w:r>
            <w:r>
              <w:t>2</w:t>
            </w:r>
            <w:r>
              <w:fldChar w:fldCharType="end"/>
            </w:r>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734BFE">
            <w:pPr>
              <w:jc w:val="center"/>
              <w:rPr>
                <w:lang w:val="en-GB" w:eastAsia="zh-CN"/>
              </w:rPr>
            </w:pPr>
            <w:r>
              <w:object w:dxaOrig="7611" w:dyaOrig="1954" w14:anchorId="2072314D">
                <v:shape id="_x0000_i1032" type="#_x0000_t75" style="width:380.95pt;height:97.95pt" o:ole="">
                  <v:imagedata r:id="rId39" o:title=""/>
                </v:shape>
                <o:OLEObject Type="Embed" ProgID="Visio.Drawing.15" ShapeID="_x0000_i1032" DrawAspect="Content" ObjectID="_1690956367" r:id="rId40"/>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lastRenderedPageBreak/>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zh-CN"/>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1"/>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r>
              <w:fldChar w:fldCharType="begin"/>
            </w:r>
            <w:r>
              <w:instrText xml:space="preserve"> SEQ Figure \* ARABIC </w:instrText>
            </w:r>
            <w:r>
              <w:fldChar w:fldCharType="separate"/>
            </w:r>
            <w:r>
              <w:t>1</w:t>
            </w:r>
            <w:r>
              <w:fldChar w:fldCharType="end"/>
            </w:r>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lastRenderedPageBreak/>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7" w:name="_Hlk79057913"/>
            <w:r>
              <w:rPr>
                <w:szCs w:val="18"/>
              </w:rPr>
              <w:t>USS in PCell and PSCell</w:t>
            </w:r>
            <w:bookmarkEnd w:id="267"/>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Topic A4: PDCCH Extensions for e.g.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0723040" w14:textId="77777777" w:rsidR="001315D3" w:rsidRDefault="00734BFE">
            <w:pPr>
              <w:pStyle w:val="BodyText"/>
              <w:jc w:val="center"/>
              <w:rPr>
                <w:rFonts w:eastAsia="SimSun"/>
                <w:b/>
                <w:sz w:val="18"/>
                <w:szCs w:val="18"/>
                <w:lang w:eastAsia="zh-CN"/>
              </w:rPr>
            </w:pPr>
            <w:r>
              <w:object w:dxaOrig="4114" w:dyaOrig="7303" w14:anchorId="20723150">
                <v:shape id="_x0000_i1033" type="#_x0000_t75" style="width:205.95pt;height:365pt" o:ole="">
                  <v:imagedata r:id="rId42" o:title=""/>
                </v:shape>
                <o:OLEObject Type="Embed" ProgID="Visio.Drawing.15" ShapeID="_x0000_i1033" DrawAspect="Content" ObjectID="_1690956368" r:id="rId43"/>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w:t>
            </w:r>
            <w:r>
              <w:rPr>
                <w:kern w:val="2"/>
                <w:lang w:eastAsia="zh-CN"/>
              </w:rPr>
              <w:lastRenderedPageBreak/>
              <w:t>UE within a COT, the gNB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lastRenderedPageBreak/>
        <w:t>Topic D: Multi-Cell Operation, Cross-carrier scheduling</w:t>
      </w:r>
    </w:p>
    <w:p w14:paraId="2072308E"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and slot-</w:t>
            </w:r>
            <w:r>
              <w:rPr>
                <w:rFonts w:eastAsia="SimSun"/>
                <w:lang w:eastAsia="zh-CN"/>
              </w:rPr>
              <w:lastRenderedPageBreak/>
              <w:t xml:space="preserve">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7964A" w14:textId="77777777" w:rsidR="006228BF" w:rsidRDefault="006228BF" w:rsidP="006228BF">
      <w:pPr>
        <w:spacing w:after="0" w:line="240" w:lineRule="auto"/>
      </w:pPr>
      <w:r>
        <w:separator/>
      </w:r>
    </w:p>
  </w:endnote>
  <w:endnote w:type="continuationSeparator" w:id="0">
    <w:p w14:paraId="4B86AB30" w14:textId="77777777" w:rsidR="006228BF" w:rsidRDefault="006228BF"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A8275" w14:textId="77777777" w:rsidR="006228BF" w:rsidRDefault="006228BF" w:rsidP="006228BF">
      <w:pPr>
        <w:spacing w:after="0" w:line="240" w:lineRule="auto"/>
      </w:pPr>
      <w:r>
        <w:separator/>
      </w:r>
    </w:p>
  </w:footnote>
  <w:footnote w:type="continuationSeparator" w:id="0">
    <w:p w14:paraId="2F0F9B2A" w14:textId="77777777" w:rsidR="006228BF" w:rsidRDefault="006228BF"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3"/>
  </w:num>
  <w:num w:numId="4">
    <w:abstractNumId w:val="59"/>
  </w:num>
  <w:num w:numId="5">
    <w:abstractNumId w:val="47"/>
  </w:num>
  <w:num w:numId="6">
    <w:abstractNumId w:val="36"/>
  </w:num>
  <w:num w:numId="7">
    <w:abstractNumId w:val="39"/>
  </w:num>
  <w:num w:numId="8">
    <w:abstractNumId w:val="65"/>
  </w:num>
  <w:num w:numId="9">
    <w:abstractNumId w:val="40"/>
  </w:num>
  <w:num w:numId="10">
    <w:abstractNumId w:val="61"/>
  </w:num>
  <w:num w:numId="11">
    <w:abstractNumId w:val="31"/>
  </w:num>
  <w:num w:numId="12">
    <w:abstractNumId w:val="21"/>
  </w:num>
  <w:num w:numId="13">
    <w:abstractNumId w:val="28"/>
  </w:num>
  <w:num w:numId="14">
    <w:abstractNumId w:val="45"/>
  </w:num>
  <w:num w:numId="15">
    <w:abstractNumId w:val="25"/>
  </w:num>
  <w:num w:numId="16">
    <w:abstractNumId w:val="43"/>
  </w:num>
  <w:num w:numId="17">
    <w:abstractNumId w:val="12"/>
  </w:num>
  <w:num w:numId="18">
    <w:abstractNumId w:val="26"/>
  </w:num>
  <w:num w:numId="19">
    <w:abstractNumId w:val="52"/>
  </w:num>
  <w:num w:numId="20">
    <w:abstractNumId w:val="50"/>
  </w:num>
  <w:num w:numId="21">
    <w:abstractNumId w:val="46"/>
  </w:num>
  <w:num w:numId="22">
    <w:abstractNumId w:val="33"/>
  </w:num>
  <w:num w:numId="23">
    <w:abstractNumId w:val="38"/>
  </w:num>
  <w:num w:numId="24">
    <w:abstractNumId w:val="30"/>
  </w:num>
  <w:num w:numId="25">
    <w:abstractNumId w:val="62"/>
  </w:num>
  <w:num w:numId="26">
    <w:abstractNumId w:val="11"/>
  </w:num>
  <w:num w:numId="27">
    <w:abstractNumId w:val="5"/>
  </w:num>
  <w:num w:numId="28">
    <w:abstractNumId w:val="10"/>
  </w:num>
  <w:num w:numId="29">
    <w:abstractNumId w:val="2"/>
  </w:num>
  <w:num w:numId="30">
    <w:abstractNumId w:val="55"/>
  </w:num>
  <w:num w:numId="31">
    <w:abstractNumId w:val="4"/>
  </w:num>
  <w:num w:numId="32">
    <w:abstractNumId w:val="17"/>
  </w:num>
  <w:num w:numId="33">
    <w:abstractNumId w:val="48"/>
  </w:num>
  <w:num w:numId="34">
    <w:abstractNumId w:val="18"/>
  </w:num>
  <w:num w:numId="35">
    <w:abstractNumId w:val="1"/>
  </w:num>
  <w:num w:numId="36">
    <w:abstractNumId w:val="0"/>
  </w:num>
  <w:num w:numId="37">
    <w:abstractNumId w:val="53"/>
  </w:num>
  <w:num w:numId="38">
    <w:abstractNumId w:val="7"/>
  </w:num>
  <w:num w:numId="39">
    <w:abstractNumId w:val="58"/>
  </w:num>
  <w:num w:numId="40">
    <w:abstractNumId w:val="8"/>
  </w:num>
  <w:num w:numId="41">
    <w:abstractNumId w:val="6"/>
  </w:num>
  <w:num w:numId="42">
    <w:abstractNumId w:val="34"/>
  </w:num>
  <w:num w:numId="43">
    <w:abstractNumId w:val="23"/>
  </w:num>
  <w:num w:numId="44">
    <w:abstractNumId w:val="57"/>
  </w:num>
  <w:num w:numId="45">
    <w:abstractNumId w:val="32"/>
  </w:num>
  <w:num w:numId="46">
    <w:abstractNumId w:val="51"/>
  </w:num>
  <w:num w:numId="47">
    <w:abstractNumId w:val="22"/>
  </w:num>
  <w:num w:numId="48">
    <w:abstractNumId w:val="56"/>
  </w:num>
  <w:num w:numId="49">
    <w:abstractNumId w:val="29"/>
  </w:num>
  <w:num w:numId="50">
    <w:abstractNumId w:val="49"/>
  </w:num>
  <w:num w:numId="51">
    <w:abstractNumId w:val="15"/>
  </w:num>
  <w:num w:numId="52">
    <w:abstractNumId w:val="42"/>
  </w:num>
  <w:num w:numId="53">
    <w:abstractNumId w:val="54"/>
  </w:num>
  <w:num w:numId="54">
    <w:abstractNumId w:val="13"/>
  </w:num>
  <w:num w:numId="55">
    <w:abstractNumId w:val="14"/>
  </w:num>
  <w:num w:numId="56">
    <w:abstractNumId w:val="64"/>
  </w:num>
  <w:num w:numId="57">
    <w:abstractNumId w:val="19"/>
  </w:num>
  <w:num w:numId="58">
    <w:abstractNumId w:val="35"/>
  </w:num>
  <w:num w:numId="59">
    <w:abstractNumId w:val="24"/>
  </w:num>
  <w:num w:numId="60">
    <w:abstractNumId w:val="44"/>
  </w:num>
  <w:num w:numId="61">
    <w:abstractNumId w:val="20"/>
  </w:num>
  <w:num w:numId="62">
    <w:abstractNumId w:val="41"/>
  </w:num>
  <w:num w:numId="63">
    <w:abstractNumId w:val="16"/>
  </w:num>
  <w:num w:numId="64">
    <w:abstractNumId w:val="37"/>
  </w:num>
  <w:num w:numId="65">
    <w:abstractNumId w:val="60"/>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image" Target="media/image24.emf"/><Relationship Id="rId3" Type="http://schemas.openxmlformats.org/officeDocument/2006/relationships/numbering" Target="numbering.xml"/><Relationship Id="rId21" Type="http://schemas.openxmlformats.org/officeDocument/2006/relationships/image" Target="media/image12.emf"/><Relationship Id="rId34" Type="http://schemas.openxmlformats.org/officeDocument/2006/relationships/image" Target="media/image21.png"/><Relationship Id="rId42" Type="http://schemas.openxmlformats.org/officeDocument/2006/relationships/image" Target="media/image26.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package" Target="embeddings/Microsoft_Visio_Drawing1.vsdx"/><Relationship Id="rId38"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oleObject" Target="embeddings/Microsoft_Visio_2003-2010_Drawing.vsd"/><Relationship Id="rId29" Type="http://schemas.openxmlformats.org/officeDocument/2006/relationships/package" Target="embeddings/Microsoft_Visio_Drawing.vsdx"/><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Microsoft_Visio_2003-2010_Drawing2.vsd"/><Relationship Id="rId32" Type="http://schemas.openxmlformats.org/officeDocument/2006/relationships/image" Target="media/image20.emf"/><Relationship Id="rId37" Type="http://schemas.openxmlformats.org/officeDocument/2006/relationships/image" Target="media/image23.emf"/><Relationship Id="rId40" Type="http://schemas.openxmlformats.org/officeDocument/2006/relationships/package" Target="embeddings/Microsoft_Visio_Drawing4.vsdx"/><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package" Target="embeddings/Microsoft_Visio_Drawing2.vsdx"/><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oleObject" Target="embeddings/Microsoft_Visio_2003-2010_Drawing1.vsd"/><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2.emf"/><Relationship Id="rId43"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E1017-42D7-486A-A003-AE88CC7A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106</Pages>
  <Words>38911</Words>
  <Characters>199617</Characters>
  <Application>Microsoft Office Word</Application>
  <DocSecurity>0</DocSecurity>
  <Lines>1663</Lines>
  <Paragraphs>476</Paragraphs>
  <ScaleCrop>false</ScaleCrop>
  <Company>Lenovo.com</Company>
  <LinksUpToDate>false</LinksUpToDate>
  <CharactersWithSpaces>238052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Lunttila, Timo (Nokia - FI/Espoo)</cp:lastModifiedBy>
  <cp:revision>3</cp:revision>
  <cp:lastPrinted>2016-08-13T07:06:00Z</cp:lastPrinted>
  <dcterms:created xsi:type="dcterms:W3CDTF">2021-08-20T05:52:00Z</dcterms:created>
  <dcterms:modified xsi:type="dcterms:W3CDTF">2021-08-20T05:58:00Z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