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rPr>
          <w:rStyle w:val="25"/>
          <w:i w:val="0"/>
        </w:rPr>
      </w:pPr>
      <w:r>
        <w:rPr>
          <w:rStyle w:val="25"/>
        </w:rPr>
        <w:t>3GPP TSG RAN WG1 Meeting #106-e</w:t>
      </w:r>
      <w:r>
        <w:rPr>
          <w:rStyle w:val="25"/>
        </w:rPr>
        <w:tab/>
      </w:r>
      <w:r>
        <w:rPr>
          <w:rStyle w:val="25"/>
        </w:rPr>
        <w:tab/>
      </w:r>
      <w:r>
        <w:rPr>
          <w:rStyle w:val="25"/>
        </w:rPr>
        <w:tab/>
      </w:r>
      <w:r>
        <w:rPr>
          <w:rStyle w:val="25"/>
        </w:rPr>
        <w:tab/>
      </w:r>
      <w:r>
        <w:rPr>
          <w:rStyle w:val="25"/>
        </w:rPr>
        <w:tab/>
      </w:r>
      <w:r>
        <w:rPr>
          <w:rStyle w:val="25"/>
        </w:rPr>
        <w:tab/>
      </w:r>
      <w:r>
        <w:rPr>
          <w:rStyle w:val="25"/>
        </w:rPr>
        <w:tab/>
      </w:r>
      <w:r>
        <w:rPr>
          <w:rStyle w:val="25"/>
        </w:rPr>
        <w:t xml:space="preserve">    R1-210xxxx</w:t>
      </w:r>
    </w:p>
    <w:p>
      <w:pPr>
        <w:pStyle w:val="9"/>
        <w:rPr>
          <w:rStyle w:val="25"/>
          <w:i w:val="0"/>
        </w:rPr>
      </w:pPr>
      <w:r>
        <w:rPr>
          <w:rStyle w:val="25"/>
        </w:rPr>
        <w:t>16</w:t>
      </w:r>
      <w:r>
        <w:rPr>
          <w:rStyle w:val="25"/>
          <w:vertAlign w:val="superscript"/>
        </w:rPr>
        <w:t>th</w:t>
      </w:r>
      <w:r>
        <w:rPr>
          <w:rStyle w:val="25"/>
        </w:rPr>
        <w:t xml:space="preserve"> August – 27</w:t>
      </w:r>
      <w:r>
        <w:rPr>
          <w:rStyle w:val="25"/>
          <w:vertAlign w:val="superscript"/>
        </w:rPr>
        <w:t>th</w:t>
      </w:r>
      <w:r>
        <w:rPr>
          <w:rStyle w:val="25"/>
        </w:rPr>
        <w:t xml:space="preserve"> August 2021</w:t>
      </w:r>
    </w:p>
    <w:p>
      <w:pPr>
        <w:pBdr>
          <w:top w:val="single" w:color="auto" w:sz="4" w:space="1"/>
          <w:bottom w:val="single" w:color="auto" w:sz="4" w:space="1"/>
        </w:pBdr>
        <w:rPr>
          <w:rStyle w:val="27"/>
        </w:rPr>
      </w:pPr>
      <w:r>
        <w:rPr>
          <w:rStyle w:val="25"/>
        </w:rPr>
        <w:t>Agenda Item:</w:t>
      </w:r>
      <w:r>
        <w:rPr>
          <w:rStyle w:val="26"/>
        </w:rPr>
        <w:tab/>
      </w:r>
      <w:r>
        <w:rPr>
          <w:rStyle w:val="26"/>
        </w:rPr>
        <w:tab/>
      </w:r>
      <w:r>
        <w:rPr>
          <w:rStyle w:val="27"/>
        </w:rPr>
        <w:t>8.10</w:t>
      </w:r>
    </w:p>
    <w:p>
      <w:pPr>
        <w:pBdr>
          <w:top w:val="single" w:color="auto" w:sz="4" w:space="1"/>
          <w:bottom w:val="single" w:color="auto" w:sz="4" w:space="1"/>
        </w:pBdr>
        <w:rPr>
          <w:rStyle w:val="25"/>
        </w:rPr>
      </w:pPr>
      <w:r>
        <w:rPr>
          <w:rStyle w:val="25"/>
        </w:rPr>
        <w:t>Source:</w:t>
      </w:r>
      <w:r>
        <w:rPr>
          <w:rStyle w:val="25"/>
        </w:rPr>
        <w:tab/>
      </w:r>
      <w:r>
        <w:rPr>
          <w:rStyle w:val="26"/>
        </w:rPr>
        <w:tab/>
      </w:r>
      <w:r>
        <w:rPr>
          <w:rStyle w:val="26"/>
        </w:rPr>
        <w:tab/>
      </w:r>
      <w:r>
        <w:rPr>
          <w:rStyle w:val="27"/>
        </w:rPr>
        <w:t>Moderator (Qualcomm Incorporated)</w:t>
      </w:r>
    </w:p>
    <w:p>
      <w:pPr>
        <w:pBdr>
          <w:top w:val="single" w:color="auto" w:sz="4" w:space="1"/>
          <w:bottom w:val="single" w:color="auto" w:sz="4" w:space="1"/>
        </w:pBdr>
        <w:ind w:left="2160" w:hanging="2160"/>
        <w:rPr>
          <w:rStyle w:val="27"/>
        </w:rPr>
      </w:pPr>
      <w:r>
        <w:rPr>
          <w:rStyle w:val="25"/>
        </w:rPr>
        <w:t xml:space="preserve">Title: </w:t>
      </w:r>
      <w:r>
        <w:rPr>
          <w:rStyle w:val="25"/>
        </w:rPr>
        <w:tab/>
      </w:r>
      <w:r>
        <w:rPr>
          <w:rStyle w:val="27"/>
        </w:rPr>
        <w:t>Summary of initial assessment on Rel-17 upper layer parameters to support eIAB physical layer operation [Post-106-e-Rel17-RRC-10]</w:t>
      </w:r>
    </w:p>
    <w:p>
      <w:pPr>
        <w:pBdr>
          <w:top w:val="single" w:color="auto" w:sz="4" w:space="1"/>
          <w:bottom w:val="single" w:color="auto" w:sz="4" w:space="1"/>
        </w:pBdr>
        <w:rPr>
          <w:rStyle w:val="27"/>
        </w:rPr>
      </w:pPr>
      <w:r>
        <w:rPr>
          <w:rStyle w:val="25"/>
        </w:rPr>
        <w:t>Document for:</w:t>
      </w:r>
      <w:r>
        <w:rPr>
          <w:rStyle w:val="26"/>
        </w:rPr>
        <w:tab/>
      </w:r>
      <w:r>
        <w:rPr>
          <w:rStyle w:val="26"/>
        </w:rPr>
        <w:tab/>
      </w:r>
      <w:r>
        <w:rPr>
          <w:rStyle w:val="27"/>
        </w:rPr>
        <w:t>Information</w:t>
      </w:r>
    </w:p>
    <w:p>
      <w:pPr>
        <w:rPr>
          <w:rFonts w:ascii="Times New Roman" w:hAnsi="Times New Roman" w:cs="Times New Roman"/>
          <w:b/>
          <w:lang w:eastAsia="zh-CN"/>
        </w:rPr>
      </w:pPr>
    </w:p>
    <w:p>
      <w:pPr>
        <w:rPr>
          <w:rFonts w:ascii="Times New Roman" w:hAnsi="Times New Roman" w:cs="Times New Roman"/>
          <w:bCs/>
          <w:lang w:eastAsia="zh-CN"/>
        </w:rPr>
      </w:pPr>
      <w:r>
        <w:rPr>
          <w:rFonts w:ascii="Times New Roman" w:hAnsi="Times New Roman" w:cs="Times New Roman"/>
          <w:bCs/>
          <w:lang w:eastAsia="zh-CN"/>
        </w:rPr>
        <w:t>This document provides a summary of the following email discussion on upper layer parameters to support eIAB physical layer operation:</w:t>
      </w:r>
    </w:p>
    <w:p>
      <w:pPr>
        <w:rPr>
          <w:rFonts w:ascii="Times New Roman" w:hAnsi="Times New Roman" w:cs="Times New Roman"/>
          <w:bCs/>
          <w:lang w:eastAsia="zh-CN"/>
        </w:rPr>
      </w:pPr>
    </w:p>
    <w:p>
      <w:pPr>
        <w:wordWrap w:val="0"/>
        <w:spacing w:before="120"/>
        <w:rPr>
          <w:rFonts w:ascii="Arial" w:hAnsi="Arial" w:cs="Arial"/>
          <w:highlight w:val="cyan"/>
        </w:rPr>
      </w:pPr>
      <w:r>
        <w:rPr>
          <w:rFonts w:ascii="Arial" w:hAnsi="Arial" w:cs="Arial"/>
          <w:highlight w:val="cyan"/>
        </w:rPr>
        <w:t>[Post-106-e-Rel17-RRC-10] eIAB – to be moderated by Luca (Qualcomm)</w:t>
      </w:r>
    </w:p>
    <w:p>
      <w:pPr>
        <w:rPr>
          <w:rFonts w:ascii="Times New Roman" w:hAnsi="Times New Roman" w:cs="Times New Roman"/>
          <w:b/>
          <w:lang w:eastAsia="zh-CN"/>
        </w:rPr>
      </w:pPr>
    </w:p>
    <w:p>
      <w:pPr>
        <w:rPr>
          <w:rFonts w:ascii="Times New Roman" w:hAnsi="Times New Roman" w:cs="Times New Roman"/>
          <w:bCs/>
          <w:lang w:eastAsia="zh-CN"/>
        </w:rPr>
      </w:pPr>
      <w:r>
        <w:rPr>
          <w:rFonts w:ascii="Times New Roman" w:hAnsi="Times New Roman" w:cs="Times New Roman"/>
          <w:bCs/>
          <w:lang w:eastAsia="zh-CN"/>
        </w:rPr>
        <w:t>An initial assessment of the required upper layer parameters for Rel-17 eIAB has been made with input from the FLs of the applicable agenda items 8.10.1 and 8.10.2 and it is summarized in the following table.</w:t>
      </w:r>
    </w:p>
    <w:p>
      <w:pPr>
        <w:rPr>
          <w:rFonts w:ascii="Times New Roman" w:hAnsi="Times New Roman" w:cs="Times New Roman"/>
          <w:bCs/>
          <w:lang w:eastAsia="zh-CN"/>
        </w:rPr>
      </w:pPr>
      <w:r>
        <w:rPr>
          <w:rFonts w:ascii="Times New Roman" w:hAnsi="Times New Roman" w:cs="Times New Roman"/>
          <w:bCs/>
          <w:lang w:eastAsia="zh-CN"/>
        </w:rPr>
        <w:t>Companies are encouraged to provide feedback in the comments section at the end of the document.</w:t>
      </w:r>
    </w:p>
    <w:p>
      <w:pPr>
        <w:rPr>
          <w:rFonts w:ascii="Times New Roman" w:hAnsi="Times New Roman" w:cs="Times New Roman"/>
          <w:bCs/>
          <w:lang w:eastAsia="zh-CN"/>
        </w:rPr>
      </w:pPr>
    </w:p>
    <w:p>
      <w:pPr>
        <w:rPr>
          <w:rFonts w:ascii="Times New Roman" w:hAnsi="Times New Roman" w:cs="Times New Roman"/>
          <w:bCs/>
          <w:lang w:eastAsia="zh-CN"/>
        </w:rPr>
      </w:pPr>
    </w:p>
    <w:p>
      <w:pPr>
        <w:rPr>
          <w:rFonts w:ascii="Times New Roman" w:hAnsi="Times New Roman" w:cs="Times New Roman"/>
          <w:bCs/>
          <w:lang w:eastAsia="zh-CN"/>
        </w:rPr>
      </w:pPr>
    </w:p>
    <w:p>
      <w:pPr>
        <w:rPr>
          <w:rFonts w:ascii="Times New Roman" w:hAnsi="Times New Roman" w:cs="Times New Roman"/>
          <w:b/>
          <w:lang w:eastAsia="zh-CN"/>
        </w:rPr>
        <w:sectPr>
          <w:pgSz w:w="12240" w:h="15840"/>
          <w:pgMar w:top="1440" w:right="1440" w:bottom="1440" w:left="1440" w:header="720" w:footer="720" w:gutter="0"/>
          <w:cols w:space="720" w:num="1"/>
          <w:docGrid w:linePitch="360" w:charSpace="0"/>
        </w:sectPr>
      </w:pPr>
    </w:p>
    <w:tbl>
      <w:tblPr>
        <w:tblStyle w:val="11"/>
        <w:tblW w:w="197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080"/>
        <w:gridCol w:w="990"/>
        <w:gridCol w:w="2944"/>
        <w:gridCol w:w="3240"/>
        <w:gridCol w:w="2160"/>
        <w:gridCol w:w="746"/>
        <w:gridCol w:w="1260"/>
        <w:gridCol w:w="1170"/>
        <w:gridCol w:w="900"/>
        <w:gridCol w:w="4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805" w:type="dxa"/>
            <w:shd w:val="clear" w:color="auto" w:fill="D9E2F3" w:themeFill="accent1" w:themeFillTint="3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>Param. ID</w:t>
            </w:r>
          </w:p>
        </w:tc>
        <w:tc>
          <w:tcPr>
            <w:tcW w:w="1080" w:type="dxa"/>
            <w:shd w:val="clear" w:color="auto" w:fill="D9E2F3" w:themeFill="accent1" w:themeFillTint="33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>Sub-feature group</w:t>
            </w:r>
          </w:p>
        </w:tc>
        <w:tc>
          <w:tcPr>
            <w:tcW w:w="990" w:type="dxa"/>
            <w:shd w:val="clear" w:color="auto" w:fill="D9E2F3" w:themeFill="accent1" w:themeFillTint="33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>New or existing parameter</w:t>
            </w:r>
          </w:p>
        </w:tc>
        <w:tc>
          <w:tcPr>
            <w:tcW w:w="2944" w:type="dxa"/>
            <w:shd w:val="clear" w:color="auto" w:fill="D9E2F3" w:themeFill="accent1" w:themeFillTint="33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>Parameter name in specification</w:t>
            </w:r>
          </w:p>
        </w:tc>
        <w:tc>
          <w:tcPr>
            <w:tcW w:w="3240" w:type="dxa"/>
            <w:shd w:val="clear" w:color="auto" w:fill="D9E2F3" w:themeFill="accent1" w:themeFillTint="3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>Description</w:t>
            </w:r>
          </w:p>
        </w:tc>
        <w:tc>
          <w:tcPr>
            <w:tcW w:w="2160" w:type="dxa"/>
            <w:shd w:val="clear" w:color="auto" w:fill="D9E2F3" w:themeFill="accent1" w:themeFillTint="33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>Value range</w:t>
            </w:r>
          </w:p>
        </w:tc>
        <w:tc>
          <w:tcPr>
            <w:tcW w:w="746" w:type="dxa"/>
            <w:shd w:val="clear" w:color="auto" w:fill="D9E2F3" w:themeFill="accent1" w:themeFillTint="3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>Default value</w:t>
            </w:r>
          </w:p>
        </w:tc>
        <w:tc>
          <w:tcPr>
            <w:tcW w:w="1260" w:type="dxa"/>
            <w:shd w:val="clear" w:color="auto" w:fill="D9E2F3" w:themeFill="accent1" w:themeFillTint="3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>IAB node specific/IAB nodes common</w:t>
            </w:r>
          </w:p>
        </w:tc>
        <w:tc>
          <w:tcPr>
            <w:tcW w:w="1170" w:type="dxa"/>
            <w:shd w:val="clear" w:color="auto" w:fill="D9E2F3" w:themeFill="accent1" w:themeFillTint="3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>Specification</w:t>
            </w:r>
          </w:p>
        </w:tc>
        <w:tc>
          <w:tcPr>
            <w:tcW w:w="900" w:type="dxa"/>
            <w:shd w:val="clear" w:color="auto" w:fill="D9E2F3" w:themeFill="accent1" w:themeFillTint="3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>Signaling</w:t>
            </w:r>
          </w:p>
        </w:tc>
        <w:tc>
          <w:tcPr>
            <w:tcW w:w="4491" w:type="dxa"/>
            <w:shd w:val="clear" w:color="auto" w:fill="D9E2F3" w:themeFill="accent1" w:themeFillTint="3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>Comment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P01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Resource multiplexing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New</w:t>
            </w:r>
          </w:p>
        </w:tc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zh-CN"/>
              </w:rPr>
            </w:pPr>
            <w:r>
              <w:rPr>
                <w:rStyle w:val="18"/>
                <w:sz w:val="16"/>
                <w:szCs w:val="16"/>
                <w:lang w:eastAsia="zh-CN"/>
              </w:rPr>
              <w:t xml:space="preserve">Rel-17 IAB-DU-Resource-Configuration-H/S/NA-Config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(final name in specification to be determined by RAN2/3)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Per-cell H/S/NA attributes per-resource type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{Hard, Soft, Not Available} per RB set, per resource type in a slot [TBD relative to </w:t>
            </w:r>
            <w:r>
              <w:rPr>
                <w:rStyle w:val="18"/>
                <w:sz w:val="16"/>
                <w:szCs w:val="16"/>
                <w:lang w:eastAsia="zh-CN"/>
              </w:rPr>
              <w:t>IAB-DU-Resource-Configuration-TDD-Config</w:t>
            </w:r>
            <w:r>
              <w:rPr>
                <w:rFonts w:eastAsia="Times New Roman"/>
              </w:rPr>
              <w:t>]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  <w:t>IAB node specific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14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zh-CN"/>
              </w:rPr>
            </w:pPr>
            <w:r>
              <w:rPr>
                <w:rStyle w:val="14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zh-CN"/>
              </w:rPr>
              <w:t>F1AP</w:t>
            </w:r>
          </w:p>
        </w:tc>
        <w:tc>
          <w:tcPr>
            <w:tcW w:w="4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RAN1 #105-e</w:t>
            </w:r>
          </w:p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green"/>
              </w:rPr>
              <w:t>Agreement</w:t>
            </w:r>
          </w:p>
          <w:p>
            <w:pPr>
              <w:contextualSpacing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For frequency domain multiplexing, H/S/NA configurations for an IAB-node are provided separately in addition to the Rel-16 H/S/NA</w:t>
            </w:r>
          </w:p>
          <w:p>
            <w:pPr>
              <w:contextualSpacing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>
            <w:pPr>
              <w:jc w:val="both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highlight w:val="green"/>
                <w:shd w:val="clear" w:color="auto" w:fill="FFFF00"/>
              </w:rPr>
              <w:t>Agreement</w:t>
            </w:r>
          </w:p>
          <w:p>
            <w:pPr>
              <w:jc w:val="both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If an IAB node is configured with a frequency-domain H/S/NA configuration down select between the following options:</w:t>
            </w:r>
          </w:p>
          <w:p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Alt. 1 Either the Rel-16 H/S/NA configuration or frequency domain configuration is applied for a given resource</w:t>
            </w:r>
          </w:p>
          <w:p>
            <w:pPr>
              <w:numPr>
                <w:ilvl w:val="1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FFS: Whether configurations are switched with per-slot, per-resource type within a slot, or per-symbol granularity</w:t>
            </w:r>
          </w:p>
          <w:p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Alt. 2 The Rel-16 H/S/NA configuration and frequency domain configuration are jointly applied</w:t>
            </w:r>
          </w:p>
          <w:p>
            <w:pPr>
              <w:contextualSpacing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u w:val="single"/>
              </w:rPr>
              <w:t>RAN1 #106-e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u w:val="single"/>
              </w:rPr>
            </w:pPr>
          </w:p>
          <w:p>
            <w:pPr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Agreement</w:t>
            </w:r>
          </w:p>
          <w:p>
            <w:pPr>
              <w:rPr>
                <w:rStyle w:val="14"/>
                <w:rFonts w:ascii="Times New Roman" w:hAnsi="Times New Roman" w:cs="Times New Roman"/>
                <w:sz w:val="16"/>
                <w:szCs w:val="16"/>
                <w:u w:val="single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The semi-static configuration of H/S/NA resource type in frequency domain is provided per RB set, per D/U/F resource type within a slot.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P02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Resource multiplexing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New</w:t>
            </w:r>
          </w:p>
        </w:tc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zh-CN"/>
              </w:rPr>
            </w:pPr>
            <w:r>
              <w:rPr>
                <w:rStyle w:val="18"/>
                <w:sz w:val="16"/>
                <w:szCs w:val="16"/>
                <w:lang w:eastAsia="zh-CN"/>
              </w:rPr>
              <w:t>RB Set Configuration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eastAsia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  <w:t>Indicates the RB set size in number of PRBs used for frequency domain multiplexing between given IAB-DU and IAB-MT cells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  <w:t>•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  <w:tab/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  <w:t>List of values {2, 4, 8, 16, 32, 64}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  <w:t>•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  <w:tab/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  <w:t>FFS: Value(s) in case of multiple configured BWPs at the IAB-MT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  <w:t>IAB node specific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14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zh-CN"/>
              </w:rPr>
            </w:pPr>
            <w:r>
              <w:rPr>
                <w:rStyle w:val="14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zh-CN"/>
              </w:rPr>
              <w:t>F1AP</w:t>
            </w:r>
          </w:p>
        </w:tc>
        <w:tc>
          <w:tcPr>
            <w:tcW w:w="4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u w:val="single"/>
              </w:rPr>
              <w:t>RAN1 #106-e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</w:p>
          <w:p>
            <w:pPr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Agreement</w:t>
            </w:r>
          </w:p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 is a configured number of PRBs, where the CU configures N</w:t>
            </w:r>
          </w:p>
          <w:p>
            <w:pPr>
              <w:pStyle w:val="21"/>
              <w:numPr>
                <w:ilvl w:val="0"/>
                <w:numId w:val="2"/>
              </w:numPr>
              <w:autoSpaceDE/>
              <w:adjustRightInd/>
              <w:snapToGrid/>
              <w:spacing w:after="0" w:line="256" w:lineRule="auto"/>
              <w:ind w:firstLineChars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{2, 4, 8, 16, 32, 64}</w:t>
            </w:r>
          </w:p>
          <w:p>
            <w:pPr>
              <w:pStyle w:val="21"/>
              <w:numPr>
                <w:ilvl w:val="0"/>
                <w:numId w:val="3"/>
              </w:numPr>
              <w:autoSpaceDE/>
              <w:adjustRightInd/>
              <w:snapToGrid/>
              <w:spacing w:after="0" w:line="256" w:lineRule="auto"/>
              <w:ind w:firstLineChars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FFS: Value(s) of N in case of multiple configured BWPs at the IAB-MT</w:t>
            </w:r>
          </w:p>
          <w:p>
            <w:pPr>
              <w:pStyle w:val="21"/>
              <w:numPr>
                <w:ilvl w:val="0"/>
                <w:numId w:val="3"/>
              </w:numPr>
              <w:autoSpaceDE/>
              <w:adjustRightInd/>
              <w:snapToGrid/>
              <w:spacing w:after="0" w:line="256" w:lineRule="auto"/>
              <w:ind w:firstLineChars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This agreement does not revert any existing RAN1 agreement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</w:pPr>
          </w:p>
          <w:p>
            <w:pPr>
              <w:rPr>
                <w:rStyle w:val="14"/>
                <w:rFonts w:ascii="Times New Roman" w:hAnsi="Times New Roman" w:cs="Times New Roman"/>
                <w:sz w:val="16"/>
                <w:szCs w:val="16"/>
                <w:u w:val="single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Requires intra/inter CU coordination: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P03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Resource multiplexing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New</w:t>
            </w:r>
          </w:p>
        </w:tc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zh-CN"/>
              </w:rPr>
            </w:pPr>
            <w:r>
              <w:rPr>
                <w:rStyle w:val="18"/>
                <w:sz w:val="16"/>
                <w:szCs w:val="16"/>
                <w:lang w:eastAsia="zh-CN"/>
              </w:rPr>
              <w:t>Frequency Domain H/S/NA Configuration Reference SCS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  <w:t xml:space="preserve">Indicates reference SCS to be applied to </w:t>
            </w:r>
            <w:r>
              <w:rPr>
                <w:rStyle w:val="18"/>
                <w:sz w:val="16"/>
                <w:szCs w:val="16"/>
                <w:lang w:eastAsia="zh-CN"/>
              </w:rPr>
              <w:t>Rel-17 IAB-DU-Resource-Configuration-H/S/NA-Config at the IAB-DU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FR1: {15kHz, 30kHz, 60kHz}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FR2: {60kHz, 120kHz}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  <w:t>IAB node specific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14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zh-CN"/>
              </w:rPr>
            </w:pPr>
            <w:r>
              <w:rPr>
                <w:rStyle w:val="14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zh-CN"/>
              </w:rPr>
              <w:t>F1AP</w:t>
            </w:r>
          </w:p>
        </w:tc>
        <w:tc>
          <w:tcPr>
            <w:tcW w:w="4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u w:val="single"/>
              </w:rPr>
              <w:t>RAN1 #106-e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</w:p>
          <w:p>
            <w:pPr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Agreement</w:t>
            </w:r>
          </w:p>
          <w:p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 Reference SCS is configured for frequency domain H/S/NA configuration.</w:t>
            </w:r>
          </w:p>
          <w:p>
            <w:pPr>
              <w:rPr>
                <w:rStyle w:val="14"/>
                <w:rFonts w:ascii="Times New Roman" w:hAnsi="Times New Roman" w:cs="Times New Roman"/>
                <w:sz w:val="16"/>
                <w:szCs w:val="16"/>
                <w:u w:val="single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Requires intra/inter CU coordination: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P04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Resource multiplexing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New</w:t>
            </w:r>
          </w:p>
        </w:tc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zh-CN"/>
              </w:rPr>
            </w:pPr>
            <w:r>
              <w:rPr>
                <w:rStyle w:val="18"/>
                <w:sz w:val="16"/>
                <w:szCs w:val="16"/>
                <w:lang w:eastAsia="zh-CN"/>
              </w:rPr>
              <w:t>Peer Parent DU Resource Configuration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  <w:t>Indicates the DU resource configuration (UL/DL/FL, H/S/NA) of the other peer parent node that connects to the same IAB-node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Style w:val="18"/>
                <w:sz w:val="16"/>
                <w:szCs w:val="16"/>
                <w:lang w:eastAsia="zh-CN"/>
              </w:rPr>
              <w:t>IAB-DU-Resource-Configuration-TDD-Config + Frequency Domain H/S/NA Configuration Reference SCS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  <w:t>IAB node specific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14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zh-CN"/>
              </w:rPr>
            </w:pPr>
            <w:r>
              <w:rPr>
                <w:rStyle w:val="14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zh-CN"/>
              </w:rPr>
              <w:t>F1AP and Xn</w:t>
            </w:r>
          </w:p>
        </w:tc>
        <w:tc>
          <w:tcPr>
            <w:tcW w:w="4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u w:val="single"/>
              </w:rPr>
              <w:t>RAN1 #106-e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</w:p>
          <w:p>
            <w:pPr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Agreement</w:t>
            </w:r>
          </w:p>
          <w:p>
            <w:pPr>
              <w:contextualSpacing/>
              <w:rPr>
                <w:rFonts w:ascii="Times New Roman" w:hAnsi="Times New Roman" w:eastAsia="Calibr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Calibri" w:cs="Times New Roman"/>
                <w:bCs/>
                <w:sz w:val="16"/>
                <w:szCs w:val="16"/>
              </w:rPr>
              <w:t>For intra-donor and inter-donor DC scenarios, in addition to coordination at the donor CU(s), a parent-node can be made aware of the DU resource configuration (UL/DL/FL, H/S/NA) of the other peer parent node that connects to the same IAB-node.</w:t>
            </w:r>
          </w:p>
          <w:p>
            <w:pPr>
              <w:rPr>
                <w:rStyle w:val="14"/>
                <w:rFonts w:ascii="Times New Roman" w:hAnsi="Times New Roman" w:cs="Times New Roman"/>
                <w:sz w:val="16"/>
                <w:szCs w:val="16"/>
                <w:u w:val="singl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P05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Resource multiplexing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New</w:t>
            </w:r>
          </w:p>
        </w:tc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zh-CN"/>
              </w:rPr>
            </w:pPr>
            <w:r>
              <w:rPr>
                <w:rStyle w:val="18"/>
                <w:sz w:val="16"/>
                <w:szCs w:val="16"/>
                <w:lang w:eastAsia="zh-CN"/>
              </w:rPr>
              <w:t>Peer Parent Common Resource Configuration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  <w:t>Indicates the semi-static and/or cell-common higher layer configuration (e.g. SSB, CORESET 0, and RACH and configurations) from/for different parent nodes.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TBD (at least 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  <w:t>cell-common higher layer configuration (e.g. SSB, CORESET 0, and RACH and configurations)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  <w:t>IAB node specific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14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zh-CN"/>
              </w:rPr>
            </w:pPr>
            <w:r>
              <w:rPr>
                <w:rStyle w:val="14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zh-CN"/>
              </w:rPr>
              <w:t>F1AP and Xn</w:t>
            </w:r>
          </w:p>
        </w:tc>
        <w:tc>
          <w:tcPr>
            <w:tcW w:w="4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u w:val="single"/>
              </w:rPr>
              <w:t>RAN1 #106-e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</w:p>
          <w:p>
            <w:pPr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Agreement</w:t>
            </w:r>
          </w:p>
          <w:p>
            <w:pPr>
              <w:contextualSpacing/>
              <w:rPr>
                <w:rFonts w:ascii="Times New Roman" w:hAnsi="Times New Roman" w:eastAsia="Calibri" w:cs="Times New Roman"/>
                <w:bCs/>
                <w:sz w:val="16"/>
                <w:szCs w:val="16"/>
              </w:rPr>
            </w:pPr>
          </w:p>
          <w:p>
            <w:pPr>
              <w:contextualSpacing/>
              <w:rPr>
                <w:rFonts w:ascii="Times New Roman" w:hAnsi="Times New Roman" w:eastAsia="Calibr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Calibri" w:cs="Times New Roman"/>
                <w:bCs/>
                <w:sz w:val="16"/>
                <w:szCs w:val="16"/>
              </w:rPr>
              <w:t>For intra-donor and inter-donor DC scenarios, coordinating the semi-static and/or cell-common higher layer configuration (e.g. SSB, CORESET 0, and RACH and configurations) from/for different parent nodes.</w:t>
            </w:r>
          </w:p>
          <w:p>
            <w:pPr>
              <w:rPr>
                <w:rStyle w:val="14"/>
                <w:rFonts w:ascii="Times New Roman" w:hAnsi="Times New Roman" w:cs="Times New Roman"/>
                <w:sz w:val="16"/>
                <w:szCs w:val="16"/>
                <w:u w:val="singl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P06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Resource multiplexing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New</w:t>
            </w:r>
          </w:p>
        </w:tc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zh-CN"/>
              </w:rPr>
            </w:pPr>
            <w:r>
              <w:rPr>
                <w:rStyle w:val="18"/>
                <w:sz w:val="16"/>
                <w:szCs w:val="16"/>
                <w:lang w:eastAsia="zh-CN"/>
              </w:rPr>
              <w:t xml:space="preserve">Rel-17 IAB-DU-Resource-Configuration-H/S/NA-Config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(final name in specification to be determined by RAN2/3)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Per-cell H/S/NA attributes per-resource type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{Hard, Soft, Not Available} per RB set, per resource type in a slot [TBD relative to </w:t>
            </w:r>
            <w:r>
              <w:rPr>
                <w:rStyle w:val="18"/>
                <w:sz w:val="16"/>
                <w:szCs w:val="16"/>
                <w:lang w:eastAsia="zh-CN"/>
              </w:rPr>
              <w:t>IAB-DU-Resource-Configuration-TDD-Config</w:t>
            </w:r>
            <w:r>
              <w:rPr>
                <w:rFonts w:eastAsia="Times New Roman"/>
              </w:rPr>
              <w:t>]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  <w:t>IAB node specific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14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zh-CN"/>
              </w:rPr>
            </w:pPr>
            <w:r>
              <w:rPr>
                <w:rStyle w:val="14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zh-CN"/>
              </w:rPr>
              <w:t>F1AP</w:t>
            </w:r>
          </w:p>
        </w:tc>
        <w:tc>
          <w:tcPr>
            <w:tcW w:w="4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snapToGrid w:val="0"/>
              <w:spacing w:before="120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RAN1 #105-e</w:t>
            </w:r>
          </w:p>
          <w:p>
            <w:pPr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Agreement</w:t>
            </w:r>
          </w:p>
          <w:p>
            <w:pPr>
              <w:contextualSpacing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For frequency domain multiplexing, H/S/NA configurations for an IAB-node are provided separately in addition to the Rel-16 H/S/NA</w:t>
            </w:r>
          </w:p>
          <w:p>
            <w:pPr>
              <w:contextualSpacing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>
            <w:pPr>
              <w:jc w:val="both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highlight w:val="green"/>
                <w:shd w:val="clear" w:color="auto" w:fill="FFFF00"/>
              </w:rPr>
              <w:t>Agreement</w:t>
            </w:r>
          </w:p>
          <w:p>
            <w:pPr>
              <w:jc w:val="both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If an IAB node is configured with a frequency-domain H/S/NA configuration down select between the following options:</w:t>
            </w:r>
          </w:p>
          <w:p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Alt. 1 Either the Rel-16 H/S/NA configuration or frequency domain configuration is applied for a given resource</w:t>
            </w:r>
          </w:p>
          <w:p>
            <w:pPr>
              <w:numPr>
                <w:ilvl w:val="1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FFS: Whether configurations are switched with per-slot, per-resource type within a slot, or per-symbol granularity</w:t>
            </w:r>
          </w:p>
          <w:p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Alt. 2 The Rel-16 H/S/NA configuration and frequency domain configuration are jointly applied</w:t>
            </w:r>
          </w:p>
          <w:p>
            <w:pPr>
              <w:contextualSpacing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u w:val="single"/>
              </w:rPr>
              <w:t>RAN1 #106-e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</w:p>
          <w:p>
            <w:pPr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Agreement</w:t>
            </w:r>
          </w:p>
          <w:p>
            <w:pPr>
              <w:rPr>
                <w:rStyle w:val="14"/>
                <w:rFonts w:ascii="Times New Roman" w:hAnsi="Times New Roman" w:cs="Times New Roman"/>
                <w:sz w:val="16"/>
                <w:szCs w:val="16"/>
                <w:u w:val="single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The semi-static configuration of H/S/NA resource type in frequency domain is provided per RB set, per D/U/F resource type within a slot.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P07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Resource multiplexing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New</w:t>
            </w:r>
          </w:p>
        </w:tc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zh-CN"/>
              </w:rPr>
            </w:pPr>
            <w:r>
              <w:rPr>
                <w:rStyle w:val="18"/>
                <w:sz w:val="16"/>
                <w:szCs w:val="16"/>
                <w:lang w:eastAsia="zh-CN"/>
              </w:rPr>
              <w:t>RB Set Configuration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eastAsia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  <w:t>Indicates the RB set size in number of PRBs used for frequency domain multiplexing between given IAB-DU and IAB-MT cells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  <w:t>• List of values {2, 4, 8, 16, 32, 64}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  <w:t>• FFS: Value(s) in case of multiple configured BWPs at the IAB-MT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  <w:t>IAB node specific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14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zh-CN"/>
              </w:rPr>
            </w:pPr>
            <w:r>
              <w:rPr>
                <w:rStyle w:val="14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zh-CN"/>
              </w:rPr>
              <w:t>F1AP</w:t>
            </w:r>
          </w:p>
        </w:tc>
        <w:tc>
          <w:tcPr>
            <w:tcW w:w="4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u w:val="single"/>
              </w:rPr>
              <w:t>RAN1 #106-e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</w:p>
          <w:p>
            <w:pPr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Agreement</w:t>
            </w:r>
          </w:p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 is a configured number of PRBs, where the CU configures N</w:t>
            </w:r>
          </w:p>
          <w:p>
            <w:pPr>
              <w:pStyle w:val="21"/>
              <w:numPr>
                <w:ilvl w:val="0"/>
                <w:numId w:val="2"/>
              </w:numPr>
              <w:autoSpaceDE/>
              <w:adjustRightInd/>
              <w:snapToGrid/>
              <w:spacing w:after="0" w:line="256" w:lineRule="auto"/>
              <w:ind w:firstLineChars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{2, 4, 8, 16, 32, 64}</w:t>
            </w:r>
          </w:p>
          <w:p>
            <w:pPr>
              <w:pStyle w:val="21"/>
              <w:numPr>
                <w:ilvl w:val="0"/>
                <w:numId w:val="3"/>
              </w:numPr>
              <w:autoSpaceDE/>
              <w:adjustRightInd/>
              <w:snapToGrid/>
              <w:spacing w:after="0" w:line="256" w:lineRule="auto"/>
              <w:ind w:firstLineChars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FFS: Value(s) of N in case of multiple configured BWPs at the IAB-MT</w:t>
            </w:r>
          </w:p>
          <w:p>
            <w:pPr>
              <w:pStyle w:val="21"/>
              <w:numPr>
                <w:ilvl w:val="0"/>
                <w:numId w:val="3"/>
              </w:numPr>
              <w:autoSpaceDE/>
              <w:adjustRightInd/>
              <w:snapToGrid/>
              <w:spacing w:after="0" w:line="256" w:lineRule="auto"/>
              <w:ind w:firstLineChars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This agreement does not revert any existing RAN1 agreement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</w:pPr>
          </w:p>
          <w:p>
            <w:pPr>
              <w:rPr>
                <w:rStyle w:val="14"/>
                <w:rFonts w:ascii="Times New Roman" w:hAnsi="Times New Roman" w:cs="Times New Roman"/>
                <w:sz w:val="16"/>
                <w:szCs w:val="16"/>
                <w:u w:val="single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Requires intra/inter CU coordination: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P08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Resource multiplexing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New</w:t>
            </w:r>
          </w:p>
        </w:tc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zh-CN"/>
              </w:rPr>
            </w:pPr>
            <w:r>
              <w:rPr>
                <w:rStyle w:val="18"/>
                <w:sz w:val="16"/>
                <w:szCs w:val="16"/>
                <w:lang w:eastAsia="zh-CN"/>
              </w:rPr>
              <w:t>Frequency Domain H/S/NA Configuration Reference SCS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  <w:t xml:space="preserve">Indicates reference SCS to be applied to </w:t>
            </w:r>
            <w:r>
              <w:rPr>
                <w:rStyle w:val="18"/>
                <w:sz w:val="16"/>
                <w:szCs w:val="16"/>
                <w:lang w:eastAsia="zh-CN"/>
              </w:rPr>
              <w:t>Rel-17 IAB-DU-Resource-Configuration-H/S/NA-Config at the IAB-DU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FR1: {15kHz, 30kHz, 60kHz}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FR2: {60kHz, 120kHz}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  <w:t>IAB node specific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14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zh-CN"/>
              </w:rPr>
            </w:pPr>
            <w:r>
              <w:rPr>
                <w:rStyle w:val="14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zh-CN"/>
              </w:rPr>
              <w:t>F1AP</w:t>
            </w:r>
          </w:p>
        </w:tc>
        <w:tc>
          <w:tcPr>
            <w:tcW w:w="4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u w:val="single"/>
              </w:rPr>
              <w:t>RAN1 #106-e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</w:p>
          <w:p>
            <w:pPr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Agreement</w:t>
            </w:r>
          </w:p>
          <w:p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 Reference SCS is configured for frequency domain H/S/NA configuration.</w:t>
            </w:r>
          </w:p>
          <w:p>
            <w:pPr>
              <w:rPr>
                <w:rStyle w:val="14"/>
                <w:rFonts w:ascii="Times New Roman" w:hAnsi="Times New Roman" w:cs="Times New Roman"/>
                <w:sz w:val="16"/>
                <w:szCs w:val="16"/>
                <w:u w:val="single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Requires intra/inter CU coordination: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P09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Resource multiplexing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New</w:t>
            </w:r>
          </w:p>
        </w:tc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zh-CN"/>
              </w:rPr>
            </w:pPr>
            <w:r>
              <w:rPr>
                <w:rStyle w:val="18"/>
                <w:sz w:val="16"/>
                <w:szCs w:val="16"/>
                <w:lang w:eastAsia="zh-CN"/>
              </w:rPr>
              <w:t>Peer Parent DU Resource Configuration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  <w:t>Indicates the DU resource configuration (UL/DL/FL, H/S/NA) of the other peer parent node that connects to the same IAB-node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Style w:val="18"/>
                <w:sz w:val="16"/>
                <w:szCs w:val="16"/>
                <w:lang w:eastAsia="zh-CN"/>
              </w:rPr>
              <w:t>IAB-DU-Resource-Configuration-TDD-Config + Frequency Domain H/S/NA Configuration Reference SCS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  <w:t>IAB node specific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14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zh-CN"/>
              </w:rPr>
            </w:pPr>
            <w:r>
              <w:rPr>
                <w:rStyle w:val="14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zh-CN"/>
              </w:rPr>
              <w:t>F1AP</w:t>
            </w:r>
          </w:p>
        </w:tc>
        <w:tc>
          <w:tcPr>
            <w:tcW w:w="4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u w:val="single"/>
              </w:rPr>
              <w:t>RAN1 #106-e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</w:p>
          <w:p>
            <w:pPr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Agreement</w:t>
            </w:r>
          </w:p>
          <w:p>
            <w:pPr>
              <w:contextualSpacing/>
              <w:rPr>
                <w:rStyle w:val="14"/>
                <w:rFonts w:ascii="Times New Roman" w:hAnsi="Times New Roman" w:eastAsia="Calibri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eastAsia="Calibri" w:cs="Times New Roman"/>
                <w:bCs/>
                <w:sz w:val="16"/>
                <w:szCs w:val="16"/>
              </w:rPr>
              <w:t>For intra-donor and inter-donor DC scenarios, in addition to coordination at the donor CU(s), a parent-node can be made aware of the DU resource configuration (UL/DL/FL, H/S/NA) of the other peer parent node that connects to the same IAB-node.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P10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Resource multiplexing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New</w:t>
            </w:r>
          </w:p>
        </w:tc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zh-CN"/>
              </w:rPr>
            </w:pPr>
            <w:r>
              <w:rPr>
                <w:rStyle w:val="18"/>
                <w:sz w:val="16"/>
                <w:szCs w:val="16"/>
                <w:lang w:eastAsia="zh-CN"/>
              </w:rPr>
              <w:t>Rel-17 Desired Guard Symbols</w:t>
            </w:r>
            <w:r>
              <w:rPr>
                <w:rStyle w:val="18"/>
                <w:lang w:eastAsia="zh-CN"/>
              </w:rPr>
              <w:t xml:space="preserve"> 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Number of symbols the IAB node would like the parent IAB node not to use at the edge (beginning or end) of a slot for Case #6 and Case #7 timing cases when there is a transition between the IAB node MT and DU per cell 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FFS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  <w:t>IAB node specific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Resource multiplexing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Style w:val="14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zh-CN"/>
              </w:rPr>
            </w:pPr>
            <w:r>
              <w:rPr>
                <w:rStyle w:val="14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zh-CN"/>
              </w:rPr>
              <w:t>MAC-CE</w:t>
            </w:r>
          </w:p>
        </w:tc>
        <w:tc>
          <w:tcPr>
            <w:tcW w:w="4491" w:type="dxa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u w:val="single"/>
              </w:rPr>
              <w:t>RAN1 #106-e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u w:val="single"/>
              </w:rPr>
            </w:pPr>
          </w:p>
          <w:p>
            <w:pPr>
              <w:shd w:val="clear" w:color="auto" w:fill="FFFFFF"/>
              <w:spacing w:line="256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222222"/>
                <w:sz w:val="16"/>
                <w:szCs w:val="16"/>
                <w:shd w:val="clear" w:color="auto" w:fill="00FF00"/>
                <w:lang w:eastAsia="ko-K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22222"/>
                <w:sz w:val="16"/>
                <w:szCs w:val="16"/>
                <w:shd w:val="clear" w:color="auto" w:fill="00FF00"/>
                <w:lang w:eastAsia="ko-KR"/>
              </w:rPr>
              <w:t>Agreement</w:t>
            </w:r>
          </w:p>
          <w:p>
            <w:pPr>
              <w:shd w:val="clear" w:color="auto" w:fill="FFFFFF"/>
              <w:spacing w:line="256" w:lineRule="auto"/>
              <w:jc w:val="both"/>
              <w:rPr>
                <w:rFonts w:ascii="Times New Roman" w:hAnsi="Times New Roman" w:eastAsia="Times New Roman" w:cs="Times New Roman"/>
                <w:color w:val="222222"/>
                <w:sz w:val="16"/>
                <w:szCs w:val="16"/>
                <w:lang w:eastAsia="ko-KR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16"/>
                <w:szCs w:val="16"/>
                <w:lang w:eastAsia="ko-KR"/>
              </w:rPr>
              <w:t>MAC-CE signaling of Desired/Provided Guard Symbols is enhanced (e.g. using the same Rel-16 MAC-CE design) to support indication of guard symbols additionally required for Case #6 and Case #7 timing cases.</w:t>
            </w:r>
          </w:p>
          <w:p>
            <w:pPr>
              <w:numPr>
                <w:ilvl w:val="0"/>
                <w:numId w:val="4"/>
              </w:numPr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Calibri" w:cs="Times New Roman"/>
                <w:bCs/>
                <w:sz w:val="16"/>
                <w:szCs w:val="16"/>
              </w:rPr>
              <w:t>FFS: Number of guard symbols associated with Case #6 and Case #7 timing modes</w:t>
            </w:r>
          </w:p>
          <w:p>
            <w:pPr>
              <w:numPr>
                <w:ilvl w:val="0"/>
                <w:numId w:val="4"/>
              </w:numPr>
              <w:autoSpaceDN w:val="0"/>
              <w:spacing w:after="0" w:line="240" w:lineRule="auto"/>
              <w:contextualSpacing/>
              <w:jc w:val="both"/>
              <w:rPr>
                <w:rStyle w:val="14"/>
                <w:rFonts w:ascii="Times New Roman" w:hAnsi="Times New Roman" w:eastAsia="Calibri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eastAsia="Calibri" w:cs="Times New Roman"/>
                <w:bCs/>
                <w:sz w:val="16"/>
                <w:szCs w:val="16"/>
              </w:rPr>
              <w:t>FFS: Need for explicit indication of guard symbols switching between timing cases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P11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Resource multiplexing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New</w:t>
            </w:r>
          </w:p>
        </w:tc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zh-CN"/>
              </w:rPr>
            </w:pPr>
            <w:r>
              <w:rPr>
                <w:rStyle w:val="18"/>
                <w:sz w:val="16"/>
                <w:szCs w:val="16"/>
                <w:lang w:eastAsia="zh-CN"/>
              </w:rPr>
              <w:t>Rel-17 Pr</w:t>
            </w:r>
            <w:r>
              <w:rPr>
                <w:rStyle w:val="17"/>
                <w:sz w:val="16"/>
                <w:szCs w:val="16"/>
                <w:lang w:eastAsia="zh-CN"/>
              </w:rPr>
              <w:t>o</w:t>
            </w:r>
            <w:r>
              <w:rPr>
                <w:rStyle w:val="18"/>
                <w:sz w:val="16"/>
                <w:szCs w:val="16"/>
                <w:lang w:eastAsia="zh-CN"/>
              </w:rPr>
              <w:t>vided Guard Symbols</w:t>
            </w:r>
            <w:r>
              <w:rPr>
                <w:rStyle w:val="18"/>
                <w:lang w:eastAsia="zh-CN"/>
              </w:rPr>
              <w:t xml:space="preserve"> 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Number of symbols the IAB node uses at the edge (beginning or end) of a slot for Case #6 and Case #7 timing cases when there is a transition between the IAB node MT and DU at the child node per cell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FFS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  <w:t>IAB node specific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Resource multiplexing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Style w:val="14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zh-CN"/>
              </w:rPr>
            </w:pPr>
            <w:r>
              <w:rPr>
                <w:rStyle w:val="14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zh-CN"/>
              </w:rPr>
              <w:t>MAC-CE</w:t>
            </w:r>
          </w:p>
        </w:tc>
        <w:tc>
          <w:tcPr>
            <w:tcW w:w="4491" w:type="dxa"/>
            <w:vMerge w:val="continue"/>
            <w:shd w:val="clear" w:color="auto" w:fill="auto"/>
            <w:vAlign w:val="center"/>
          </w:tcPr>
          <w:p>
            <w:pPr>
              <w:rPr>
                <w:rStyle w:val="14"/>
                <w:rFonts w:ascii="Times New Roman" w:hAnsi="Times New Roman" w:cs="Times New Roman"/>
                <w:sz w:val="16"/>
                <w:szCs w:val="16"/>
                <w:u w:val="singl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P12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Resource multiplexing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New</w:t>
            </w:r>
          </w:p>
        </w:tc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zh-CN"/>
              </w:rPr>
            </w:pPr>
            <w:r>
              <w:rPr>
                <w:rStyle w:val="18"/>
                <w:sz w:val="16"/>
                <w:szCs w:val="16"/>
                <w:lang w:eastAsia="zh-CN"/>
              </w:rPr>
              <w:t>Simultaneous Operation Beam Indication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Signaling from a parent node to a child node indicating beams of an IAB-DU in the direction of which simultaneous operation is restricted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FFS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  <w:t>IAB node specific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Resource multiplexing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Style w:val="14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zh-CN"/>
              </w:rPr>
            </w:pPr>
            <w:r>
              <w:rPr>
                <w:rStyle w:val="14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zh-CN"/>
              </w:rPr>
              <w:t>MAC-CE</w:t>
            </w:r>
          </w:p>
        </w:tc>
        <w:tc>
          <w:tcPr>
            <w:tcW w:w="4491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u w:val="single"/>
              </w:rPr>
              <w:t>RAN1 #106-e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u w:val="single"/>
              </w:rPr>
            </w:pPr>
          </w:p>
          <w:p>
            <w:pPr>
              <w:spacing w:line="256" w:lineRule="auto"/>
              <w:rPr>
                <w:rFonts w:ascii="Times New Roman" w:hAnsi="Times New Roman" w:eastAsia="宋体" w:cs="Times New Roman"/>
                <w:b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eastAsia="等线" w:cs="Times New Roman"/>
                <w:b/>
                <w:sz w:val="16"/>
                <w:szCs w:val="16"/>
                <w:highlight w:val="green"/>
                <w:lang w:eastAsia="zh-CN"/>
              </w:rPr>
              <w:t>Agreement</w:t>
            </w:r>
          </w:p>
          <w:p>
            <w:pPr>
              <w:spacing w:line="256" w:lineRule="auto"/>
              <w:rPr>
                <w:rFonts w:ascii="Times New Roman" w:hAnsi="Times New Roman" w:eastAsia="等线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eastAsia="等线" w:cs="Times New Roman"/>
                <w:bCs/>
                <w:sz w:val="16"/>
                <w:szCs w:val="16"/>
                <w:lang w:eastAsia="zh-CN"/>
              </w:rPr>
              <w:t>MAC-CE signaling from a parent node is supported for indication of beams of an IAB-DU in the direction of which simultaneous operation is restricted</w:t>
            </w:r>
          </w:p>
          <w:p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zh-CN"/>
              </w:rPr>
              <w:t>FFS: Details of beam indication (e.g. TCI state ID, Spatial relation information ID, RS ID (including CSI-RS, SRS, SSB, etc.))</w:t>
            </w:r>
          </w:p>
          <w:p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zh-CN"/>
              </w:rPr>
              <w:t>FFS: Applicability to other beams</w:t>
            </w:r>
          </w:p>
          <w:p>
            <w:pPr>
              <w:spacing w:after="0" w:line="240" w:lineRule="auto"/>
              <w:rPr>
                <w:bCs/>
              </w:rPr>
            </w:pPr>
          </w:p>
          <w:p>
            <w:pPr>
              <w:spacing w:after="0" w:line="240" w:lineRule="auto"/>
              <w:rPr>
                <w:rStyle w:val="14"/>
                <w:rFonts w:ascii="Times New Roman" w:hAnsi="Times New Roman" w:eastAsia="Times New Roman" w:cs="Times New Roman"/>
                <w:sz w:val="16"/>
                <w:szCs w:val="16"/>
                <w:lang w:eastAsia="zh-CN"/>
              </w:rPr>
            </w:pPr>
            <w:r>
              <w:rPr>
                <w:rStyle w:val="14"/>
                <w:rFonts w:ascii="Times New Roman" w:hAnsi="Times New Roman" w:eastAsia="Times New Roman" w:cs="Times New Roman"/>
                <w:sz w:val="16"/>
                <w:szCs w:val="16"/>
                <w:highlight w:val="green"/>
                <w:lang w:eastAsia="zh-CN"/>
              </w:rPr>
              <w:t>Agreement</w:t>
            </w:r>
          </w:p>
          <w:p>
            <w:pPr>
              <w:spacing w:after="0" w:line="240" w:lineRule="auto"/>
              <w:rPr>
                <w:rStyle w:val="14"/>
                <w:rFonts w:ascii="Times New Roman" w:hAnsi="Times New Roman" w:eastAsia="Times New Roman" w:cs="Times New Roman"/>
                <w:b w:val="0"/>
                <w:bCs w:val="0"/>
                <w:sz w:val="16"/>
                <w:szCs w:val="16"/>
                <w:lang w:eastAsia="zh-CN"/>
              </w:rPr>
            </w:pPr>
            <w:r>
              <w:rPr>
                <w:rStyle w:val="14"/>
                <w:rFonts w:ascii="Times New Roman" w:hAnsi="Times New Roman" w:eastAsia="Times New Roman" w:cs="Times New Roman"/>
                <w:b w:val="0"/>
                <w:bCs w:val="0"/>
                <w:sz w:val="16"/>
                <w:szCs w:val="16"/>
                <w:lang w:eastAsia="zh-CN"/>
              </w:rPr>
              <w:t>Spatial domain restrictions from a parent node or recommendations from a child node is limited to a subset of time resources in which simultaneous operation is applied.</w:t>
            </w:r>
          </w:p>
          <w:p>
            <w:pPr>
              <w:pStyle w:val="21"/>
              <w:numPr>
                <w:ilvl w:val="0"/>
                <w:numId w:val="6"/>
              </w:numPr>
              <w:spacing w:after="0"/>
              <w:ind w:firstLineChars="0"/>
              <w:rPr>
                <w:rStyle w:val="14"/>
                <w:rFonts w:eastAsia="Times New Roman"/>
                <w:b w:val="0"/>
                <w:bCs w:val="0"/>
                <w:sz w:val="16"/>
                <w:szCs w:val="16"/>
                <w:lang w:eastAsia="zh-CN"/>
              </w:rPr>
            </w:pPr>
            <w:r>
              <w:rPr>
                <w:rStyle w:val="14"/>
                <w:rFonts w:eastAsia="Times New Roman"/>
                <w:b w:val="0"/>
                <w:bCs w:val="0"/>
                <w:sz w:val="16"/>
                <w:szCs w:val="16"/>
                <w:lang w:eastAsia="zh-CN"/>
              </w:rPr>
              <w:t>FFS: Handling of frequency resources in case of FDM operation</w:t>
            </w:r>
          </w:p>
          <w:p>
            <w:pPr>
              <w:pStyle w:val="21"/>
              <w:numPr>
                <w:ilvl w:val="0"/>
                <w:numId w:val="6"/>
              </w:numPr>
              <w:spacing w:after="0"/>
              <w:ind w:firstLineChars="0"/>
              <w:rPr>
                <w:rStyle w:val="14"/>
                <w:rFonts w:eastAsia="Times New Roman"/>
                <w:b w:val="0"/>
                <w:bCs w:val="0"/>
                <w:sz w:val="16"/>
                <w:szCs w:val="16"/>
                <w:lang w:eastAsia="zh-CN"/>
              </w:rPr>
            </w:pPr>
            <w:r>
              <w:rPr>
                <w:rStyle w:val="14"/>
                <w:rFonts w:eastAsia="Times New Roman"/>
                <w:b w:val="0"/>
                <w:bCs w:val="0"/>
                <w:sz w:val="16"/>
                <w:szCs w:val="16"/>
                <w:lang w:eastAsia="zh-CN"/>
              </w:rPr>
              <w:t>FFS: Support for implicit/explicit indication of the simultaneous operation mode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P13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Interference management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Existing parameter</w:t>
            </w:r>
          </w:p>
        </w:tc>
        <w:tc>
          <w:tcPr>
            <w:tcW w:w="294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Style w:val="18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zh-CN"/>
              </w:rPr>
              <w:t>Intended TDD DL-UL Configuration</w:t>
            </w:r>
          </w:p>
        </w:tc>
        <w:tc>
          <w:tcPr>
            <w:tcW w:w="3240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Rel-16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zh-CN"/>
              </w:rPr>
              <w:t>Intended TDD DL-UL Configuration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 is extended to support IAB-specific UFD patterns.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Permutation: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GB"/>
              </w:rPr>
              <w:t>ENUMERATED (DFU, UFD, …)</w:t>
            </w:r>
          </w:p>
        </w:tc>
        <w:tc>
          <w:tcPr>
            <w:tcW w:w="746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GB"/>
              </w:rPr>
              <w:t>DFU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  <w:t>IAB node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Style w:val="14"/>
                <w:rFonts w:asciiTheme="majorBidi" w:hAnsiTheme="majorBidi" w:cstheme="majorBidi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Style w:val="14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zh-CN"/>
              </w:rPr>
              <w:t>F1AP and Xn</w:t>
            </w:r>
          </w:p>
        </w:tc>
        <w:tc>
          <w:tcPr>
            <w:tcW w:w="4491" w:type="dxa"/>
            <w:shd w:val="clear" w:color="auto" w:fill="auto"/>
            <w:vAlign w:val="center"/>
          </w:tcPr>
          <w:p>
            <w:pPr>
              <w:rPr>
                <w:rStyle w:val="14"/>
                <w:rFonts w:ascii="Times New Roman" w:hAnsi="Times New Roman" w:cs="Times New Roman"/>
                <w:sz w:val="16"/>
                <w:szCs w:val="16"/>
                <w:u w:val="single"/>
                <w:lang w:eastAsia="zh-CN"/>
              </w:rPr>
            </w:pPr>
            <w:r>
              <w:rPr>
                <w:rStyle w:val="14"/>
                <w:rFonts w:ascii="Times New Roman" w:hAnsi="Times New Roman" w:cs="Times New Roman"/>
                <w:sz w:val="16"/>
                <w:szCs w:val="16"/>
                <w:u w:val="single"/>
                <w:lang w:eastAsia="zh-CN"/>
              </w:rPr>
              <w:t>RAN1#105-e</w:t>
            </w:r>
          </w:p>
          <w:p>
            <w:pPr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green"/>
              </w:rPr>
              <w:t>Agreement</w:t>
            </w:r>
          </w:p>
          <w:p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Rel-16 CLI coordination signalling (Intended TDD DL-UL Configuration) is extended to support IAB specific UFD patterns.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FFS: Support the exchange of IAB-DU H/S/NA resource configuration information among neighbouring IAB-nodes/IAB-donors for CLI management purposes.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P14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Resource multiplexing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New</w:t>
            </w:r>
          </w:p>
        </w:tc>
        <w:tc>
          <w:tcPr>
            <w:tcW w:w="294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Style w:val="18"/>
                <w:sz w:val="16"/>
                <w:szCs w:val="16"/>
                <w:lang w:eastAsia="zh-CN"/>
              </w:rPr>
            </w:pPr>
            <w:r>
              <w:rPr>
                <w:rStyle w:val="18"/>
                <w:sz w:val="16"/>
                <w:szCs w:val="16"/>
                <w:lang w:eastAsia="zh-CN"/>
              </w:rPr>
              <w:t>Peer DU Resource Configuration</w:t>
            </w:r>
          </w:p>
        </w:tc>
        <w:tc>
          <w:tcPr>
            <w:tcW w:w="3240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  <w:t xml:space="preserve">Indicates the DU resource configuration (UL/DL/FL, H/S/NA) of the peer IAB-node or donor DU that can be used for interference management or resource coordination in case of DC.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Style w:val="18"/>
                <w:sz w:val="16"/>
                <w:szCs w:val="16"/>
                <w:lang w:eastAsia="zh-CN"/>
              </w:rPr>
              <w:t>IAB-DU-Resource-Configuration-TDD-Config + Frequency Domain H/S/NA Configuration Reference SCS</w:t>
            </w:r>
          </w:p>
        </w:tc>
        <w:tc>
          <w:tcPr>
            <w:tcW w:w="746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  <w:t>IAB node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Style w:val="14"/>
                <w:rFonts w:ascii="Times New Roman" w:hAnsi="Times New Roman" w:cs="Times New Roman"/>
                <w:b w:val="0"/>
                <w:bCs w:val="0"/>
                <w:sz w:val="16"/>
                <w:szCs w:val="16"/>
                <w:lang w:eastAsia="zh-CN"/>
              </w:rPr>
            </w:pPr>
            <w:r>
              <w:rPr>
                <w:rStyle w:val="14"/>
                <w:rFonts w:ascii="Times New Roman" w:hAnsi="Times New Roman" w:cs="Times New Roman"/>
                <w:b w:val="0"/>
                <w:bCs w:val="0"/>
                <w:sz w:val="16"/>
                <w:szCs w:val="16"/>
                <w:lang w:eastAsia="zh-CN"/>
              </w:rPr>
              <w:t>F1AP and Xn</w:t>
            </w:r>
          </w:p>
        </w:tc>
        <w:tc>
          <w:tcPr>
            <w:tcW w:w="4491" w:type="dxa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eastAsia="zh-CN"/>
              </w:rPr>
            </w:pPr>
            <w:r>
              <w:rPr>
                <w:rStyle w:val="14"/>
                <w:rFonts w:ascii="Times New Roman" w:hAnsi="Times New Roman" w:cs="Times New Roman"/>
                <w:sz w:val="16"/>
                <w:szCs w:val="16"/>
                <w:u w:val="single"/>
                <w:lang w:eastAsia="zh-CN"/>
              </w:rPr>
              <w:t>RAN1#106-e</w:t>
            </w:r>
          </w:p>
          <w:p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green"/>
              </w:rPr>
              <w:t>Agreement</w:t>
            </w:r>
          </w:p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Support the exchange of semi-static Rel-16 IAB-DU H/S/NA resource configuration information and Rel-17 frequency domain IAB-DU H/S/NA resource configuration information among neighbouring IAB-nodes/IAB-donors</w:t>
            </w:r>
          </w:p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Also related to parameter “</w:t>
            </w:r>
            <w:r>
              <w:rPr>
                <w:rStyle w:val="18"/>
                <w:sz w:val="16"/>
                <w:szCs w:val="16"/>
                <w:lang w:eastAsia="zh-CN"/>
              </w:rPr>
              <w:t>Peer Parent DU Resource Configuration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” as common signaling may be desirable.</w:t>
            </w:r>
          </w:p>
          <w:p>
            <w:pPr>
              <w:spacing w:after="0"/>
              <w:contextualSpacing/>
              <w:rPr>
                <w:rStyle w:val="14"/>
                <w:rFonts w:ascii="Times New Roman" w:hAnsi="Times New Roman" w:eastAsia="Calibri" w:cs="Times New Roman"/>
                <w:b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P15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Timing control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New</w:t>
            </w:r>
          </w:p>
        </w:tc>
        <w:tc>
          <w:tcPr>
            <w:tcW w:w="294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Style w:val="18"/>
                <w:sz w:val="16"/>
                <w:szCs w:val="16"/>
                <w:lang w:eastAsia="zh-CN"/>
              </w:rPr>
            </w:pPr>
            <w:r>
              <w:rPr>
                <w:rStyle w:val="18"/>
                <w:sz w:val="16"/>
                <w:szCs w:val="16"/>
                <w:lang w:eastAsia="zh-CN"/>
              </w:rPr>
              <w:t>Timing Case Indication</w:t>
            </w:r>
          </w:p>
        </w:tc>
        <w:tc>
          <w:tcPr>
            <w:tcW w:w="3240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  <w:t>The parent-node indicates to an IAB-node when (over which time resources) a timing case is performed, including:</w:t>
            </w:r>
          </w:p>
          <w:p>
            <w:pPr>
              <w:pStyle w:val="21"/>
              <w:numPr>
                <w:ilvl w:val="0"/>
                <w:numId w:val="7"/>
              </w:numPr>
              <w:spacing w:after="0"/>
              <w:ind w:firstLineChars="0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When Case 6 timing is performed at the IAB-node.</w:t>
            </w:r>
          </w:p>
          <w:p>
            <w:pPr>
              <w:pStyle w:val="21"/>
              <w:numPr>
                <w:ilvl w:val="0"/>
                <w:numId w:val="7"/>
              </w:numPr>
              <w:spacing w:after="0"/>
              <w:ind w:firstLineChars="0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When Case 7 timing is performed at the parent-node.</w:t>
            </w:r>
          </w:p>
          <w:p>
            <w:pPr>
              <w:pStyle w:val="21"/>
              <w:numPr>
                <w:ilvl w:val="0"/>
                <w:numId w:val="7"/>
              </w:numPr>
              <w:spacing w:after="0"/>
              <w:ind w:firstLineChars="0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 xml:space="preserve">[FFS] when Case 7 timing is performed at the IAB-node.  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Style w:val="18"/>
                <w:sz w:val="16"/>
                <w:szCs w:val="16"/>
                <w:lang w:eastAsia="zh-CN"/>
              </w:rPr>
            </w:pPr>
            <w:r>
              <w:rPr>
                <w:rStyle w:val="18"/>
                <w:sz w:val="16"/>
                <w:szCs w:val="16"/>
                <w:lang w:eastAsia="zh-CN"/>
              </w:rPr>
              <w:t>FFS</w:t>
            </w:r>
          </w:p>
        </w:tc>
        <w:tc>
          <w:tcPr>
            <w:tcW w:w="746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  <w:t>IAB node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Style w:val="14"/>
                <w:rFonts w:ascii="Times New Roman" w:hAnsi="Times New Roman" w:cs="Times New Roman"/>
                <w:b w:val="0"/>
                <w:bCs w:val="0"/>
                <w:sz w:val="16"/>
                <w:szCs w:val="16"/>
                <w:lang w:eastAsia="zh-CN"/>
              </w:rPr>
            </w:pPr>
            <w:r>
              <w:rPr>
                <w:rStyle w:val="14"/>
                <w:rFonts w:ascii="Times New Roman" w:hAnsi="Times New Roman" w:cs="Times New Roman"/>
                <w:b w:val="0"/>
                <w:bCs w:val="0"/>
                <w:sz w:val="16"/>
                <w:szCs w:val="16"/>
                <w:lang w:eastAsia="zh-CN"/>
              </w:rPr>
              <w:t>FFS</w:t>
            </w:r>
          </w:p>
        </w:tc>
        <w:tc>
          <w:tcPr>
            <w:tcW w:w="4491" w:type="dxa"/>
            <w:shd w:val="clear" w:color="auto" w:fill="auto"/>
          </w:tcPr>
          <w:p>
            <w:pPr>
              <w:rPr>
                <w:rStyle w:val="14"/>
                <w:rFonts w:ascii="Times New Roman" w:hAnsi="Times New Roman" w:cs="Times New Roman"/>
                <w:sz w:val="16"/>
                <w:szCs w:val="16"/>
                <w:u w:val="single"/>
                <w:lang w:eastAsia="zh-CN"/>
              </w:rPr>
            </w:pPr>
            <w:r>
              <w:rPr>
                <w:rStyle w:val="14"/>
                <w:rFonts w:ascii="Times New Roman" w:hAnsi="Times New Roman" w:cs="Times New Roman"/>
                <w:sz w:val="16"/>
                <w:szCs w:val="16"/>
                <w:u w:val="single"/>
                <w:lang w:eastAsia="zh-CN"/>
              </w:rPr>
              <w:t>RAN1#104-e</w:t>
            </w:r>
          </w:p>
          <w:p>
            <w:pP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Style w:val="14"/>
                <w:rFonts w:ascii="Times New Roman" w:hAnsi="Times New Roman" w:cs="Times New Roman"/>
                <w:sz w:val="16"/>
                <w:szCs w:val="16"/>
                <w:highlight w:val="green"/>
                <w:lang w:eastAsia="zh-CN"/>
              </w:rPr>
              <w:t>Agreement</w:t>
            </w:r>
          </w:p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Switching between Case 1, Case 6, and Case 7 timing is supported.</w:t>
            </w:r>
          </w:p>
          <w:p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FFS whether Case 6 and Case 7 timing shall be restricted to certain resources, e.g. excluding resources used for access or TDM backhaul</w:t>
            </w:r>
          </w:p>
          <w:p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FFS details on switching including the switching conditions</w:t>
            </w:r>
          </w:p>
          <w:p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FFS relationship between switching timing modes with the usage/indication of different resource multiplexing modes</w:t>
            </w:r>
          </w:p>
          <w:p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FFS whether Rel-16 OTA synchronization shall be enhanced to support switching timing modes</w:t>
            </w:r>
          </w:p>
          <w:p>
            <w:pPr>
              <w:contextualSpacing/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</w:pPr>
          </w:p>
          <w:p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eastAsia="zh-CN"/>
              </w:rPr>
            </w:pPr>
            <w:r>
              <w:rPr>
                <w:rStyle w:val="14"/>
                <w:rFonts w:ascii="Times New Roman" w:hAnsi="Times New Roman" w:cs="Times New Roman"/>
                <w:sz w:val="16"/>
                <w:szCs w:val="16"/>
                <w:u w:val="single"/>
                <w:lang w:eastAsia="zh-CN"/>
              </w:rPr>
              <w:t>RAN1#105-e</w:t>
            </w:r>
          </w:p>
          <w:p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green"/>
              </w:rPr>
              <w:t>Agreement</w:t>
            </w:r>
          </w:p>
          <w:p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An IAB-node is indicated when Case 6 timing is performed at the IAB-node.</w:t>
            </w:r>
          </w:p>
          <w:p>
            <w:pPr>
              <w:pStyle w:val="21"/>
              <w:numPr>
                <w:ilvl w:val="0"/>
                <w:numId w:val="9"/>
              </w:numPr>
              <w:autoSpaceDE/>
              <w:autoSpaceDN/>
              <w:adjustRightInd/>
              <w:snapToGrid/>
              <w:spacing w:after="0"/>
              <w:ind w:firstLineChars="0"/>
              <w:contextualSpacing/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FFS details of the indication (e.g. semi-static and/or dynamic, implicit and/or explicit, linkage to multiplexing capability, etc.).</w:t>
            </w:r>
          </w:p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FFS whether an IAB-node is also indicated when Case 7 timing is performed at the IAB-node.</w:t>
            </w:r>
          </w:p>
          <w:p>
            <w:pPr>
              <w:rPr>
                <w:rStyle w:val="14"/>
                <w:rFonts w:ascii="Times New Roman" w:hAnsi="Times New Roman" w:cs="Times New Roman"/>
                <w:sz w:val="16"/>
                <w:szCs w:val="16"/>
                <w:u w:val="single"/>
                <w:lang w:eastAsia="zh-CN"/>
              </w:rPr>
            </w:pPr>
          </w:p>
          <w:p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eastAsia="zh-CN"/>
              </w:rPr>
            </w:pPr>
            <w:r>
              <w:rPr>
                <w:rStyle w:val="14"/>
                <w:rFonts w:ascii="Times New Roman" w:hAnsi="Times New Roman" w:cs="Times New Roman"/>
                <w:sz w:val="16"/>
                <w:szCs w:val="16"/>
                <w:u w:val="single"/>
                <w:lang w:eastAsia="zh-CN"/>
              </w:rPr>
              <w:t>RAN1#106-e</w:t>
            </w:r>
          </w:p>
          <w:p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green"/>
              </w:rPr>
              <w:t>Agreement</w:t>
            </w:r>
          </w:p>
          <w:p>
            <w:pPr>
              <w:rPr>
                <w:rFonts w:ascii="Times New Roman" w:hAnsi="Times New Roman" w:cs="Times New Roman"/>
                <w:sz w:val="16"/>
                <w:szCs w:val="16"/>
                <w:lang w:eastAsia="ja-JP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t>An IAB-node is explicitly indicated by the parent node when Case 6 timing is performed at</w:t>
            </w:r>
            <w:r>
              <w:rPr>
                <w:rStyle w:val="33"/>
                <w:rFonts w:ascii="Times New Roman" w:hAnsi="Times New Roman" w:cs="Times New Roman"/>
                <w:sz w:val="16"/>
                <w:szCs w:val="16"/>
                <w:lang w:eastAsia="ja-JP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t>the IAB-node at least for</w:t>
            </w:r>
            <w:r>
              <w:rPr>
                <w:rStyle w:val="33"/>
                <w:rFonts w:ascii="Times New Roman" w:hAnsi="Times New Roman" w:cs="Times New Roman"/>
                <w:sz w:val="16"/>
                <w:szCs w:val="16"/>
                <w:lang w:eastAsia="ja-JP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t>specific time</w:t>
            </w:r>
            <w:r>
              <w:rPr>
                <w:rStyle w:val="33"/>
                <w:rFonts w:ascii="Times New Roman" w:hAnsi="Times New Roman" w:cs="Times New Roman"/>
                <w:sz w:val="16"/>
                <w:szCs w:val="16"/>
                <w:lang w:eastAsia="ja-JP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t>resources.</w:t>
            </w:r>
          </w:p>
          <w:p>
            <w:pPr>
              <w:pStyle w:val="21"/>
              <w:numPr>
                <w:ilvl w:val="0"/>
                <w:numId w:val="10"/>
              </w:numPr>
              <w:autoSpaceDE/>
              <w:autoSpaceDN/>
              <w:adjustRightInd/>
              <w:snapToGrid/>
              <w:spacing w:after="0"/>
              <w:ind w:firstLineChars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FFS: whether the indication should be associated with another dimensions, e.g. multiplexing cases</w:t>
            </w:r>
          </w:p>
          <w:p>
            <w:pPr>
              <w:pStyle w:val="21"/>
              <w:numPr>
                <w:ilvl w:val="0"/>
                <w:numId w:val="10"/>
              </w:numPr>
              <w:autoSpaceDE/>
              <w:autoSpaceDN/>
              <w:adjustRightInd/>
              <w:snapToGrid/>
              <w:spacing w:after="0"/>
              <w:ind w:firstLineChars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FFS whether an IAB-node is explicitly indicated by the parent node when Case 7 timing is performed at the IAB-node.</w:t>
            </w:r>
          </w:p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eastAsia="zh-CN"/>
              </w:rPr>
            </w:pPr>
            <w:r>
              <w:rPr>
                <w:rStyle w:val="14"/>
                <w:rFonts w:ascii="Times New Roman" w:hAnsi="Times New Roman" w:cs="Times New Roman"/>
                <w:sz w:val="16"/>
                <w:szCs w:val="16"/>
                <w:u w:val="single"/>
                <w:lang w:eastAsia="zh-CN"/>
              </w:rPr>
              <w:t>RAN1#106-e</w:t>
            </w:r>
          </w:p>
          <w:p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green"/>
              </w:rPr>
              <w:t>Agreement</w:t>
            </w:r>
          </w:p>
          <w:p>
            <w:pPr>
              <w:rPr>
                <w:rFonts w:ascii="Times New Roman" w:hAnsi="Times New Roman" w:cs="Times New Roman"/>
                <w:sz w:val="16"/>
                <w:szCs w:val="16"/>
                <w:lang w:eastAsia="ja-JP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t>An IAB-node is explicitly indicated by the parent node when Case 7 timing is performed at the parent node.</w:t>
            </w:r>
          </w:p>
          <w:p>
            <w:pPr>
              <w:rPr>
                <w:rStyle w:val="14"/>
                <w:rFonts w:ascii="Times New Roman" w:hAnsi="Times New Roman" w:cs="Times New Roman"/>
                <w:sz w:val="16"/>
                <w:szCs w:val="16"/>
                <w:u w:val="single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FFS for signalling details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P16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Timing control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New</w:t>
            </w:r>
          </w:p>
        </w:tc>
        <w:tc>
          <w:tcPr>
            <w:tcW w:w="294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Style w:val="18"/>
                <w:sz w:val="16"/>
                <w:szCs w:val="16"/>
                <w:lang w:eastAsia="zh-CN"/>
              </w:rPr>
            </w:pPr>
            <w:r>
              <w:rPr>
                <w:rStyle w:val="18"/>
                <w:sz w:val="16"/>
                <w:szCs w:val="16"/>
                <w:lang w:eastAsia="zh-CN"/>
              </w:rPr>
              <w:t>Case7 Timing Offset</w:t>
            </w:r>
          </w:p>
        </w:tc>
        <w:tc>
          <w:tcPr>
            <w:tcW w:w="3240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  <w:t>The parent-node indicates to an IAB-node an offset to be used by the IAB-MT to set its UL TX timing based on the legacy TA loop and the indicated offset.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Style w:val="18"/>
                <w:sz w:val="16"/>
                <w:szCs w:val="16"/>
                <w:lang w:eastAsia="zh-CN"/>
              </w:rPr>
            </w:pPr>
            <w:r>
              <w:rPr>
                <w:rStyle w:val="18"/>
                <w:sz w:val="16"/>
                <w:szCs w:val="16"/>
                <w:lang w:eastAsia="zh-CN"/>
              </w:rPr>
              <w:t>FFS</w:t>
            </w:r>
          </w:p>
        </w:tc>
        <w:tc>
          <w:tcPr>
            <w:tcW w:w="746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  <w:t>IAB node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Style w:val="14"/>
                <w:rFonts w:ascii="Times New Roman" w:hAnsi="Times New Roman" w:cs="Times New Roman"/>
                <w:b w:val="0"/>
                <w:bCs w:val="0"/>
                <w:sz w:val="16"/>
                <w:szCs w:val="16"/>
                <w:lang w:eastAsia="zh-CN"/>
              </w:rPr>
            </w:pPr>
            <w:r>
              <w:rPr>
                <w:rStyle w:val="14"/>
                <w:rFonts w:ascii="Times New Roman" w:hAnsi="Times New Roman" w:cs="Times New Roman"/>
                <w:b w:val="0"/>
                <w:bCs w:val="0"/>
                <w:sz w:val="16"/>
                <w:szCs w:val="16"/>
                <w:lang w:eastAsia="zh-CN"/>
              </w:rPr>
              <w:t>FFS</w:t>
            </w:r>
          </w:p>
        </w:tc>
        <w:tc>
          <w:tcPr>
            <w:tcW w:w="4491" w:type="dxa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eastAsia="zh-CN"/>
              </w:rPr>
            </w:pPr>
            <w:r>
              <w:rPr>
                <w:rStyle w:val="14"/>
                <w:rFonts w:ascii="Times New Roman" w:hAnsi="Times New Roman" w:cs="Times New Roman"/>
                <w:sz w:val="16"/>
                <w:szCs w:val="16"/>
                <w:u w:val="single"/>
                <w:lang w:eastAsia="zh-CN"/>
              </w:rPr>
              <w:t>RAN1#106-e</w:t>
            </w:r>
          </w:p>
          <w:p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green"/>
              </w:rPr>
              <w:t>Agreement</w:t>
            </w:r>
          </w:p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For Case 7 timing at a parent node, the IAB-MT Tx timing of the node is obtained via the legacy TA loop plus an offset from the parent node.</w:t>
            </w:r>
          </w:p>
          <w:p>
            <w:pPr>
              <w:rPr>
                <w:rStyle w:val="14"/>
                <w:rFonts w:ascii="Times New Roman" w:hAnsi="Times New Roman" w:cs="Times New Roman"/>
                <w:sz w:val="16"/>
                <w:szCs w:val="16"/>
                <w:u w:val="single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FFS range, granularity, and signaling details of the offset.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P17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Power control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New</w:t>
            </w:r>
          </w:p>
        </w:tc>
        <w:tc>
          <w:tcPr>
            <w:tcW w:w="294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Style w:val="18"/>
                <w:sz w:val="16"/>
                <w:szCs w:val="16"/>
                <w:lang w:eastAsia="zh-CN"/>
              </w:rPr>
            </w:pPr>
            <w:r>
              <w:rPr>
                <w:rStyle w:val="18"/>
                <w:sz w:val="16"/>
                <w:szCs w:val="16"/>
                <w:lang w:eastAsia="zh-CN"/>
              </w:rPr>
              <w:t>Desired DL TX Power Adjustment</w:t>
            </w:r>
          </w:p>
        </w:tc>
        <w:tc>
          <w:tcPr>
            <w:tcW w:w="3240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  <w:t>The IAB-MT indicates to its parent-node, its desired DL TX power adjustment to assist with the parent-node’s DL TX power allocation. This indication is provided at least for specific time resources and can further be associated with spatial configuration.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Style w:val="18"/>
                <w:sz w:val="16"/>
                <w:szCs w:val="16"/>
                <w:lang w:eastAsia="zh-CN"/>
              </w:rPr>
            </w:pPr>
            <w:r>
              <w:rPr>
                <w:rStyle w:val="18"/>
                <w:sz w:val="16"/>
                <w:szCs w:val="16"/>
                <w:lang w:eastAsia="zh-CN"/>
              </w:rPr>
              <w:t>FFS</w:t>
            </w:r>
          </w:p>
        </w:tc>
        <w:tc>
          <w:tcPr>
            <w:tcW w:w="746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  <w:t>IAB node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Style w:val="14"/>
                <w:rFonts w:ascii="Times New Roman" w:hAnsi="Times New Roman" w:cs="Times New Roman"/>
                <w:b w:val="0"/>
                <w:bCs w:val="0"/>
                <w:sz w:val="16"/>
                <w:szCs w:val="16"/>
                <w:lang w:eastAsia="zh-CN"/>
              </w:rPr>
            </w:pPr>
            <w:r>
              <w:rPr>
                <w:rStyle w:val="14"/>
                <w:rFonts w:ascii="Times New Roman" w:hAnsi="Times New Roman" w:cs="Times New Roman"/>
                <w:b w:val="0"/>
                <w:bCs w:val="0"/>
                <w:sz w:val="16"/>
                <w:szCs w:val="16"/>
                <w:lang w:eastAsia="zh-CN"/>
              </w:rPr>
              <w:t>FFS</w:t>
            </w:r>
          </w:p>
        </w:tc>
        <w:tc>
          <w:tcPr>
            <w:tcW w:w="4491" w:type="dxa"/>
            <w:shd w:val="clear" w:color="auto" w:fill="auto"/>
            <w:vAlign w:val="center"/>
          </w:tcPr>
          <w:p>
            <w:pPr>
              <w:rPr>
                <w:rStyle w:val="14"/>
                <w:rFonts w:ascii="Times New Roman" w:hAnsi="Times New Roman" w:cs="Times New Roman"/>
                <w:sz w:val="16"/>
                <w:szCs w:val="16"/>
                <w:u w:val="single"/>
                <w:lang w:eastAsia="zh-CN"/>
              </w:rPr>
            </w:pPr>
            <w:r>
              <w:rPr>
                <w:rStyle w:val="14"/>
                <w:rFonts w:ascii="Times New Roman" w:hAnsi="Times New Roman" w:cs="Times New Roman"/>
                <w:sz w:val="16"/>
                <w:szCs w:val="16"/>
                <w:u w:val="single"/>
                <w:lang w:eastAsia="zh-CN"/>
              </w:rPr>
              <w:t>RAN1#104-e</w:t>
            </w:r>
          </w:p>
          <w:p>
            <w:pP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Style w:val="14"/>
                <w:rFonts w:ascii="Times New Roman" w:hAnsi="Times New Roman" w:cs="Times New Roman"/>
                <w:sz w:val="16"/>
                <w:szCs w:val="16"/>
                <w:highlight w:val="green"/>
                <w:lang w:eastAsia="zh-CN"/>
              </w:rPr>
              <w:t>Agreement</w:t>
            </w:r>
          </w:p>
          <w:p>
            <w:pPr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ascii="Times New Roman" w:hAnsi="Times New Roman" w:eastAsia="Calibri" w:cs="Times New Roman"/>
                <w:sz w:val="16"/>
                <w:szCs w:val="16"/>
              </w:rPr>
              <w:t>Support an IAB-node indicating information to assist with the DL power control of its parent-node towards the IAB-node without mandating an expected behavior at the parent node.</w:t>
            </w:r>
          </w:p>
          <w:p>
            <w:pPr>
              <w:pStyle w:val="21"/>
              <w:numPr>
                <w:ilvl w:val="0"/>
                <w:numId w:val="11"/>
              </w:numPr>
              <w:autoSpaceDE/>
              <w:autoSpaceDN/>
              <w:adjustRightInd/>
              <w:snapToGrid/>
              <w:spacing w:after="0"/>
              <w:ind w:firstLineChars="0"/>
              <w:contextualSpacing/>
              <w:jc w:val="left"/>
              <w:textAlignment w:val="baselin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Note: At least the assistance information is for supporting the simultaneous operation within the IAB-node to avoid power imbalance</w:t>
            </w:r>
          </w:p>
          <w:p>
            <w:pPr>
              <w:pStyle w:val="21"/>
              <w:numPr>
                <w:ilvl w:val="0"/>
                <w:numId w:val="11"/>
              </w:numPr>
              <w:autoSpaceDE/>
              <w:autoSpaceDN/>
              <w:adjustRightInd/>
              <w:snapToGrid/>
              <w:spacing w:after="0"/>
              <w:ind w:firstLineChars="0"/>
              <w:contextualSpacing/>
              <w:jc w:val="left"/>
              <w:textAlignment w:val="baselin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FFS: type of assistance information (e.g., desired received power, power adjustment, preferred CSI-RS resource)</w:t>
            </w:r>
          </w:p>
          <w:p>
            <w:pPr>
              <w:pStyle w:val="21"/>
              <w:numPr>
                <w:ilvl w:val="0"/>
                <w:numId w:val="11"/>
              </w:numPr>
              <w:autoSpaceDE/>
              <w:autoSpaceDN/>
              <w:adjustRightInd/>
              <w:snapToGrid/>
              <w:spacing w:after="0"/>
              <w:ind w:firstLineChars="0"/>
              <w:contextualSpacing/>
              <w:jc w:val="left"/>
              <w:textAlignment w:val="baselin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FFS: whether this information is provided to the parent-node, the CU, or both.</w:t>
            </w:r>
          </w:p>
          <w:p>
            <w:pPr>
              <w:pStyle w:val="21"/>
              <w:numPr>
                <w:ilvl w:val="0"/>
                <w:numId w:val="11"/>
              </w:numPr>
              <w:autoSpaceDE/>
              <w:autoSpaceDN/>
              <w:adjustRightInd/>
              <w:snapToGrid/>
              <w:spacing w:after="0"/>
              <w:ind w:firstLineChars="0"/>
              <w:contextualSpacing/>
              <w:jc w:val="left"/>
              <w:textAlignment w:val="baselin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FFS: applicability of the assistance information (e.g. relation to beams or multiplexing modes)</w:t>
            </w:r>
          </w:p>
          <w:p>
            <w:pPr>
              <w:contextualSpacing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ascii="Times New Roman" w:hAnsi="Times New Roman" w:eastAsia="Calibri" w:cs="Times New Roman"/>
                <w:sz w:val="16"/>
                <w:szCs w:val="16"/>
              </w:rPr>
              <w:t>FFS: the channel carrying this assistance information</w:t>
            </w:r>
          </w:p>
          <w:p>
            <w:pPr>
              <w:contextualSpacing/>
              <w:rPr>
                <w:rFonts w:ascii="Times New Roman" w:hAnsi="Times New Roman" w:eastAsia="Calibri" w:cs="Times New Roman"/>
                <w:sz w:val="16"/>
                <w:szCs w:val="16"/>
              </w:rPr>
            </w:pPr>
          </w:p>
          <w:p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eastAsia="zh-CN"/>
              </w:rPr>
            </w:pPr>
            <w:r>
              <w:rPr>
                <w:rStyle w:val="14"/>
                <w:rFonts w:ascii="Times New Roman" w:hAnsi="Times New Roman" w:cs="Times New Roman"/>
                <w:sz w:val="16"/>
                <w:szCs w:val="16"/>
                <w:u w:val="single"/>
                <w:lang w:eastAsia="zh-CN"/>
              </w:rPr>
              <w:t>RAN1#105-e</w:t>
            </w:r>
          </w:p>
          <w:p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green"/>
              </w:rPr>
              <w:t>Agreement</w:t>
            </w:r>
          </w:p>
          <w:p>
            <w:pPr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ascii="Times New Roman" w:hAnsi="Times New Roman" w:eastAsia="Calibri" w:cs="Times New Roman"/>
                <w:sz w:val="16"/>
                <w:szCs w:val="16"/>
              </w:rPr>
              <w:t>The information to assist DL power allocation of the parent-node is indicated by the IAB-MT to the parent node DU in terms of desired power adjustment.</w:t>
            </w:r>
          </w:p>
          <w:p>
            <w:pPr>
              <w:pStyle w:val="21"/>
              <w:numPr>
                <w:ilvl w:val="0"/>
                <w:numId w:val="12"/>
              </w:numPr>
              <w:autoSpaceDE/>
              <w:autoSpaceDN/>
              <w:adjustRightInd/>
              <w:snapToGrid/>
              <w:spacing w:after="0"/>
              <w:ind w:firstLineChars="0"/>
              <w:contextualSpacing/>
              <w:jc w:val="left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FFS applicability of assistance information, e.g. per multiplexing scenario, per resource, etc.</w:t>
            </w:r>
          </w:p>
          <w:p>
            <w:pPr>
              <w:contextualSpacing/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</w:pPr>
          </w:p>
          <w:p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eastAsia="zh-CN"/>
              </w:rPr>
            </w:pPr>
            <w:r>
              <w:rPr>
                <w:rStyle w:val="14"/>
                <w:rFonts w:ascii="Times New Roman" w:hAnsi="Times New Roman" w:cs="Times New Roman"/>
                <w:sz w:val="16"/>
                <w:szCs w:val="16"/>
                <w:u w:val="single"/>
                <w:lang w:eastAsia="zh-CN"/>
              </w:rPr>
              <w:t>RAN1#106-e</w:t>
            </w:r>
          </w:p>
          <w:p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green"/>
              </w:rPr>
              <w:t>Agreement</w:t>
            </w:r>
          </w:p>
          <w:p>
            <w:pPr>
              <w:rPr>
                <w:rFonts w:ascii="Times New Roman" w:hAnsi="Times New Roman" w:cs="Times New Roman"/>
                <w:sz w:val="16"/>
                <w:szCs w:val="16"/>
                <w:lang w:eastAsia="ja-JP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t>The desired DL TX power adjustment, indicated by the IAB-MT to its parent-node to assist with the parent-node’s DL TX power allocation, is provided at least for</w:t>
            </w:r>
            <w:r>
              <w:rPr>
                <w:rStyle w:val="33"/>
                <w:rFonts w:ascii="Times New Roman" w:hAnsi="Times New Roman" w:cs="Times New Roman"/>
                <w:sz w:val="16"/>
                <w:szCs w:val="16"/>
                <w:lang w:eastAsia="ja-JP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t>specific time</w:t>
            </w:r>
            <w:r>
              <w:rPr>
                <w:rStyle w:val="33"/>
                <w:rFonts w:ascii="Times New Roman" w:hAnsi="Times New Roman" w:cs="Times New Roman"/>
                <w:sz w:val="16"/>
                <w:szCs w:val="16"/>
                <w:lang w:eastAsia="ja-JP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t>resources.</w:t>
            </w:r>
            <w:r>
              <w:rPr>
                <w:rStyle w:val="33"/>
                <w:rFonts w:ascii="Times New Roman" w:hAnsi="Times New Roman" w:cs="Times New Roman"/>
                <w:sz w:val="16"/>
                <w:szCs w:val="16"/>
                <w:lang w:eastAsia="ja-JP"/>
              </w:rPr>
              <w:t> </w:t>
            </w:r>
          </w:p>
          <w:p>
            <w:pPr>
              <w:rPr>
                <w:rFonts w:ascii="Times New Roman" w:hAnsi="Times New Roman" w:cs="Times New Roman"/>
                <w:sz w:val="16"/>
                <w:szCs w:val="16"/>
                <w:lang w:eastAsia="ja-JP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t>The desired DL TX power adjustment can further be associated with spatial configuration. (e.g., MT’s DL RX beams).</w:t>
            </w:r>
          </w:p>
          <w:p>
            <w:pPr>
              <w:numPr>
                <w:ilvl w:val="0"/>
                <w:numId w:val="13"/>
              </w:numPr>
              <w:rPr>
                <w:rStyle w:val="14"/>
                <w:rFonts w:ascii="Times New Roman" w:hAnsi="Times New Roman" w:cs="Times New Roman"/>
                <w:b w:val="0"/>
                <w:bCs w:val="0"/>
                <w:sz w:val="16"/>
                <w:szCs w:val="16"/>
                <w:lang w:eastAsia="ja-JP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t>FFS: signalling details, e.g. indication via MAC-CE, PUCCH, or legacy CSI framework.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P18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Power control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New</w:t>
            </w:r>
          </w:p>
        </w:tc>
        <w:tc>
          <w:tcPr>
            <w:tcW w:w="294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Style w:val="18"/>
                <w:sz w:val="16"/>
                <w:szCs w:val="16"/>
                <w:lang w:eastAsia="zh-CN"/>
              </w:rPr>
            </w:pPr>
            <w:r>
              <w:rPr>
                <w:rStyle w:val="18"/>
                <w:sz w:val="16"/>
                <w:szCs w:val="16"/>
                <w:lang w:eastAsia="zh-CN"/>
              </w:rPr>
              <w:t>DL TX Power Adjustment</w:t>
            </w:r>
          </w:p>
        </w:tc>
        <w:tc>
          <w:tcPr>
            <w:tcW w:w="3240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  <w:t xml:space="preserve">The parent-node indicates to the IAB-node an adjustment to the parent-node’s DL TX power (e.g., in response to receiving </w:t>
            </w:r>
            <w:r>
              <w:rPr>
                <w:rStyle w:val="18"/>
                <w:sz w:val="16"/>
                <w:szCs w:val="16"/>
                <w:lang w:eastAsia="zh-CN"/>
              </w:rPr>
              <w:t>Desired DL TX Power Adjustment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  <w:t xml:space="preserve"> from the IAB-node). This indication is provided at least for specific time resources and can further be associated with spatial configuration.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Style w:val="18"/>
                <w:sz w:val="16"/>
                <w:szCs w:val="16"/>
                <w:lang w:eastAsia="zh-CN"/>
              </w:rPr>
            </w:pPr>
            <w:r>
              <w:rPr>
                <w:rStyle w:val="18"/>
                <w:sz w:val="16"/>
                <w:szCs w:val="16"/>
                <w:lang w:eastAsia="zh-CN"/>
              </w:rPr>
              <w:t>FFS</w:t>
            </w:r>
          </w:p>
        </w:tc>
        <w:tc>
          <w:tcPr>
            <w:tcW w:w="746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  <w:t>IAB node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Style w:val="14"/>
                <w:rFonts w:ascii="Times New Roman" w:hAnsi="Times New Roman" w:cs="Times New Roman"/>
                <w:b w:val="0"/>
                <w:bCs w:val="0"/>
                <w:sz w:val="16"/>
                <w:szCs w:val="16"/>
                <w:lang w:eastAsia="zh-CN"/>
              </w:rPr>
            </w:pPr>
            <w:r>
              <w:rPr>
                <w:rStyle w:val="14"/>
                <w:rFonts w:ascii="Times New Roman" w:hAnsi="Times New Roman" w:cs="Times New Roman"/>
                <w:b w:val="0"/>
                <w:bCs w:val="0"/>
                <w:sz w:val="16"/>
                <w:szCs w:val="16"/>
                <w:lang w:eastAsia="zh-CN"/>
              </w:rPr>
              <w:t>FFS</w:t>
            </w:r>
          </w:p>
        </w:tc>
        <w:tc>
          <w:tcPr>
            <w:tcW w:w="4491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eastAsia="zh-CN"/>
              </w:rPr>
            </w:pPr>
            <w:r>
              <w:rPr>
                <w:rStyle w:val="14"/>
                <w:rFonts w:ascii="Times New Roman" w:hAnsi="Times New Roman" w:cs="Times New Roman"/>
                <w:sz w:val="16"/>
                <w:szCs w:val="16"/>
                <w:u w:val="single"/>
                <w:lang w:eastAsia="zh-CN"/>
              </w:rPr>
              <w:t>RAN1#106-e</w:t>
            </w:r>
          </w:p>
          <w:p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green"/>
              </w:rPr>
              <w:t>Agreement</w:t>
            </w:r>
          </w:p>
          <w:p>
            <w:pPr>
              <w:rPr>
                <w:rFonts w:ascii="Times New Roman" w:hAnsi="Times New Roman" w:cs="Times New Roman"/>
                <w:sz w:val="16"/>
                <w:szCs w:val="16"/>
                <w:lang w:eastAsia="ja-JP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t>Support an IAB-node indicating adjustment to its DL TX power to a child node (e.g., in response to receiving the DL TX power assistance information from the child node) at least for</w:t>
            </w:r>
            <w:r>
              <w:rPr>
                <w:rStyle w:val="33"/>
                <w:rFonts w:ascii="Times New Roman" w:hAnsi="Times New Roman" w:cs="Times New Roman"/>
                <w:sz w:val="16"/>
                <w:szCs w:val="16"/>
                <w:lang w:eastAsia="ja-JP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t>specific time</w:t>
            </w:r>
            <w:r>
              <w:rPr>
                <w:rStyle w:val="33"/>
                <w:rFonts w:ascii="Times New Roman" w:hAnsi="Times New Roman" w:cs="Times New Roman"/>
                <w:sz w:val="16"/>
                <w:szCs w:val="16"/>
                <w:lang w:eastAsia="ja-JP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t>resources.</w:t>
            </w:r>
          </w:p>
          <w:p>
            <w:pPr>
              <w:rPr>
                <w:rFonts w:ascii="Times New Roman" w:hAnsi="Times New Roman" w:cs="Times New Roman"/>
                <w:sz w:val="16"/>
                <w:szCs w:val="16"/>
                <w:lang w:eastAsia="ja-JP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t>The DL TX power adjustment indication can further be associated with spatial configuration. (e.g., MT’s DL RX beams).</w:t>
            </w:r>
          </w:p>
          <w:p>
            <w:pPr>
              <w:rPr>
                <w:rStyle w:val="14"/>
                <w:rFonts w:ascii="Times New Roman" w:hAnsi="Times New Roman" w:cs="Times New Roman"/>
                <w:sz w:val="16"/>
                <w:szCs w:val="16"/>
                <w:u w:val="single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t>FFS: signalling details.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P19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Power control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New</w:t>
            </w:r>
          </w:p>
        </w:tc>
        <w:tc>
          <w:tcPr>
            <w:tcW w:w="294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Style w:val="18"/>
                <w:sz w:val="16"/>
                <w:szCs w:val="16"/>
                <w:lang w:eastAsia="zh-CN"/>
              </w:rPr>
            </w:pPr>
            <w:r>
              <w:rPr>
                <w:rStyle w:val="18"/>
                <w:sz w:val="16"/>
                <w:szCs w:val="16"/>
                <w:lang w:eastAsia="zh-CN"/>
              </w:rPr>
              <w:t>Desired IAB-MT PSD range</w:t>
            </w:r>
          </w:p>
        </w:tc>
        <w:tc>
          <w:tcPr>
            <w:tcW w:w="3240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  <w:t xml:space="preserve">The IAB-node indicates to its parent-node, its desired PSD range to help with its MT’s UL TX power control. 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Style w:val="18"/>
                <w:sz w:val="16"/>
                <w:szCs w:val="16"/>
                <w:lang w:eastAsia="zh-CN"/>
              </w:rPr>
            </w:pPr>
            <w:r>
              <w:rPr>
                <w:rStyle w:val="18"/>
                <w:sz w:val="16"/>
                <w:szCs w:val="16"/>
                <w:lang w:eastAsia="zh-CN"/>
              </w:rPr>
              <w:t>FFS</w:t>
            </w:r>
          </w:p>
        </w:tc>
        <w:tc>
          <w:tcPr>
            <w:tcW w:w="746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  <w:t>IAB node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Style w:val="14"/>
                <w:rFonts w:ascii="Times New Roman" w:hAnsi="Times New Roman" w:cs="Times New Roman"/>
                <w:b w:val="0"/>
                <w:bCs w:val="0"/>
                <w:sz w:val="16"/>
                <w:szCs w:val="16"/>
                <w:lang w:eastAsia="zh-CN"/>
              </w:rPr>
            </w:pPr>
            <w:r>
              <w:rPr>
                <w:rStyle w:val="14"/>
                <w:rFonts w:ascii="Times New Roman" w:hAnsi="Times New Roman" w:cs="Times New Roman"/>
                <w:b w:val="0"/>
                <w:bCs w:val="0"/>
                <w:sz w:val="16"/>
                <w:szCs w:val="16"/>
                <w:lang w:eastAsia="zh-CN"/>
              </w:rPr>
              <w:t>FFS</w:t>
            </w:r>
          </w:p>
        </w:tc>
        <w:tc>
          <w:tcPr>
            <w:tcW w:w="4491" w:type="dxa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eastAsia="zh-CN"/>
              </w:rPr>
            </w:pPr>
            <w:r>
              <w:rPr>
                <w:rStyle w:val="14"/>
                <w:rFonts w:ascii="Times New Roman" w:hAnsi="Times New Roman" w:cs="Times New Roman"/>
                <w:sz w:val="16"/>
                <w:szCs w:val="16"/>
                <w:u w:val="single"/>
                <w:lang w:eastAsia="zh-CN"/>
              </w:rPr>
              <w:t>RAN1#106-e</w:t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highlight w:val="green"/>
              </w:rPr>
              <w:t xml:space="preserve">Agreement </w:t>
            </w:r>
          </w:p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Support an IAB-node indicating its desired IAB-MT PSD range to help with its MT’s UL TX power control.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This information is provided to the parent node.</w:t>
            </w:r>
          </w:p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FFS: applicability of assistance information, e.g., per multiplexing scenario, per resource, etc.</w:t>
            </w:r>
          </w:p>
          <w:p>
            <w:pPr>
              <w:rPr>
                <w:rStyle w:val="14"/>
                <w:rFonts w:ascii="Times New Roman" w:hAnsi="Times New Roman" w:cs="Times New Roman"/>
                <w:sz w:val="16"/>
                <w:szCs w:val="16"/>
                <w:u w:val="single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FFS: signaling details, including the possibility to extend PHR.</w:t>
            </w:r>
          </w:p>
        </w:tc>
      </w:tr>
    </w:tbl>
    <w:p>
      <w:pPr>
        <w:rPr>
          <w:rFonts w:ascii="Times New Roman" w:hAnsi="Times New Roman" w:cs="Times New Roman"/>
          <w:b/>
          <w:lang w:eastAsia="zh-CN"/>
        </w:rPr>
      </w:pPr>
    </w:p>
    <w:p>
      <w:pPr>
        <w:rPr>
          <w:rFonts w:ascii="Times New Roman" w:hAnsi="Times New Roman" w:cs="Times New Roman"/>
          <w:b/>
          <w:lang w:eastAsia="zh-CN"/>
        </w:rPr>
      </w:pPr>
      <w:r>
        <w:rPr>
          <w:rFonts w:ascii="Times New Roman" w:hAnsi="Times New Roman" w:cs="Times New Roman"/>
          <w:b/>
          <w:lang w:eastAsia="zh-CN"/>
        </w:rPr>
        <w:br w:type="page"/>
      </w:r>
    </w:p>
    <w:p>
      <w:pPr>
        <w:rPr>
          <w:rFonts w:ascii="Times New Roman" w:hAnsi="Times New Roman" w:cs="Times New Roman"/>
          <w:b/>
          <w:lang w:eastAsia="zh-CN"/>
        </w:rPr>
        <w:sectPr>
          <w:pgSz w:w="20160" w:h="12240" w:orient="landscape"/>
          <w:pgMar w:top="1440" w:right="1440" w:bottom="1440" w:left="1440" w:header="720" w:footer="720" w:gutter="0"/>
          <w:cols w:space="720" w:num="1"/>
          <w:docGrid w:linePitch="360" w:charSpace="0"/>
        </w:sectPr>
      </w:pPr>
    </w:p>
    <w:tbl>
      <w:tblPr>
        <w:tblStyle w:val="34"/>
        <w:tblW w:w="10440" w:type="dxa"/>
        <w:tblInd w:w="-545" w:type="dxa"/>
        <w:tblBorders>
          <w:top w:val="single" w:color="999999" w:themeColor="text1" w:themeTint="66" w:sz="4" w:space="0"/>
          <w:left w:val="single" w:color="999999" w:themeColor="text1" w:themeTint="66" w:sz="4" w:space="0"/>
          <w:bottom w:val="single" w:color="999999" w:themeColor="text1" w:themeTint="66" w:sz="4" w:space="0"/>
          <w:right w:val="single" w:color="999999" w:themeColor="text1" w:themeTint="66" w:sz="4" w:space="0"/>
          <w:insideH w:val="single" w:color="999999" w:themeColor="text1" w:themeTint="66" w:sz="4" w:space="0"/>
          <w:insideV w:val="single" w:color="999999" w:themeColor="text1" w:themeTint="66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0"/>
        <w:gridCol w:w="7830"/>
      </w:tblGrid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0" w:type="dxa"/>
            <w:tcBorders>
              <w:bottom w:val="single" w:color="666666" w:themeColor="text1" w:themeTint="99" w:sz="12" w:space="0"/>
              <w:insideH w:val="single" w:sz="12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 w:val="0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 w:val="0"/>
                <w:lang w:eastAsia="zh-CN"/>
              </w:rPr>
              <w:t>Company</w:t>
            </w:r>
          </w:p>
        </w:tc>
        <w:tc>
          <w:tcPr>
            <w:tcW w:w="7830" w:type="dxa"/>
            <w:tcBorders>
              <w:bottom w:val="single" w:color="666666" w:themeColor="text1" w:themeTint="99" w:sz="12" w:space="0"/>
              <w:insideH w:val="single" w:sz="12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 w:val="0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 w:val="0"/>
                <w:lang w:eastAsia="zh-CN"/>
              </w:rPr>
              <w:t>Comments</w:t>
            </w: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lang w:eastAsia="zh-CN"/>
              </w:rPr>
            </w:pPr>
            <w:r>
              <w:rPr>
                <w:rFonts w:ascii="Times New Roman" w:hAnsi="Times New Roman" w:cs="Times New Roman"/>
                <w:b w:val="0"/>
                <w:bCs/>
                <w:lang w:eastAsia="zh-CN"/>
              </w:rPr>
              <w:t>v</w:t>
            </w:r>
            <w:r>
              <w:rPr>
                <w:rFonts w:hint="eastAsia" w:ascii="Times New Roman" w:hAnsi="Times New Roman" w:cs="Times New Roman"/>
                <w:b w:val="0"/>
                <w:bCs/>
                <w:lang w:eastAsia="zh-CN"/>
              </w:rPr>
              <w:t>ivo</w:t>
            </w:r>
          </w:p>
        </w:tc>
        <w:tc>
          <w:tcPr>
            <w:tcW w:w="7830" w:type="dxa"/>
          </w:tcPr>
          <w:p>
            <w:pPr>
              <w:tabs>
                <w:tab w:val="left" w:pos="1518"/>
              </w:tabs>
              <w:spacing w:after="0" w:line="240" w:lineRule="auto"/>
              <w:rPr>
                <w:rFonts w:ascii="Times New Roman" w:hAnsi="Times New Roman" w:cs="Times New Roman"/>
                <w:bCs/>
                <w:lang w:eastAsia="zh-CN"/>
              </w:rPr>
            </w:pPr>
            <w:r>
              <w:rPr>
                <w:rFonts w:ascii="Times New Roman" w:hAnsi="Times New Roman" w:cs="Times New Roman"/>
                <w:bCs/>
                <w:lang w:eastAsia="zh-CN"/>
              </w:rPr>
              <w:t xml:space="preserve">Regarding </w:t>
            </w:r>
            <w:r>
              <w:rPr>
                <w:rFonts w:hint="eastAsia" w:ascii="Times New Roman" w:hAnsi="Times New Roman" w:cs="Times New Roman"/>
                <w:bCs/>
                <w:lang w:eastAsia="zh-CN"/>
              </w:rPr>
              <w:t>P</w:t>
            </w:r>
            <w:r>
              <w:rPr>
                <w:rFonts w:ascii="Times New Roman" w:hAnsi="Times New Roman" w:cs="Times New Roman"/>
                <w:bCs/>
                <w:lang w:eastAsia="zh-CN"/>
              </w:rPr>
              <w:t>15 - timing case indication. The details are still FFS including implicit and/or explicit, linkage to multiplexing capability.</w:t>
            </w:r>
          </w:p>
          <w:p>
            <w:pPr>
              <w:tabs>
                <w:tab w:val="left" w:pos="1518"/>
              </w:tabs>
              <w:spacing w:after="0" w:line="240" w:lineRule="auto"/>
              <w:rPr>
                <w:rFonts w:ascii="Times New Roman" w:hAnsi="Times New Roman" w:cs="Times New Roman"/>
                <w:bCs/>
                <w:lang w:eastAsia="zh-CN"/>
              </w:rPr>
            </w:pPr>
          </w:p>
          <w:p>
            <w:pPr>
              <w:tabs>
                <w:tab w:val="left" w:pos="1518"/>
              </w:tabs>
              <w:spacing w:after="0" w:line="240" w:lineRule="auto"/>
              <w:rPr>
                <w:rFonts w:hint="eastAsia" w:ascii="Times New Roman" w:hAnsi="Times New Roman" w:cs="Times New Roman"/>
                <w:bCs/>
                <w:lang w:eastAsia="zh-CN"/>
              </w:rPr>
            </w:pPr>
            <w:r>
              <w:rPr>
                <w:rFonts w:ascii="Times New Roman" w:hAnsi="Times New Roman" w:cs="Times New Roman"/>
                <w:bCs/>
                <w:lang w:eastAsia="zh-CN"/>
              </w:rPr>
              <w:t>In our understanding, multiplexing case indication is more straightforward (which means timing case indication may be implicit), which should be discussed in future meeting.</w:t>
            </w: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0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b w:val="0"/>
                <w:bCs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en-US" w:eastAsia="zh-CN"/>
              </w:rPr>
              <w:t>ZTE, Sanechips</w:t>
            </w:r>
          </w:p>
        </w:tc>
        <w:tc>
          <w:tcPr>
            <w:tcW w:w="7830" w:type="dxa"/>
            <w:vAlign w:val="top"/>
          </w:tcPr>
          <w:p>
            <w:pPr>
              <w:pStyle w:val="5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It seems P06~P09 are the same as P01~P04.</w:t>
            </w:r>
          </w:p>
          <w:p>
            <w:pPr>
              <w:pStyle w:val="5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For P04 and P14,</w:t>
            </w:r>
          </w:p>
          <w:p>
            <w:pPr>
              <w:pStyle w:val="5"/>
              <w:numPr>
                <w:ilvl w:val="0"/>
                <w:numId w:val="14"/>
              </w:numPr>
              <w:ind w:left="420" w:leftChars="0" w:hanging="420" w:firstLineChars="0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 xml:space="preserve">We agree that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 xml:space="preserve">P04 should be limited to DC scenarios, 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but for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 xml:space="preserve"> P14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 xml:space="preserve"> which is related to CLI, coordination among neighbour nodes other than the parent nodes of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 xml:space="preserve"> DC cases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 xml:space="preserve"> should be also supported, and we propose to remove  the restriction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‘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in case of DC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’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 xml:space="preserve"> from the description part of P14</w:t>
            </w:r>
          </w:p>
          <w:p>
            <w:pPr>
              <w:pStyle w:val="5"/>
              <w:numPr>
                <w:ilvl w:val="0"/>
                <w:numId w:val="14"/>
              </w:numPr>
              <w:ind w:left="420" w:leftChars="0" w:hanging="420" w:firstLineChars="0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 xml:space="preserve">And for the value range of 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P04 and P14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 xml:space="preserve">, 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 xml:space="preserve">in addition to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‘</w:t>
            </w:r>
            <w:r>
              <w:rPr>
                <w:rStyle w:val="18"/>
                <w:sz w:val="16"/>
                <w:szCs w:val="16"/>
                <w:lang w:eastAsia="zh-CN"/>
              </w:rPr>
              <w:t>IAB-DU-Resource-Configuration-TDD-Config + Frequency Domain H/S/NA Configuration Reference SCS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’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 xml:space="preserve">, 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we think the Rel-16 H/S/NA configuration, RB set configuration and Rel-17 frequency domain H/S/NA configuration should be also included.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bCs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lang w:eastAsia="zh-CN"/>
              </w:rPr>
            </w:pPr>
          </w:p>
        </w:tc>
        <w:tc>
          <w:tcPr>
            <w:tcW w:w="78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lang w:eastAsia="zh-CN"/>
              </w:rPr>
            </w:pP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lang w:eastAsia="zh-CN"/>
              </w:rPr>
            </w:pPr>
          </w:p>
        </w:tc>
        <w:tc>
          <w:tcPr>
            <w:tcW w:w="78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lang w:eastAsia="zh-CN"/>
              </w:rPr>
            </w:pPr>
          </w:p>
        </w:tc>
      </w:tr>
    </w:tbl>
    <w:p>
      <w:pPr>
        <w:rPr>
          <w:rFonts w:ascii="Times New Roman" w:hAnsi="Times New Roman" w:cs="Times New Roman"/>
          <w:b/>
          <w:lang w:eastAsia="zh-CN"/>
        </w:rPr>
      </w:pPr>
    </w:p>
    <w:p>
      <w:pPr>
        <w:rPr>
          <w:rFonts w:ascii="Times New Roman" w:hAnsi="Times New Roman" w:cs="Times New Roman"/>
          <w:bCs/>
          <w:lang w:eastAsia="zh-CN"/>
        </w:rPr>
      </w:pPr>
      <w:r>
        <w:rPr>
          <w:rFonts w:ascii="Times New Roman" w:hAnsi="Times New Roman" w:cs="Times New Roman"/>
          <w:bCs/>
          <w:lang w:eastAsia="zh-CN"/>
        </w:rPr>
        <w:t>NOTE: the Parameter ID field is an arbitrary field that was added to facilitate referencing a particular row in the parameters table when commenting.</w:t>
      </w:r>
    </w:p>
    <w:p>
      <w:pPr>
        <w:rPr>
          <w:rFonts w:ascii="Times New Roman" w:hAnsi="Times New Roman" w:cs="Times New Roman"/>
          <w:b/>
          <w:lang w:eastAsia="zh-CN"/>
        </w:rPr>
      </w:pPr>
    </w:p>
    <w:sectPr>
      <w:pgSz w:w="12240" w:h="2016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MS P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7B7882"/>
    <w:multiLevelType w:val="singleLevel"/>
    <w:tmpl w:val="897B7882"/>
    <w:lvl w:ilvl="0" w:tentative="0">
      <w:start w:val="1"/>
      <w:numFmt w:val="bullet"/>
      <w:lvlText w:val="▪"/>
      <w:lvlJc w:val="left"/>
      <w:pPr>
        <w:ind w:left="420" w:leftChars="0" w:hanging="420" w:firstLineChars="0"/>
      </w:pPr>
      <w:rPr>
        <w:rFonts w:hint="default" w:ascii="Arial" w:hAnsi="Arial" w:cs="Arial"/>
      </w:rPr>
    </w:lvl>
  </w:abstractNum>
  <w:abstractNum w:abstractNumId="1">
    <w:nsid w:val="035E6F0F"/>
    <w:multiLevelType w:val="multilevel"/>
    <w:tmpl w:val="035E6F0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">
    <w:nsid w:val="127422E0"/>
    <w:multiLevelType w:val="multilevel"/>
    <w:tmpl w:val="127422E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5E613EC"/>
    <w:multiLevelType w:val="multilevel"/>
    <w:tmpl w:val="25E613EC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libri" w:hAnsi="Calibri" w:eastAsia="MS PGothic" w:cs="Calibri"/>
        <w:b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358D2DFA"/>
    <w:multiLevelType w:val="multilevel"/>
    <w:tmpl w:val="358D2DFA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55E329B4"/>
    <w:multiLevelType w:val="multilevel"/>
    <w:tmpl w:val="55E329B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57B628A3"/>
    <w:multiLevelType w:val="multilevel"/>
    <w:tmpl w:val="57B628A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582B3978"/>
    <w:multiLevelType w:val="multilevel"/>
    <w:tmpl w:val="582B397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5D426F26"/>
    <w:multiLevelType w:val="multilevel"/>
    <w:tmpl w:val="5D426F2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>
    <w:nsid w:val="74757A2F"/>
    <w:multiLevelType w:val="multilevel"/>
    <w:tmpl w:val="74757A2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76C3584A"/>
    <w:multiLevelType w:val="multilevel"/>
    <w:tmpl w:val="76C3584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7C313F1E"/>
    <w:multiLevelType w:val="multilevel"/>
    <w:tmpl w:val="7C313F1E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libri" w:hAnsi="Calibri" w:eastAsia="MS PGothic" w:cs="Calibri"/>
        <w:b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7D5D3CE4"/>
    <w:multiLevelType w:val="multilevel"/>
    <w:tmpl w:val="7D5D3CE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7FDE4D26"/>
    <w:multiLevelType w:val="multilevel"/>
    <w:tmpl w:val="7FDE4D2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8"/>
  </w:num>
  <w:num w:numId="2">
    <w:abstractNumId w:val="13"/>
  </w:num>
  <w:num w:numId="3">
    <w:abstractNumId w:val="12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7"/>
  </w:num>
  <w:num w:numId="9">
    <w:abstractNumId w:val="9"/>
  </w:num>
  <w:num w:numId="10">
    <w:abstractNumId w:val="3"/>
  </w:num>
  <w:num w:numId="11">
    <w:abstractNumId w:val="1"/>
  </w:num>
  <w:num w:numId="12">
    <w:abstractNumId w:val="10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EA1"/>
    <w:rsid w:val="00000FE8"/>
    <w:rsid w:val="000011AC"/>
    <w:rsid w:val="00002CE8"/>
    <w:rsid w:val="00005DA9"/>
    <w:rsid w:val="00021AB9"/>
    <w:rsid w:val="00023874"/>
    <w:rsid w:val="00031168"/>
    <w:rsid w:val="0003206F"/>
    <w:rsid w:val="000332EC"/>
    <w:rsid w:val="0003755B"/>
    <w:rsid w:val="00042AF3"/>
    <w:rsid w:val="000459BF"/>
    <w:rsid w:val="00052519"/>
    <w:rsid w:val="000756F7"/>
    <w:rsid w:val="00084E7F"/>
    <w:rsid w:val="00086AD9"/>
    <w:rsid w:val="0009034D"/>
    <w:rsid w:val="000B0E71"/>
    <w:rsid w:val="000B248D"/>
    <w:rsid w:val="000C7038"/>
    <w:rsid w:val="000C7A46"/>
    <w:rsid w:val="000D5F25"/>
    <w:rsid w:val="000E4E74"/>
    <w:rsid w:val="000F0EA1"/>
    <w:rsid w:val="000F5813"/>
    <w:rsid w:val="000F6A5F"/>
    <w:rsid w:val="000F7531"/>
    <w:rsid w:val="001072AE"/>
    <w:rsid w:val="001133E6"/>
    <w:rsid w:val="00115CF9"/>
    <w:rsid w:val="00120B7C"/>
    <w:rsid w:val="001240B1"/>
    <w:rsid w:val="0012721F"/>
    <w:rsid w:val="0013400C"/>
    <w:rsid w:val="00135F71"/>
    <w:rsid w:val="00146A38"/>
    <w:rsid w:val="00150FA5"/>
    <w:rsid w:val="00161BE8"/>
    <w:rsid w:val="00171C38"/>
    <w:rsid w:val="00174132"/>
    <w:rsid w:val="00182F58"/>
    <w:rsid w:val="00182FBC"/>
    <w:rsid w:val="001849D6"/>
    <w:rsid w:val="001929F4"/>
    <w:rsid w:val="001960C5"/>
    <w:rsid w:val="001A184A"/>
    <w:rsid w:val="001A21EB"/>
    <w:rsid w:val="001C7C0D"/>
    <w:rsid w:val="001D2219"/>
    <w:rsid w:val="001D71DA"/>
    <w:rsid w:val="001F7026"/>
    <w:rsid w:val="00202480"/>
    <w:rsid w:val="0021628C"/>
    <w:rsid w:val="00220715"/>
    <w:rsid w:val="00242241"/>
    <w:rsid w:val="002469C4"/>
    <w:rsid w:val="00254805"/>
    <w:rsid w:val="00254D40"/>
    <w:rsid w:val="00254F3E"/>
    <w:rsid w:val="00261FEE"/>
    <w:rsid w:val="002746DC"/>
    <w:rsid w:val="002861C4"/>
    <w:rsid w:val="00297D00"/>
    <w:rsid w:val="002B425D"/>
    <w:rsid w:val="002B4274"/>
    <w:rsid w:val="002C1542"/>
    <w:rsid w:val="002C3372"/>
    <w:rsid w:val="002C6EC8"/>
    <w:rsid w:val="002D3224"/>
    <w:rsid w:val="002E4315"/>
    <w:rsid w:val="002E4D0A"/>
    <w:rsid w:val="002F06E8"/>
    <w:rsid w:val="002F4267"/>
    <w:rsid w:val="002F6D45"/>
    <w:rsid w:val="00315240"/>
    <w:rsid w:val="00320761"/>
    <w:rsid w:val="00324859"/>
    <w:rsid w:val="003356EB"/>
    <w:rsid w:val="00340B09"/>
    <w:rsid w:val="00341812"/>
    <w:rsid w:val="00343F36"/>
    <w:rsid w:val="00347123"/>
    <w:rsid w:val="00353663"/>
    <w:rsid w:val="003616DC"/>
    <w:rsid w:val="0036362D"/>
    <w:rsid w:val="00376593"/>
    <w:rsid w:val="0038251B"/>
    <w:rsid w:val="003874C6"/>
    <w:rsid w:val="00391A9D"/>
    <w:rsid w:val="003A0DFC"/>
    <w:rsid w:val="003B16AB"/>
    <w:rsid w:val="003B383D"/>
    <w:rsid w:val="003C11D0"/>
    <w:rsid w:val="003D246A"/>
    <w:rsid w:val="003E5A4D"/>
    <w:rsid w:val="003E63C4"/>
    <w:rsid w:val="003E6AD7"/>
    <w:rsid w:val="003F19D5"/>
    <w:rsid w:val="00400291"/>
    <w:rsid w:val="00410D78"/>
    <w:rsid w:val="00421A4E"/>
    <w:rsid w:val="0043260F"/>
    <w:rsid w:val="004331A9"/>
    <w:rsid w:val="00433EAC"/>
    <w:rsid w:val="00444240"/>
    <w:rsid w:val="00451616"/>
    <w:rsid w:val="00456826"/>
    <w:rsid w:val="00457730"/>
    <w:rsid w:val="00465A2E"/>
    <w:rsid w:val="00466D49"/>
    <w:rsid w:val="00466E37"/>
    <w:rsid w:val="00467251"/>
    <w:rsid w:val="0047282C"/>
    <w:rsid w:val="0048558B"/>
    <w:rsid w:val="004A5880"/>
    <w:rsid w:val="004A612B"/>
    <w:rsid w:val="004A681A"/>
    <w:rsid w:val="004B236C"/>
    <w:rsid w:val="004B293F"/>
    <w:rsid w:val="004B776D"/>
    <w:rsid w:val="004C2282"/>
    <w:rsid w:val="004D70E5"/>
    <w:rsid w:val="004D7D34"/>
    <w:rsid w:val="004E17CC"/>
    <w:rsid w:val="004E28E3"/>
    <w:rsid w:val="004E2F59"/>
    <w:rsid w:val="004E6014"/>
    <w:rsid w:val="00505B0C"/>
    <w:rsid w:val="00517189"/>
    <w:rsid w:val="00522E4F"/>
    <w:rsid w:val="00523863"/>
    <w:rsid w:val="005360A8"/>
    <w:rsid w:val="0053667D"/>
    <w:rsid w:val="005410A7"/>
    <w:rsid w:val="00554078"/>
    <w:rsid w:val="005544D3"/>
    <w:rsid w:val="0058584B"/>
    <w:rsid w:val="00594A2F"/>
    <w:rsid w:val="00596550"/>
    <w:rsid w:val="005A38E8"/>
    <w:rsid w:val="005B7057"/>
    <w:rsid w:val="005C258A"/>
    <w:rsid w:val="005C7D2A"/>
    <w:rsid w:val="005D6029"/>
    <w:rsid w:val="005D6D9A"/>
    <w:rsid w:val="006033F8"/>
    <w:rsid w:val="006051D4"/>
    <w:rsid w:val="00637DC9"/>
    <w:rsid w:val="00640C1C"/>
    <w:rsid w:val="00641A9A"/>
    <w:rsid w:val="0065796A"/>
    <w:rsid w:val="00663222"/>
    <w:rsid w:val="00667D00"/>
    <w:rsid w:val="00674965"/>
    <w:rsid w:val="006865BC"/>
    <w:rsid w:val="00686DEC"/>
    <w:rsid w:val="006879C2"/>
    <w:rsid w:val="006A6944"/>
    <w:rsid w:val="006B52F5"/>
    <w:rsid w:val="006D2A75"/>
    <w:rsid w:val="006F172F"/>
    <w:rsid w:val="006F7DA3"/>
    <w:rsid w:val="00733F24"/>
    <w:rsid w:val="00740576"/>
    <w:rsid w:val="007405FF"/>
    <w:rsid w:val="00742C39"/>
    <w:rsid w:val="0074389A"/>
    <w:rsid w:val="00750A7E"/>
    <w:rsid w:val="00756C35"/>
    <w:rsid w:val="00757667"/>
    <w:rsid w:val="00757F8A"/>
    <w:rsid w:val="00764158"/>
    <w:rsid w:val="00783172"/>
    <w:rsid w:val="00783C14"/>
    <w:rsid w:val="00785F27"/>
    <w:rsid w:val="00790246"/>
    <w:rsid w:val="00797B67"/>
    <w:rsid w:val="007A12EC"/>
    <w:rsid w:val="007A2A62"/>
    <w:rsid w:val="007B21C1"/>
    <w:rsid w:val="007B2410"/>
    <w:rsid w:val="007C11E0"/>
    <w:rsid w:val="007C223B"/>
    <w:rsid w:val="007D779D"/>
    <w:rsid w:val="007E04AE"/>
    <w:rsid w:val="007E3F46"/>
    <w:rsid w:val="007E5050"/>
    <w:rsid w:val="007F32F3"/>
    <w:rsid w:val="007F7C04"/>
    <w:rsid w:val="008022ED"/>
    <w:rsid w:val="00807ADD"/>
    <w:rsid w:val="00824EEA"/>
    <w:rsid w:val="008257EA"/>
    <w:rsid w:val="008259C6"/>
    <w:rsid w:val="008345B0"/>
    <w:rsid w:val="008359BE"/>
    <w:rsid w:val="00860BEA"/>
    <w:rsid w:val="008673AC"/>
    <w:rsid w:val="0088634C"/>
    <w:rsid w:val="00892F30"/>
    <w:rsid w:val="00893789"/>
    <w:rsid w:val="008A1829"/>
    <w:rsid w:val="008D2EF3"/>
    <w:rsid w:val="008E1CF4"/>
    <w:rsid w:val="00931E70"/>
    <w:rsid w:val="00934DBD"/>
    <w:rsid w:val="00947B13"/>
    <w:rsid w:val="00951176"/>
    <w:rsid w:val="00951CD3"/>
    <w:rsid w:val="009528F1"/>
    <w:rsid w:val="00952E93"/>
    <w:rsid w:val="00955E92"/>
    <w:rsid w:val="00956462"/>
    <w:rsid w:val="00972C44"/>
    <w:rsid w:val="00982647"/>
    <w:rsid w:val="0098474A"/>
    <w:rsid w:val="00986EED"/>
    <w:rsid w:val="009A040F"/>
    <w:rsid w:val="009A39FD"/>
    <w:rsid w:val="009A7579"/>
    <w:rsid w:val="009B3740"/>
    <w:rsid w:val="009B3B1C"/>
    <w:rsid w:val="009C5C83"/>
    <w:rsid w:val="009E031F"/>
    <w:rsid w:val="009F28CB"/>
    <w:rsid w:val="00A065AE"/>
    <w:rsid w:val="00A06CC1"/>
    <w:rsid w:val="00A1115B"/>
    <w:rsid w:val="00A11A50"/>
    <w:rsid w:val="00A1234C"/>
    <w:rsid w:val="00A330D4"/>
    <w:rsid w:val="00A6371B"/>
    <w:rsid w:val="00A6515A"/>
    <w:rsid w:val="00A6606A"/>
    <w:rsid w:val="00A70ED6"/>
    <w:rsid w:val="00A778AE"/>
    <w:rsid w:val="00A861A5"/>
    <w:rsid w:val="00A94DB3"/>
    <w:rsid w:val="00AA1747"/>
    <w:rsid w:val="00AB2C31"/>
    <w:rsid w:val="00AC5DDF"/>
    <w:rsid w:val="00AC7ECB"/>
    <w:rsid w:val="00AD056D"/>
    <w:rsid w:val="00AD7366"/>
    <w:rsid w:val="00AF3487"/>
    <w:rsid w:val="00AF4E91"/>
    <w:rsid w:val="00B04A16"/>
    <w:rsid w:val="00B07A6B"/>
    <w:rsid w:val="00B12DAB"/>
    <w:rsid w:val="00B15056"/>
    <w:rsid w:val="00B1568B"/>
    <w:rsid w:val="00B2006E"/>
    <w:rsid w:val="00B2247D"/>
    <w:rsid w:val="00B24153"/>
    <w:rsid w:val="00B46DFE"/>
    <w:rsid w:val="00B5408B"/>
    <w:rsid w:val="00B55A41"/>
    <w:rsid w:val="00B6621B"/>
    <w:rsid w:val="00B77998"/>
    <w:rsid w:val="00B8322E"/>
    <w:rsid w:val="00B9233B"/>
    <w:rsid w:val="00BA3CF9"/>
    <w:rsid w:val="00BA44F4"/>
    <w:rsid w:val="00BA48CF"/>
    <w:rsid w:val="00BA6852"/>
    <w:rsid w:val="00BB20D6"/>
    <w:rsid w:val="00BB4367"/>
    <w:rsid w:val="00BC02C6"/>
    <w:rsid w:val="00BD02FC"/>
    <w:rsid w:val="00BD3B01"/>
    <w:rsid w:val="00BD5A83"/>
    <w:rsid w:val="00BD6131"/>
    <w:rsid w:val="00BE188E"/>
    <w:rsid w:val="00BE564B"/>
    <w:rsid w:val="00BE64D8"/>
    <w:rsid w:val="00C003CD"/>
    <w:rsid w:val="00C14478"/>
    <w:rsid w:val="00C1491D"/>
    <w:rsid w:val="00C151F6"/>
    <w:rsid w:val="00C22197"/>
    <w:rsid w:val="00C25864"/>
    <w:rsid w:val="00C37B06"/>
    <w:rsid w:val="00C4266E"/>
    <w:rsid w:val="00C5102E"/>
    <w:rsid w:val="00C55B59"/>
    <w:rsid w:val="00C57977"/>
    <w:rsid w:val="00C6086F"/>
    <w:rsid w:val="00C6422A"/>
    <w:rsid w:val="00C65154"/>
    <w:rsid w:val="00C65358"/>
    <w:rsid w:val="00C65A34"/>
    <w:rsid w:val="00C74D40"/>
    <w:rsid w:val="00CA387D"/>
    <w:rsid w:val="00CA426F"/>
    <w:rsid w:val="00CB35C1"/>
    <w:rsid w:val="00CB577E"/>
    <w:rsid w:val="00CC64B3"/>
    <w:rsid w:val="00CC73CE"/>
    <w:rsid w:val="00CD12DB"/>
    <w:rsid w:val="00CE1ED0"/>
    <w:rsid w:val="00CE6CF8"/>
    <w:rsid w:val="00CE75EA"/>
    <w:rsid w:val="00CE7FE5"/>
    <w:rsid w:val="00D11DCB"/>
    <w:rsid w:val="00D131D9"/>
    <w:rsid w:val="00D2047F"/>
    <w:rsid w:val="00D2181F"/>
    <w:rsid w:val="00D221E9"/>
    <w:rsid w:val="00D22D08"/>
    <w:rsid w:val="00D25B02"/>
    <w:rsid w:val="00D31DE7"/>
    <w:rsid w:val="00D32386"/>
    <w:rsid w:val="00D43C26"/>
    <w:rsid w:val="00D47A29"/>
    <w:rsid w:val="00D52AFF"/>
    <w:rsid w:val="00D56CB7"/>
    <w:rsid w:val="00D57150"/>
    <w:rsid w:val="00D65D3A"/>
    <w:rsid w:val="00D66612"/>
    <w:rsid w:val="00D70F0B"/>
    <w:rsid w:val="00D800D8"/>
    <w:rsid w:val="00D85F31"/>
    <w:rsid w:val="00D928F6"/>
    <w:rsid w:val="00D9404A"/>
    <w:rsid w:val="00D95BAC"/>
    <w:rsid w:val="00D9615A"/>
    <w:rsid w:val="00DA3741"/>
    <w:rsid w:val="00DA5527"/>
    <w:rsid w:val="00DB2107"/>
    <w:rsid w:val="00DB6AD1"/>
    <w:rsid w:val="00DD373E"/>
    <w:rsid w:val="00DE2AF2"/>
    <w:rsid w:val="00DF10E3"/>
    <w:rsid w:val="00E1037D"/>
    <w:rsid w:val="00E14C8A"/>
    <w:rsid w:val="00E15A43"/>
    <w:rsid w:val="00E16FF6"/>
    <w:rsid w:val="00E17446"/>
    <w:rsid w:val="00E324A1"/>
    <w:rsid w:val="00E559AC"/>
    <w:rsid w:val="00E56CD7"/>
    <w:rsid w:val="00E571B6"/>
    <w:rsid w:val="00E600C7"/>
    <w:rsid w:val="00E64E91"/>
    <w:rsid w:val="00E67145"/>
    <w:rsid w:val="00E703E4"/>
    <w:rsid w:val="00E714EF"/>
    <w:rsid w:val="00E778F9"/>
    <w:rsid w:val="00E85499"/>
    <w:rsid w:val="00E9001C"/>
    <w:rsid w:val="00E959E8"/>
    <w:rsid w:val="00EA193F"/>
    <w:rsid w:val="00EB1200"/>
    <w:rsid w:val="00EB1769"/>
    <w:rsid w:val="00EC146D"/>
    <w:rsid w:val="00EC2E32"/>
    <w:rsid w:val="00EC6A97"/>
    <w:rsid w:val="00ED2485"/>
    <w:rsid w:val="00EE038B"/>
    <w:rsid w:val="00EF62BC"/>
    <w:rsid w:val="00EF72BD"/>
    <w:rsid w:val="00F23F41"/>
    <w:rsid w:val="00F252BC"/>
    <w:rsid w:val="00F26D15"/>
    <w:rsid w:val="00F36641"/>
    <w:rsid w:val="00F52A99"/>
    <w:rsid w:val="00F570EB"/>
    <w:rsid w:val="00F6358E"/>
    <w:rsid w:val="00F667DF"/>
    <w:rsid w:val="00F71B77"/>
    <w:rsid w:val="00F726AF"/>
    <w:rsid w:val="00F73EB5"/>
    <w:rsid w:val="00F74598"/>
    <w:rsid w:val="00F86D13"/>
    <w:rsid w:val="00F92EF1"/>
    <w:rsid w:val="00F949F6"/>
    <w:rsid w:val="00FB4F8C"/>
    <w:rsid w:val="00FB695C"/>
    <w:rsid w:val="00FB6E43"/>
    <w:rsid w:val="00FC3DC4"/>
    <w:rsid w:val="00FC49D1"/>
    <w:rsid w:val="00FC7F27"/>
    <w:rsid w:val="00FD5776"/>
    <w:rsid w:val="00FF05F4"/>
    <w:rsid w:val="00FF06F4"/>
    <w:rsid w:val="00FF36A9"/>
    <w:rsid w:val="1AD30F7B"/>
    <w:rsid w:val="1CF97FE8"/>
    <w:rsid w:val="5EDD47E6"/>
    <w:rsid w:val="646B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sz w:val="32"/>
      <w:szCs w:val="32"/>
    </w:rPr>
  </w:style>
  <w:style w:type="paragraph" w:styleId="3">
    <w:name w:val="heading 2"/>
    <w:basedOn w:val="1"/>
    <w:next w:val="1"/>
    <w:link w:val="29"/>
    <w:semiHidden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paragraph" w:styleId="4">
    <w:name w:val="heading 3"/>
    <w:basedOn w:val="3"/>
    <w:next w:val="1"/>
    <w:link w:val="28"/>
    <w:qFormat/>
    <w:uiPriority w:val="0"/>
    <w:pPr>
      <w:overflowPunct w:val="0"/>
      <w:autoSpaceDE w:val="0"/>
      <w:autoSpaceDN w:val="0"/>
      <w:adjustRightInd w:val="0"/>
      <w:spacing w:before="120" w:after="180" w:line="240" w:lineRule="auto"/>
      <w:ind w:left="1134" w:hanging="1134"/>
      <w:textAlignment w:val="baseline"/>
      <w:outlineLvl w:val="2"/>
    </w:pPr>
    <w:rPr>
      <w:rFonts w:ascii="Arial" w:hAnsi="Arial" w:eastAsia="Times New Roman" w:cs="Times New Roman"/>
      <w:color w:val="auto"/>
      <w:sz w:val="28"/>
      <w:szCs w:val="20"/>
      <w:lang w:val="en-GB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3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6">
    <w:name w:val="Balloon Text"/>
    <w:basedOn w:val="1"/>
    <w:link w:val="16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footer"/>
    <w:basedOn w:val="1"/>
    <w:link w:val="20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8">
    <w:name w:val="header"/>
    <w:basedOn w:val="1"/>
    <w:link w:val="1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27"/>
    <w:qFormat/>
    <w:uiPriority w:val="11"/>
    <w:pPr>
      <w:overflowPunct w:val="0"/>
      <w:autoSpaceDE w:val="0"/>
      <w:autoSpaceDN w:val="0"/>
      <w:adjustRightInd w:val="0"/>
      <w:spacing w:line="240" w:lineRule="auto"/>
      <w:textAlignment w:val="baseline"/>
    </w:pPr>
    <w:rPr>
      <w:color w:val="595959" w:themeColor="text1" w:themeTint="A6"/>
      <w:spacing w:val="15"/>
      <w:lang w:val="en-GB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annotation subject"/>
    <w:basedOn w:val="5"/>
    <w:next w:val="5"/>
    <w:link w:val="24"/>
    <w:semiHidden/>
    <w:unhideWhenUsed/>
    <w:uiPriority w:val="99"/>
    <w:rPr>
      <w:b/>
      <w:bCs/>
    </w:rPr>
  </w:style>
  <w:style w:type="table" w:styleId="12">
    <w:name w:val="Table Grid"/>
    <w:basedOn w:val="11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annotation reference"/>
    <w:basedOn w:val="13"/>
    <w:semiHidden/>
    <w:unhideWhenUsed/>
    <w:uiPriority w:val="99"/>
    <w:rPr>
      <w:sz w:val="16"/>
      <w:szCs w:val="16"/>
    </w:rPr>
  </w:style>
  <w:style w:type="character" w:customStyle="1" w:styleId="16">
    <w:name w:val="批注框文本 字符"/>
    <w:basedOn w:val="13"/>
    <w:link w:val="6"/>
    <w:semiHidden/>
    <w:uiPriority w:val="99"/>
    <w:rPr>
      <w:rFonts w:ascii="Segoe UI" w:hAnsi="Segoe UI" w:cs="Segoe UI"/>
      <w:sz w:val="18"/>
      <w:szCs w:val="18"/>
    </w:rPr>
  </w:style>
  <w:style w:type="character" w:customStyle="1" w:styleId="17">
    <w:name w:val="标题 1 字符"/>
    <w:basedOn w:val="13"/>
    <w:link w:val="2"/>
    <w:uiPriority w:val="9"/>
    <w:rPr>
      <w:rFonts w:asciiTheme="majorHAnsi" w:hAnsiTheme="majorHAnsi" w:eastAsiaTheme="majorEastAsia" w:cstheme="majorBidi"/>
      <w:sz w:val="32"/>
      <w:szCs w:val="32"/>
    </w:rPr>
  </w:style>
  <w:style w:type="character" w:customStyle="1" w:styleId="18">
    <w:name w:val="fontstyle01"/>
    <w:basedOn w:val="13"/>
    <w:uiPriority w:val="0"/>
    <w:rPr>
      <w:rFonts w:hint="default" w:ascii="Times New Roman" w:hAnsi="Times New Roman" w:cs="Times New Roman"/>
      <w:i/>
      <w:iCs/>
      <w:color w:val="000000"/>
      <w:sz w:val="20"/>
      <w:szCs w:val="20"/>
    </w:rPr>
  </w:style>
  <w:style w:type="character" w:customStyle="1" w:styleId="19">
    <w:name w:val="页眉 字符"/>
    <w:basedOn w:val="13"/>
    <w:link w:val="8"/>
    <w:uiPriority w:val="99"/>
    <w:rPr>
      <w:sz w:val="18"/>
      <w:szCs w:val="18"/>
    </w:rPr>
  </w:style>
  <w:style w:type="character" w:customStyle="1" w:styleId="20">
    <w:name w:val="页脚 字符"/>
    <w:basedOn w:val="13"/>
    <w:link w:val="7"/>
    <w:uiPriority w:val="99"/>
    <w:rPr>
      <w:sz w:val="18"/>
      <w:szCs w:val="18"/>
    </w:rPr>
  </w:style>
  <w:style w:type="paragraph" w:styleId="21">
    <w:name w:val="List Paragraph"/>
    <w:basedOn w:val="1"/>
    <w:link w:val="22"/>
    <w:qFormat/>
    <w:uiPriority w:val="34"/>
    <w:pPr>
      <w:autoSpaceDE w:val="0"/>
      <w:autoSpaceDN w:val="0"/>
      <w:adjustRightInd w:val="0"/>
      <w:snapToGrid w:val="0"/>
      <w:spacing w:after="120" w:line="240" w:lineRule="auto"/>
      <w:ind w:firstLine="420" w:firstLineChars="200"/>
      <w:jc w:val="both"/>
    </w:pPr>
    <w:rPr>
      <w:rFonts w:ascii="Times New Roman" w:hAnsi="Times New Roman" w:eastAsia="宋体" w:cs="Times New Roman"/>
    </w:rPr>
  </w:style>
  <w:style w:type="character" w:customStyle="1" w:styleId="22">
    <w:name w:val="列表段落 字符"/>
    <w:link w:val="21"/>
    <w:qFormat/>
    <w:locked/>
    <w:uiPriority w:val="99"/>
    <w:rPr>
      <w:rFonts w:ascii="Times New Roman" w:hAnsi="Times New Roman" w:eastAsia="宋体" w:cs="Times New Roman"/>
    </w:rPr>
  </w:style>
  <w:style w:type="character" w:customStyle="1" w:styleId="23">
    <w:name w:val="批注文字 字符"/>
    <w:basedOn w:val="13"/>
    <w:link w:val="5"/>
    <w:semiHidden/>
    <w:uiPriority w:val="99"/>
    <w:rPr>
      <w:sz w:val="20"/>
      <w:szCs w:val="20"/>
    </w:rPr>
  </w:style>
  <w:style w:type="character" w:customStyle="1" w:styleId="24">
    <w:name w:val="批注主题 字符"/>
    <w:basedOn w:val="23"/>
    <w:link w:val="10"/>
    <w:semiHidden/>
    <w:uiPriority w:val="99"/>
    <w:rPr>
      <w:b/>
      <w:bCs/>
      <w:sz w:val="20"/>
      <w:szCs w:val="20"/>
    </w:rPr>
  </w:style>
  <w:style w:type="character" w:customStyle="1" w:styleId="25">
    <w:name w:val="Book Title"/>
    <w:basedOn w:val="13"/>
    <w:qFormat/>
    <w:uiPriority w:val="33"/>
    <w:rPr>
      <w:b/>
      <w:bCs/>
      <w:i/>
      <w:iCs/>
      <w:spacing w:val="5"/>
    </w:rPr>
  </w:style>
  <w:style w:type="character" w:customStyle="1" w:styleId="26">
    <w:name w:val="Intense Reference"/>
    <w:basedOn w:val="13"/>
    <w:qFormat/>
    <w:uiPriority w:val="32"/>
    <w:rPr>
      <w:b/>
      <w:bCs/>
      <w:smallCaps/>
      <w:color w:val="4472C4" w:themeColor="accent1"/>
      <w:spacing w:val="5"/>
      <w14:textFill>
        <w14:solidFill>
          <w14:schemeClr w14:val="accent1"/>
        </w14:solidFill>
      </w14:textFill>
    </w:rPr>
  </w:style>
  <w:style w:type="character" w:customStyle="1" w:styleId="27">
    <w:name w:val="副标题 字符"/>
    <w:basedOn w:val="13"/>
    <w:link w:val="9"/>
    <w:uiPriority w:val="11"/>
    <w:rPr>
      <w:color w:val="595959" w:themeColor="text1" w:themeTint="A6"/>
      <w:spacing w:val="15"/>
      <w:lang w:val="en-GB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3 字符"/>
    <w:basedOn w:val="13"/>
    <w:link w:val="4"/>
    <w:uiPriority w:val="0"/>
    <w:rPr>
      <w:rFonts w:ascii="Arial" w:hAnsi="Arial" w:eastAsia="Times New Roman" w:cs="Times New Roman"/>
      <w:sz w:val="28"/>
      <w:szCs w:val="20"/>
      <w:lang w:val="en-GB"/>
    </w:rPr>
  </w:style>
  <w:style w:type="character" w:customStyle="1" w:styleId="29">
    <w:name w:val="标题 2 字符"/>
    <w:basedOn w:val="13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paragraph" w:customStyle="1" w:styleId="30">
    <w:name w:val="maintext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31">
    <w:name w:val="main text"/>
    <w:basedOn w:val="1"/>
    <w:link w:val="32"/>
    <w:qFormat/>
    <w:uiPriority w:val="0"/>
    <w:pPr>
      <w:spacing w:before="60" w:after="60" w:line="288" w:lineRule="auto"/>
      <w:ind w:firstLine="200" w:firstLineChars="200"/>
      <w:jc w:val="both"/>
    </w:pPr>
    <w:rPr>
      <w:rFonts w:ascii="Times New Roman" w:hAnsi="Times New Roman" w:eastAsia="Malgun Gothic" w:cs="Times New Roman"/>
      <w:sz w:val="20"/>
      <w:szCs w:val="20"/>
      <w:lang w:val="en-GB" w:eastAsia="ko-KR"/>
    </w:rPr>
  </w:style>
  <w:style w:type="character" w:customStyle="1" w:styleId="32">
    <w:name w:val="main text Char"/>
    <w:link w:val="31"/>
    <w:qFormat/>
    <w:uiPriority w:val="0"/>
    <w:rPr>
      <w:rFonts w:ascii="Times New Roman" w:hAnsi="Times New Roman" w:eastAsia="Malgun Gothic" w:cs="Times New Roman"/>
      <w:sz w:val="20"/>
      <w:szCs w:val="20"/>
      <w:lang w:val="en-GB" w:eastAsia="ko-KR"/>
    </w:rPr>
  </w:style>
  <w:style w:type="character" w:customStyle="1" w:styleId="33">
    <w:name w:val="apple-converted-space"/>
    <w:qFormat/>
    <w:uiPriority w:val="0"/>
  </w:style>
  <w:style w:type="table" w:customStyle="1" w:styleId="34">
    <w:name w:val="Grid Table 1 Light"/>
    <w:basedOn w:val="11"/>
    <w:uiPriority w:val="46"/>
    <w:pPr>
      <w:spacing w:after="0" w:line="240" w:lineRule="auto"/>
    </w:pPr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2347</Words>
  <Characters>13379</Characters>
  <Lines>111</Lines>
  <Paragraphs>31</Paragraphs>
  <TotalTime>1</TotalTime>
  <ScaleCrop>false</ScaleCrop>
  <LinksUpToDate>false</LinksUpToDate>
  <CharactersWithSpaces>15695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2021-08-31T13:41:00Z</dcterms:created>
  <dc:creator>Luca Blessent</dc:creator>
  <cp:lastModifiedBy>ZTE_xwm</cp:lastModifiedBy>
  <dcterms:modified xsi:type="dcterms:W3CDTF">2021-09-07T06:18:50Z</dcterms:modified>
  <cp:revision>147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(2)uVrLbTV1XPhxxpuBy+VGPcRJesS5B4DEMj13SDIrklAGqRnmyNP6hUWUI4IqXDN424WHWBOg
P4TE3Pq52Ad7gNDtkYWrAackWjSunF5LoYZr9EaZHoUcLjE2cug7tmRTzYNOmPz8cK/JmQGT
eCRI+/dy2LL7r6lMaV/UJJHw+ujhQ9WZ82cOHAImNFrl6xvIe89S6mh0rQjq0UpJSfBj7zJ5
y3L1emli1+CWY8By7I</vt:lpwstr>
  </property>
  <property fmtid="{D5CDD505-2E9C-101B-9397-08002B2CF9AE}" pid="3" name="_2015_ms_pID_7253431">
    <vt:lpwstr>uRVeyEP4Gpv0dmNhlO+zBaT9U6TZkfrG/M4vx+2K2LmK1+BA3ouM44
/HNvZAg1D/S4+hmQ13jHPFqhA4QRAFkqBCRaFFTlGvvcYQ/onXCXRaGBfW5F576W/hZmrwNo
YU9l1lxI5X40oRbpMCJT+olpiqjpuggxTDF47AfGizoJoQ/zxeOB9Q4TVQiUKSpTCHE=</vt:lpwstr>
  </property>
  <property fmtid="{D5CDD505-2E9C-101B-9397-08002B2CF9AE}" pid="4" name="KSOProductBuildVer">
    <vt:lpwstr>2052-11.8.2.9022</vt:lpwstr>
  </property>
</Properties>
</file>