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Futurewei (including </w:t>
      </w:r>
      <w:r w:rsidR="00BB5817" w:rsidRPr="00DA2F30">
        <w:rPr>
          <w:rFonts w:eastAsia="微软雅黑"/>
          <w:sz w:val="20"/>
          <w:szCs w:val="20"/>
        </w:rPr>
        <w:t>SRS and other UL channels/signals</w:t>
      </w:r>
      <w:r w:rsidR="00BB5817">
        <w:rPr>
          <w:rFonts w:eastAsia="微软雅黑"/>
          <w:sz w:val="20"/>
          <w:szCs w:val="20"/>
        </w:rPr>
        <w:t>), Huawei/HiSilicon, Spreadtrum,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Lenovo/MotM,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w:t>
      </w:r>
      <w:r w:rsidR="00986205">
        <w:rPr>
          <w:rFonts w:eastAsia="微软雅黑"/>
          <w:sz w:val="20"/>
          <w:szCs w:val="20"/>
        </w:rPr>
        <w:lastRenderedPageBreak/>
        <w:t xml:space="preserve">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A6F1F8B"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9" w14:textId="52ACCE31" w:rsidR="004233EB" w:rsidRDefault="004233EB" w:rsidP="003F76D2">
            <w:pPr>
              <w:widowControl w:val="0"/>
              <w:snapToGrid w:val="0"/>
              <w:spacing w:before="120" w:after="120" w:line="240" w:lineRule="auto"/>
              <w:rPr>
                <w:rFonts w:eastAsia="微软雅黑"/>
                <w:sz w:val="20"/>
                <w:szCs w:val="20"/>
              </w:rPr>
            </w:pPr>
          </w:p>
        </w:tc>
      </w:tr>
      <w:tr w:rsidR="004233EB" w14:paraId="00E3AE4D" w14:textId="77777777" w:rsidTr="00515754">
        <w:tc>
          <w:tcPr>
            <w:tcW w:w="2405" w:type="dxa"/>
          </w:tcPr>
          <w:p w14:paraId="00E3AE4B" w14:textId="10BF93C4"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2419E6FF" w:rsidR="00106415" w:rsidRDefault="00106415"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79F8E64B"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2094727D" w:rsidR="004233EB" w:rsidRDefault="004233EB" w:rsidP="00515754">
            <w:pPr>
              <w:widowControl w:val="0"/>
              <w:snapToGrid w:val="0"/>
              <w:spacing w:before="120" w:after="120" w:line="240" w:lineRule="auto"/>
              <w:rPr>
                <w:rFonts w:eastAsia="微软雅黑"/>
                <w:sz w:val="20"/>
                <w:szCs w:val="20"/>
              </w:rPr>
            </w:pP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 xml:space="preserve">Qualcomm (for each CC), </w:t>
            </w:r>
            <w:r w:rsidRPr="006C43A0">
              <w:rPr>
                <w:rFonts w:eastAsia="微软雅黑"/>
                <w:iCs/>
                <w:sz w:val="20"/>
                <w:szCs w:val="20"/>
              </w:rPr>
              <w:lastRenderedPageBreak/>
              <w:t>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bookmarkStart w:id="2" w:name="_GoBack"/>
      <w:bookmarkEnd w:id="2"/>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8FF193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B" w14:textId="3719848E" w:rsidR="00BF7B35" w:rsidRDefault="00BF7B35" w:rsidP="00515754">
            <w:pPr>
              <w:widowControl w:val="0"/>
              <w:snapToGrid w:val="0"/>
              <w:spacing w:before="120" w:after="120" w:line="240" w:lineRule="auto"/>
              <w:rPr>
                <w:rFonts w:eastAsia="微软雅黑"/>
                <w:sz w:val="20"/>
                <w:szCs w:val="20"/>
              </w:rPr>
            </w:pPr>
          </w:p>
        </w:tc>
      </w:tr>
      <w:tr w:rsidR="00BF7B35" w14:paraId="00E3AEEF" w14:textId="77777777" w:rsidTr="00515754">
        <w:tc>
          <w:tcPr>
            <w:tcW w:w="2405" w:type="dxa"/>
          </w:tcPr>
          <w:p w14:paraId="00E3AEED" w14:textId="2E47F0E2"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1D7861AD"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685E8F81"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18F0C913" w:rsidR="00EF5E1E" w:rsidRDefault="00EF5E1E" w:rsidP="00EF5E1E">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7D1013A6"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 xml:space="preserve">Support indicating </w:t>
      </w:r>
      <w:r w:rsidR="00A91755" w:rsidRPr="00A91755">
        <w:rPr>
          <w:rFonts w:eastAsia="微软雅黑"/>
          <w:i/>
          <w:sz w:val="20"/>
          <w:szCs w:val="20"/>
        </w:rPr>
        <w:t>the preferred antenna switching configuration</w:t>
      </w:r>
      <w:r w:rsidR="00AE6022" w:rsidRPr="00D65341">
        <w:rPr>
          <w:rFonts w:eastAsia="微软雅黑"/>
          <w:i/>
          <w:sz w:val="20"/>
          <w:szCs w:val="20"/>
        </w:rPr>
        <w:t xml:space="preserve"> for SRS antenna switching via </w:t>
      </w:r>
      <w:r w:rsidR="0088351F">
        <w:rPr>
          <w:rFonts w:eastAsia="微软雅黑"/>
          <w:i/>
          <w:sz w:val="20"/>
          <w:szCs w:val="20"/>
        </w:rPr>
        <w:t>dynamic signaling</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4298DCA0" w:rsidR="00A848AB" w:rsidRDefault="00A848AB"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Adopt at least one of the following for the dynamic signaling</w:t>
      </w:r>
    </w:p>
    <w:p w14:paraId="7D54C668" w14:textId="271CCB0A" w:rsidR="00A848AB" w:rsidRDefault="00A848AB" w:rsidP="00A848AB">
      <w:pPr>
        <w:pStyle w:val="aff"/>
        <w:widowControl w:val="0"/>
        <w:numPr>
          <w:ilvl w:val="1"/>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1: MAC CE</w:t>
      </w:r>
    </w:p>
    <w:p w14:paraId="16A5F8A1" w14:textId="2CCCA9DC" w:rsidR="00A848AB" w:rsidRDefault="00A848AB" w:rsidP="00A848A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Alt 2: DCI</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3152F3B"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C" w14:textId="32B77521" w:rsidR="00A54B5D" w:rsidRDefault="00A54B5D" w:rsidP="00515754">
            <w:pPr>
              <w:widowControl w:val="0"/>
              <w:snapToGrid w:val="0"/>
              <w:spacing w:before="120" w:after="120" w:line="240" w:lineRule="auto"/>
              <w:rPr>
                <w:rFonts w:eastAsia="微软雅黑"/>
                <w:sz w:val="20"/>
                <w:szCs w:val="20"/>
              </w:rPr>
            </w:pPr>
          </w:p>
        </w:tc>
      </w:tr>
      <w:tr w:rsidR="00066B0A" w14:paraId="00E3AF50" w14:textId="77777777" w:rsidTr="00515754">
        <w:tc>
          <w:tcPr>
            <w:tcW w:w="2405" w:type="dxa"/>
          </w:tcPr>
          <w:p w14:paraId="00E3AF4E" w14:textId="0ACD0085"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1EC1C5C6" w:rsidR="008A0314" w:rsidRDefault="008A0314"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20F50506"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75999BA5" w:rsidR="00066B0A" w:rsidRDefault="00066B0A" w:rsidP="006F57C1">
            <w:pPr>
              <w:widowControl w:val="0"/>
              <w:snapToGrid w:val="0"/>
              <w:spacing w:before="120" w:after="120" w:line="240" w:lineRule="auto"/>
              <w:rPr>
                <w:rFonts w:eastAsia="微软雅黑"/>
                <w:sz w:val="20"/>
                <w:szCs w:val="20"/>
              </w:rPr>
            </w:pP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Default="00201A82">
      <w:pPr>
        <w:widowControl w:val="0"/>
        <w:snapToGrid w:val="0"/>
        <w:spacing w:before="120" w:after="120" w:line="240" w:lineRule="auto"/>
        <w:jc w:val="both"/>
        <w:rPr>
          <w:rFonts w:eastAsia="微软雅黑"/>
          <w:sz w:val="20"/>
          <w:szCs w:val="20"/>
          <w:lang w:val="fi-FI"/>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7E409E">
        <w:rPr>
          <w:rFonts w:eastAsia="微软雅黑"/>
          <w:sz w:val="20"/>
          <w:szCs w:val="20"/>
          <w:lang w:val="fi-FI"/>
        </w:rPr>
        <w:t>Ericsson, Xiaomi, Nokia/NSB, Huawei/HiSilicon</w:t>
      </w:r>
      <w:r>
        <w:rPr>
          <w:rFonts w:eastAsia="微软雅黑"/>
          <w:sz w:val="20"/>
          <w:szCs w:val="20"/>
          <w:lang w:val="fi-FI"/>
        </w:rPr>
        <w:t>, CATT, Intel, ZTE</w:t>
      </w:r>
      <w:r w:rsidR="008F4F51">
        <w:rPr>
          <w:rFonts w:eastAsia="微软雅黑"/>
          <w:sz w:val="20"/>
          <w:szCs w:val="20"/>
          <w:lang w:val="fi-FI"/>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Pr>
          <w:rFonts w:eastAsia="微软雅黑"/>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467D9ECF" w:rsidR="00A175CA" w:rsidRDefault="00A175CA" w:rsidP="006E3B3D">
            <w:pPr>
              <w:widowControl w:val="0"/>
              <w:snapToGrid w:val="0"/>
              <w:spacing w:before="120" w:after="120" w:line="240" w:lineRule="auto"/>
              <w:rPr>
                <w:rFonts w:eastAsia="微软雅黑"/>
                <w:sz w:val="20"/>
                <w:szCs w:val="20"/>
              </w:rPr>
            </w:pPr>
          </w:p>
        </w:tc>
        <w:tc>
          <w:tcPr>
            <w:tcW w:w="6945" w:type="dxa"/>
          </w:tcPr>
          <w:p w14:paraId="3A31AB1E" w14:textId="55194BCB" w:rsidR="009634AA" w:rsidRPr="009634AA" w:rsidRDefault="009634AA" w:rsidP="006E3B3D">
            <w:pPr>
              <w:widowControl w:val="0"/>
              <w:snapToGrid w:val="0"/>
              <w:spacing w:before="120" w:after="120" w:line="240" w:lineRule="auto"/>
              <w:jc w:val="both"/>
              <w:rPr>
                <w:rFonts w:eastAsia="微软雅黑"/>
                <w:sz w:val="20"/>
                <w:szCs w:val="20"/>
              </w:rPr>
            </w:pPr>
          </w:p>
        </w:tc>
      </w:tr>
      <w:tr w:rsidR="00A175CA" w14:paraId="54E90B5C" w14:textId="77777777" w:rsidTr="006E3B3D">
        <w:tc>
          <w:tcPr>
            <w:tcW w:w="2405" w:type="dxa"/>
          </w:tcPr>
          <w:p w14:paraId="73EFA8E6" w14:textId="77732A60"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5C4252E6" w:rsidR="00A175CA" w:rsidRDefault="00A175CA" w:rsidP="008318E4">
            <w:pPr>
              <w:widowControl w:val="0"/>
              <w:snapToGrid w:val="0"/>
              <w:spacing w:before="120" w:after="120" w:line="240" w:lineRule="auto"/>
              <w:rPr>
                <w:rFonts w:eastAsia="微软雅黑"/>
                <w:sz w:val="20"/>
                <w:szCs w:val="20"/>
              </w:rPr>
            </w:pPr>
          </w:p>
        </w:tc>
      </w:tr>
      <w:tr w:rsidR="0077131B" w14:paraId="27F40E7A" w14:textId="77777777" w:rsidTr="006E3B3D">
        <w:tc>
          <w:tcPr>
            <w:tcW w:w="2405" w:type="dxa"/>
          </w:tcPr>
          <w:p w14:paraId="0B65B991" w14:textId="2ACC5A75" w:rsidR="0077131B" w:rsidRDefault="0077131B" w:rsidP="0077131B">
            <w:pPr>
              <w:widowControl w:val="0"/>
              <w:snapToGrid w:val="0"/>
              <w:spacing w:before="120" w:after="120" w:line="240" w:lineRule="auto"/>
              <w:rPr>
                <w:rFonts w:eastAsia="微软雅黑"/>
                <w:sz w:val="20"/>
                <w:szCs w:val="20"/>
              </w:rPr>
            </w:pPr>
          </w:p>
        </w:tc>
        <w:tc>
          <w:tcPr>
            <w:tcW w:w="6945" w:type="dxa"/>
          </w:tcPr>
          <w:p w14:paraId="588CADCA" w14:textId="182DA980" w:rsidR="0077131B" w:rsidRDefault="0077131B" w:rsidP="0077131B">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2667E19F" w:rsidR="006A44B5" w:rsidRDefault="006A44B5" w:rsidP="006E3B3D">
            <w:pPr>
              <w:widowControl w:val="0"/>
              <w:snapToGrid w:val="0"/>
              <w:spacing w:before="120" w:after="120" w:line="240" w:lineRule="auto"/>
              <w:rPr>
                <w:rFonts w:eastAsia="微软雅黑"/>
                <w:sz w:val="20"/>
                <w:szCs w:val="20"/>
              </w:rPr>
            </w:pPr>
          </w:p>
        </w:tc>
        <w:tc>
          <w:tcPr>
            <w:tcW w:w="8200" w:type="dxa"/>
          </w:tcPr>
          <w:p w14:paraId="553BF5CD" w14:textId="119F46B2" w:rsidR="006A44B5" w:rsidRPr="006904A5" w:rsidRDefault="006A44B5" w:rsidP="00151FBE">
            <w:pPr>
              <w:pStyle w:val="a4"/>
              <w:rPr>
                <w:b w:val="0"/>
                <w:lang w:eastAsia="zh-CN"/>
              </w:rPr>
            </w:pPr>
          </w:p>
        </w:tc>
      </w:tr>
      <w:tr w:rsidR="008319F3" w14:paraId="337D4DEF" w14:textId="77777777" w:rsidTr="009A0246">
        <w:tc>
          <w:tcPr>
            <w:tcW w:w="1150" w:type="dxa"/>
          </w:tcPr>
          <w:p w14:paraId="6CA71491" w14:textId="20E586B7" w:rsidR="008319F3" w:rsidRDefault="008319F3" w:rsidP="008319F3">
            <w:pPr>
              <w:widowControl w:val="0"/>
              <w:snapToGrid w:val="0"/>
              <w:spacing w:before="120" w:after="120" w:line="240" w:lineRule="auto"/>
              <w:rPr>
                <w:rFonts w:eastAsia="微软雅黑"/>
                <w:sz w:val="20"/>
                <w:szCs w:val="20"/>
              </w:rPr>
            </w:pPr>
          </w:p>
        </w:tc>
        <w:tc>
          <w:tcPr>
            <w:tcW w:w="8200" w:type="dxa"/>
          </w:tcPr>
          <w:p w14:paraId="60CCFFC7" w14:textId="7A476B1F" w:rsidR="008319F3" w:rsidRDefault="008319F3" w:rsidP="008319F3">
            <w:pPr>
              <w:widowControl w:val="0"/>
              <w:snapToGrid w:val="0"/>
              <w:spacing w:before="120" w:after="120" w:line="240" w:lineRule="auto"/>
              <w:rPr>
                <w:rFonts w:eastAsia="微软雅黑"/>
                <w:sz w:val="20"/>
                <w:szCs w:val="20"/>
              </w:rPr>
            </w:pPr>
          </w:p>
        </w:tc>
      </w:tr>
      <w:tr w:rsidR="00E82CFA" w14:paraId="59B35405" w14:textId="77777777" w:rsidTr="009A0246">
        <w:tc>
          <w:tcPr>
            <w:tcW w:w="1150" w:type="dxa"/>
          </w:tcPr>
          <w:p w14:paraId="69239F17" w14:textId="30E1B1E6" w:rsidR="00E82CFA" w:rsidRPr="00E82CFA" w:rsidRDefault="00E82CFA" w:rsidP="00E82CFA">
            <w:pPr>
              <w:widowControl w:val="0"/>
              <w:snapToGrid w:val="0"/>
              <w:spacing w:before="120" w:after="120" w:line="240" w:lineRule="auto"/>
              <w:rPr>
                <w:rFonts w:eastAsia="微软雅黑"/>
                <w:sz w:val="20"/>
                <w:szCs w:val="20"/>
              </w:rPr>
            </w:pPr>
          </w:p>
        </w:tc>
        <w:tc>
          <w:tcPr>
            <w:tcW w:w="8200" w:type="dxa"/>
          </w:tcPr>
          <w:p w14:paraId="169B2A52" w14:textId="206DD71A" w:rsidR="00E82CFA" w:rsidRPr="00E82CFA" w:rsidRDefault="00E82CFA" w:rsidP="00E82CFA">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2-0: Do not introduce guard symbols between SRS resource sets, i.e., guard symbols only appears </w:t>
      </w:r>
      <w:r>
        <w:rPr>
          <w:rFonts w:eastAsia="微软雅黑"/>
          <w:i/>
          <w:sz w:val="20"/>
          <w:szCs w:val="20"/>
        </w:rPr>
        <w:lastRenderedPageBreak/>
        <w:t>between SRS resources in a resource set</w:t>
      </w:r>
    </w:p>
    <w:p w14:paraId="2F4AF920" w14:textId="5756E448"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2C5C8148" w:rsidR="000A757B" w:rsidRDefault="000A757B" w:rsidP="006E3B3D">
            <w:pPr>
              <w:widowControl w:val="0"/>
              <w:snapToGrid w:val="0"/>
              <w:spacing w:before="120" w:after="120" w:line="240" w:lineRule="auto"/>
              <w:rPr>
                <w:rFonts w:eastAsia="微软雅黑"/>
                <w:sz w:val="20"/>
                <w:szCs w:val="20"/>
              </w:rPr>
            </w:pPr>
          </w:p>
        </w:tc>
        <w:tc>
          <w:tcPr>
            <w:tcW w:w="6945" w:type="dxa"/>
          </w:tcPr>
          <w:p w14:paraId="2784E877" w14:textId="7F4C4769" w:rsidR="000A757B" w:rsidRPr="00DB32B8" w:rsidRDefault="000A757B" w:rsidP="006E3B3D">
            <w:pPr>
              <w:widowControl w:val="0"/>
              <w:snapToGrid w:val="0"/>
              <w:spacing w:before="120" w:after="120" w:line="240" w:lineRule="auto"/>
              <w:jc w:val="both"/>
              <w:rPr>
                <w:rFonts w:eastAsia="微软雅黑"/>
                <w:sz w:val="20"/>
                <w:szCs w:val="20"/>
              </w:rPr>
            </w:pPr>
          </w:p>
        </w:tc>
      </w:tr>
      <w:tr w:rsidR="004F731B" w14:paraId="2D572E58" w14:textId="77777777" w:rsidTr="006E3B3D">
        <w:tc>
          <w:tcPr>
            <w:tcW w:w="2405" w:type="dxa"/>
          </w:tcPr>
          <w:p w14:paraId="41C89F99" w14:textId="51FC5DC7" w:rsidR="004F731B" w:rsidRDefault="004F731B" w:rsidP="004F731B">
            <w:pPr>
              <w:widowControl w:val="0"/>
              <w:snapToGrid w:val="0"/>
              <w:spacing w:before="120" w:after="120" w:line="240" w:lineRule="auto"/>
              <w:rPr>
                <w:rFonts w:eastAsia="微软雅黑"/>
                <w:sz w:val="20"/>
                <w:szCs w:val="20"/>
              </w:rPr>
            </w:pPr>
          </w:p>
        </w:tc>
        <w:tc>
          <w:tcPr>
            <w:tcW w:w="6945" w:type="dxa"/>
          </w:tcPr>
          <w:p w14:paraId="489F9656" w14:textId="73D8748E" w:rsidR="004F731B" w:rsidRDefault="004F731B" w:rsidP="004F731B">
            <w:pPr>
              <w:widowControl w:val="0"/>
              <w:snapToGrid w:val="0"/>
              <w:spacing w:before="120" w:after="120" w:line="240" w:lineRule="auto"/>
              <w:rPr>
                <w:rFonts w:eastAsia="微软雅黑"/>
                <w:sz w:val="20"/>
                <w:szCs w:val="20"/>
              </w:rPr>
            </w:pPr>
          </w:p>
        </w:tc>
      </w:tr>
      <w:tr w:rsidR="001050F2" w14:paraId="5CAB888A" w14:textId="77777777" w:rsidTr="006E3B3D">
        <w:tc>
          <w:tcPr>
            <w:tcW w:w="2405" w:type="dxa"/>
          </w:tcPr>
          <w:p w14:paraId="0499BC4A" w14:textId="60DFF6EB" w:rsidR="001050F2" w:rsidRDefault="001050F2" w:rsidP="001050F2">
            <w:pPr>
              <w:widowControl w:val="0"/>
              <w:snapToGrid w:val="0"/>
              <w:spacing w:before="120" w:after="120" w:line="240" w:lineRule="auto"/>
              <w:rPr>
                <w:rFonts w:eastAsia="微软雅黑"/>
                <w:sz w:val="20"/>
                <w:szCs w:val="20"/>
              </w:rPr>
            </w:pPr>
          </w:p>
        </w:tc>
        <w:tc>
          <w:tcPr>
            <w:tcW w:w="6945" w:type="dxa"/>
          </w:tcPr>
          <w:p w14:paraId="18D91FF4" w14:textId="59A66E3D" w:rsidR="001050F2" w:rsidRDefault="001050F2" w:rsidP="001050F2">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2D410F79" w:rsidR="00112DC3" w:rsidRDefault="00112DC3">
      <w:pPr>
        <w:widowControl w:val="0"/>
        <w:snapToGrid w:val="0"/>
        <w:spacing w:before="120" w:after="120" w:line="240" w:lineRule="auto"/>
        <w:jc w:val="both"/>
        <w:rPr>
          <w:rFonts w:eastAsia="微软雅黑" w:hint="eastAsia"/>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微软雅黑" w:hint="eastAsia"/>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0A3A9A"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8" w14:textId="419D8529" w:rsidR="0063231E" w:rsidRDefault="0063231E" w:rsidP="003D1131">
            <w:pPr>
              <w:widowControl w:val="0"/>
              <w:snapToGrid w:val="0"/>
              <w:spacing w:before="120" w:after="120" w:line="240" w:lineRule="auto"/>
              <w:rPr>
                <w:rFonts w:eastAsia="微软雅黑"/>
                <w:sz w:val="20"/>
                <w:szCs w:val="20"/>
              </w:rPr>
            </w:pPr>
          </w:p>
        </w:tc>
      </w:tr>
      <w:tr w:rsidR="0070469F" w14:paraId="00E3AFCC" w14:textId="77777777" w:rsidTr="00515754">
        <w:tc>
          <w:tcPr>
            <w:tcW w:w="2405" w:type="dxa"/>
          </w:tcPr>
          <w:p w14:paraId="00E3AFCA" w14:textId="557E4E51" w:rsidR="0070469F" w:rsidRDefault="0070469F" w:rsidP="0070469F">
            <w:pPr>
              <w:widowControl w:val="0"/>
              <w:snapToGrid w:val="0"/>
              <w:spacing w:before="120" w:after="120" w:line="240" w:lineRule="auto"/>
              <w:rPr>
                <w:rFonts w:eastAsia="微软雅黑"/>
                <w:sz w:val="20"/>
                <w:szCs w:val="20"/>
              </w:rPr>
            </w:pPr>
          </w:p>
        </w:tc>
        <w:tc>
          <w:tcPr>
            <w:tcW w:w="6945" w:type="dxa"/>
          </w:tcPr>
          <w:p w14:paraId="00E3AFCB" w14:textId="4A771570" w:rsidR="0070469F" w:rsidRDefault="0070469F" w:rsidP="0070469F">
            <w:pPr>
              <w:widowControl w:val="0"/>
              <w:snapToGrid w:val="0"/>
              <w:spacing w:before="120" w:after="120" w:line="240" w:lineRule="auto"/>
              <w:rPr>
                <w:rFonts w:eastAsia="微软雅黑"/>
                <w:sz w:val="20"/>
                <w:szCs w:val="20"/>
              </w:rPr>
            </w:pPr>
          </w:p>
        </w:tc>
      </w:tr>
      <w:tr w:rsidR="001050F2" w14:paraId="00E3AFCF" w14:textId="77777777" w:rsidTr="00515754">
        <w:tc>
          <w:tcPr>
            <w:tcW w:w="2405" w:type="dxa"/>
          </w:tcPr>
          <w:p w14:paraId="00E3AFCD" w14:textId="3A26CD20" w:rsidR="001050F2" w:rsidRDefault="001050F2" w:rsidP="001050F2">
            <w:pPr>
              <w:widowControl w:val="0"/>
              <w:snapToGrid w:val="0"/>
              <w:spacing w:before="120" w:after="120" w:line="240" w:lineRule="auto"/>
              <w:rPr>
                <w:rFonts w:eastAsia="微软雅黑"/>
                <w:sz w:val="20"/>
                <w:szCs w:val="20"/>
              </w:rPr>
            </w:pPr>
          </w:p>
        </w:tc>
        <w:tc>
          <w:tcPr>
            <w:tcW w:w="6945" w:type="dxa"/>
          </w:tcPr>
          <w:p w14:paraId="00E3AFCE" w14:textId="698F5117" w:rsidR="001050F2" w:rsidRDefault="001050F2" w:rsidP="001050F2">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6699BD1F" w:rsidR="00114F3D" w:rsidRDefault="00114F3D" w:rsidP="00515754">
            <w:pPr>
              <w:widowControl w:val="0"/>
              <w:snapToGrid w:val="0"/>
              <w:spacing w:before="120" w:after="120" w:line="240" w:lineRule="auto"/>
              <w:rPr>
                <w:rFonts w:eastAsia="微软雅黑"/>
                <w:sz w:val="20"/>
                <w:szCs w:val="20"/>
              </w:rPr>
            </w:pPr>
            <w:bookmarkStart w:id="3" w:name="_Hlk68990947"/>
          </w:p>
        </w:tc>
        <w:tc>
          <w:tcPr>
            <w:tcW w:w="6945" w:type="dxa"/>
          </w:tcPr>
          <w:p w14:paraId="00E3B020" w14:textId="68C4F28B" w:rsidR="00114F3D" w:rsidRDefault="00114F3D" w:rsidP="00515754">
            <w:pPr>
              <w:widowControl w:val="0"/>
              <w:snapToGrid w:val="0"/>
              <w:spacing w:before="120" w:after="120" w:line="240" w:lineRule="auto"/>
              <w:rPr>
                <w:rFonts w:eastAsia="微软雅黑"/>
                <w:sz w:val="20"/>
                <w:szCs w:val="20"/>
              </w:rPr>
            </w:pPr>
          </w:p>
        </w:tc>
      </w:tr>
      <w:bookmarkEnd w:id="3"/>
      <w:tr w:rsidR="00114F3D" w14:paraId="00E3B024" w14:textId="77777777" w:rsidTr="00515754">
        <w:tc>
          <w:tcPr>
            <w:tcW w:w="2405" w:type="dxa"/>
          </w:tcPr>
          <w:p w14:paraId="00E3B022" w14:textId="620377AF"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3" w14:textId="2C415916" w:rsidR="00114F3D" w:rsidRDefault="00114F3D" w:rsidP="00515754">
            <w:pPr>
              <w:widowControl w:val="0"/>
              <w:snapToGrid w:val="0"/>
              <w:spacing w:before="120" w:after="120" w:line="240" w:lineRule="auto"/>
              <w:rPr>
                <w:rFonts w:eastAsia="微软雅黑"/>
                <w:sz w:val="20"/>
                <w:szCs w:val="20"/>
              </w:rPr>
            </w:pPr>
          </w:p>
        </w:tc>
      </w:tr>
      <w:tr w:rsidR="00114F3D" w14:paraId="00E3B027" w14:textId="77777777" w:rsidTr="00515754">
        <w:tc>
          <w:tcPr>
            <w:tcW w:w="2405" w:type="dxa"/>
          </w:tcPr>
          <w:p w14:paraId="00E3B025" w14:textId="129CDFB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3A13547C" w:rsidR="00114F3D" w:rsidRDefault="00114F3D" w:rsidP="00515754">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80FFBAA" w:rsidR="00981C47" w:rsidRDefault="00981C47" w:rsidP="00981C47">
            <w:pPr>
              <w:widowControl w:val="0"/>
              <w:snapToGrid w:val="0"/>
              <w:spacing w:before="120" w:after="120" w:line="240" w:lineRule="auto"/>
              <w:rPr>
                <w:rFonts w:eastAsia="微软雅黑"/>
                <w:sz w:val="20"/>
                <w:szCs w:val="20"/>
              </w:rPr>
            </w:pPr>
          </w:p>
        </w:tc>
        <w:tc>
          <w:tcPr>
            <w:tcW w:w="6945" w:type="dxa"/>
          </w:tcPr>
          <w:p w14:paraId="7DEC8E4C" w14:textId="4979932D" w:rsidR="00981C47" w:rsidRDefault="00981C47" w:rsidP="00981C47">
            <w:pPr>
              <w:widowControl w:val="0"/>
              <w:snapToGrid w:val="0"/>
              <w:spacing w:before="120" w:after="120" w:line="240" w:lineRule="auto"/>
              <w:rPr>
                <w:rFonts w:eastAsia="微软雅黑"/>
                <w:sz w:val="20"/>
                <w:szCs w:val="20"/>
              </w:rPr>
            </w:pPr>
          </w:p>
        </w:tc>
      </w:tr>
      <w:tr w:rsidR="00981C47" w14:paraId="36DB23BA" w14:textId="77777777" w:rsidTr="006E3B3D">
        <w:tc>
          <w:tcPr>
            <w:tcW w:w="2405" w:type="dxa"/>
          </w:tcPr>
          <w:p w14:paraId="05B6249F" w14:textId="5FACE8B3" w:rsidR="00981C47" w:rsidRDefault="00981C47" w:rsidP="00981C47">
            <w:pPr>
              <w:widowControl w:val="0"/>
              <w:snapToGrid w:val="0"/>
              <w:spacing w:before="120" w:after="120" w:line="240" w:lineRule="auto"/>
              <w:rPr>
                <w:rFonts w:eastAsia="微软雅黑"/>
                <w:sz w:val="20"/>
                <w:szCs w:val="20"/>
              </w:rPr>
            </w:pPr>
          </w:p>
        </w:tc>
        <w:tc>
          <w:tcPr>
            <w:tcW w:w="6945" w:type="dxa"/>
          </w:tcPr>
          <w:p w14:paraId="37A7AE6C" w14:textId="78368C2F" w:rsidR="00981C47" w:rsidRDefault="00981C47" w:rsidP="000E2F28">
            <w:pPr>
              <w:widowControl w:val="0"/>
              <w:snapToGrid w:val="0"/>
              <w:spacing w:before="120" w:after="120" w:line="240" w:lineRule="auto"/>
              <w:rPr>
                <w:rFonts w:eastAsia="微软雅黑"/>
                <w:sz w:val="20"/>
                <w:szCs w:val="20"/>
              </w:rPr>
            </w:pPr>
          </w:p>
        </w:tc>
      </w:tr>
      <w:tr w:rsidR="00981C47" w14:paraId="5E96F4F6" w14:textId="77777777" w:rsidTr="006E3B3D">
        <w:tc>
          <w:tcPr>
            <w:tcW w:w="2405" w:type="dxa"/>
          </w:tcPr>
          <w:p w14:paraId="0FF65CC8" w14:textId="3B8E2A49"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0767FE29" w:rsidR="00981C47" w:rsidRDefault="00981C47" w:rsidP="00981C47">
            <w:pPr>
              <w:widowControl w:val="0"/>
              <w:snapToGrid w:val="0"/>
              <w:spacing w:before="120" w:after="120" w:line="240" w:lineRule="auto"/>
              <w:rPr>
                <w:rFonts w:eastAsia="微软雅黑"/>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A4029E0" w:rsidR="002A0304" w:rsidRDefault="002A0304" w:rsidP="006E3B3D">
            <w:pPr>
              <w:widowControl w:val="0"/>
              <w:snapToGrid w:val="0"/>
              <w:spacing w:before="120" w:after="120" w:line="240" w:lineRule="auto"/>
              <w:rPr>
                <w:rFonts w:eastAsia="微软雅黑"/>
                <w:sz w:val="20"/>
                <w:szCs w:val="20"/>
              </w:rPr>
            </w:pPr>
          </w:p>
        </w:tc>
        <w:tc>
          <w:tcPr>
            <w:tcW w:w="6945" w:type="dxa"/>
          </w:tcPr>
          <w:p w14:paraId="55814FE3" w14:textId="446B0F8B" w:rsidR="00EB019B" w:rsidRDefault="00EB019B" w:rsidP="00EB019B">
            <w:pPr>
              <w:widowControl w:val="0"/>
              <w:snapToGrid w:val="0"/>
              <w:spacing w:before="120" w:after="120" w:line="240" w:lineRule="auto"/>
              <w:rPr>
                <w:rFonts w:eastAsia="微软雅黑"/>
                <w:sz w:val="20"/>
                <w:szCs w:val="20"/>
              </w:rPr>
            </w:pPr>
          </w:p>
        </w:tc>
      </w:tr>
      <w:tr w:rsidR="006C4E41" w14:paraId="2A53FB08" w14:textId="77777777" w:rsidTr="006E3B3D">
        <w:tc>
          <w:tcPr>
            <w:tcW w:w="2405" w:type="dxa"/>
          </w:tcPr>
          <w:p w14:paraId="7D2EF503" w14:textId="33505EEF" w:rsidR="006C4E41" w:rsidRDefault="006C4E41" w:rsidP="006C4E41">
            <w:pPr>
              <w:widowControl w:val="0"/>
              <w:snapToGrid w:val="0"/>
              <w:spacing w:before="120" w:after="120" w:line="240" w:lineRule="auto"/>
              <w:rPr>
                <w:rFonts w:eastAsia="微软雅黑"/>
                <w:sz w:val="20"/>
                <w:szCs w:val="20"/>
              </w:rPr>
            </w:pPr>
          </w:p>
        </w:tc>
        <w:tc>
          <w:tcPr>
            <w:tcW w:w="6945" w:type="dxa"/>
          </w:tcPr>
          <w:p w14:paraId="0D7A5D25" w14:textId="6A93632B" w:rsidR="006C4E41" w:rsidRDefault="006C4E41" w:rsidP="006C4E41">
            <w:pPr>
              <w:widowControl w:val="0"/>
              <w:snapToGrid w:val="0"/>
              <w:spacing w:before="120" w:after="120" w:line="240" w:lineRule="auto"/>
              <w:rPr>
                <w:rFonts w:eastAsia="微软雅黑"/>
                <w:sz w:val="20"/>
                <w:szCs w:val="20"/>
              </w:rPr>
            </w:pPr>
          </w:p>
        </w:tc>
      </w:tr>
      <w:tr w:rsidR="004F31A7" w14:paraId="236C1864" w14:textId="77777777" w:rsidTr="006E3B3D">
        <w:tc>
          <w:tcPr>
            <w:tcW w:w="2405" w:type="dxa"/>
          </w:tcPr>
          <w:p w14:paraId="72D22A49" w14:textId="757907F9" w:rsidR="004F31A7" w:rsidRDefault="004F31A7" w:rsidP="004F31A7">
            <w:pPr>
              <w:widowControl w:val="0"/>
              <w:snapToGrid w:val="0"/>
              <w:spacing w:before="120" w:after="120" w:line="240" w:lineRule="auto"/>
              <w:rPr>
                <w:rFonts w:eastAsia="微软雅黑"/>
                <w:sz w:val="20"/>
                <w:szCs w:val="20"/>
              </w:rPr>
            </w:pPr>
          </w:p>
        </w:tc>
        <w:tc>
          <w:tcPr>
            <w:tcW w:w="6945" w:type="dxa"/>
          </w:tcPr>
          <w:p w14:paraId="03AD1E32" w14:textId="2D56C966" w:rsidR="004F31A7" w:rsidRDefault="004F31A7" w:rsidP="004F31A7">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0F55069D" w:rsidR="00624FAE" w:rsidRDefault="00624FAE" w:rsidP="006E3B3D">
            <w:pPr>
              <w:widowControl w:val="0"/>
              <w:snapToGrid w:val="0"/>
              <w:spacing w:before="120" w:after="120" w:line="240" w:lineRule="auto"/>
              <w:rPr>
                <w:rFonts w:eastAsia="微软雅黑"/>
                <w:sz w:val="20"/>
                <w:szCs w:val="20"/>
              </w:rPr>
            </w:pPr>
          </w:p>
        </w:tc>
        <w:tc>
          <w:tcPr>
            <w:tcW w:w="6945" w:type="dxa"/>
          </w:tcPr>
          <w:p w14:paraId="5E2BF006" w14:textId="6CF85EAD" w:rsidR="00624FAE" w:rsidRDefault="00624FAE" w:rsidP="006E3B3D">
            <w:pPr>
              <w:widowControl w:val="0"/>
              <w:snapToGrid w:val="0"/>
              <w:spacing w:before="120" w:after="120" w:line="240" w:lineRule="auto"/>
              <w:rPr>
                <w:rFonts w:eastAsia="微软雅黑"/>
                <w:sz w:val="20"/>
                <w:szCs w:val="20"/>
              </w:rPr>
            </w:pPr>
          </w:p>
        </w:tc>
      </w:tr>
      <w:tr w:rsidR="004F31A7" w14:paraId="1AD00958" w14:textId="77777777" w:rsidTr="006E3B3D">
        <w:tc>
          <w:tcPr>
            <w:tcW w:w="2405" w:type="dxa"/>
          </w:tcPr>
          <w:p w14:paraId="6EF8CAE9" w14:textId="24BE511A" w:rsidR="004F31A7" w:rsidRDefault="004F31A7" w:rsidP="004F31A7">
            <w:pPr>
              <w:widowControl w:val="0"/>
              <w:snapToGrid w:val="0"/>
              <w:spacing w:before="120" w:after="120" w:line="240" w:lineRule="auto"/>
              <w:rPr>
                <w:rFonts w:eastAsia="微软雅黑"/>
                <w:sz w:val="20"/>
                <w:szCs w:val="20"/>
              </w:rPr>
            </w:pPr>
          </w:p>
        </w:tc>
        <w:tc>
          <w:tcPr>
            <w:tcW w:w="6945" w:type="dxa"/>
          </w:tcPr>
          <w:p w14:paraId="598D3FA9" w14:textId="4BEB80F0" w:rsidR="004F31A7" w:rsidRDefault="004F31A7" w:rsidP="004F31A7">
            <w:pPr>
              <w:widowControl w:val="0"/>
              <w:snapToGrid w:val="0"/>
              <w:spacing w:before="120" w:after="120" w:line="240" w:lineRule="auto"/>
              <w:rPr>
                <w:rFonts w:eastAsia="微软雅黑"/>
                <w:sz w:val="20"/>
                <w:szCs w:val="20"/>
              </w:rPr>
            </w:pPr>
          </w:p>
        </w:tc>
      </w:tr>
      <w:tr w:rsidR="004F31A7" w14:paraId="6AF39A1D" w14:textId="77777777" w:rsidTr="006E3B3D">
        <w:tc>
          <w:tcPr>
            <w:tcW w:w="2405" w:type="dxa"/>
          </w:tcPr>
          <w:p w14:paraId="3A032B5E" w14:textId="3693C043"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343A2B16" w:rsidR="004F31A7" w:rsidRDefault="004F31A7" w:rsidP="004F31A7">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w:t>
            </w:r>
            <w:r w:rsidRPr="00D94CC9">
              <w:rPr>
                <w:rFonts w:eastAsia="微软雅黑"/>
                <w:sz w:val="20"/>
                <w:szCs w:val="20"/>
              </w:rPr>
              <w:lastRenderedPageBreak/>
              <w:t xml:space="preserve">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lastRenderedPageBreak/>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98255" w14:textId="77777777" w:rsidR="004526B3" w:rsidRDefault="004526B3" w:rsidP="0066336C">
      <w:pPr>
        <w:spacing w:after="0" w:line="240" w:lineRule="auto"/>
      </w:pPr>
      <w:r>
        <w:separator/>
      </w:r>
    </w:p>
  </w:endnote>
  <w:endnote w:type="continuationSeparator" w:id="0">
    <w:p w14:paraId="65F3666F" w14:textId="77777777" w:rsidR="004526B3" w:rsidRDefault="004526B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556A2" w14:textId="77777777" w:rsidR="004526B3" w:rsidRDefault="004526B3" w:rsidP="0066336C">
      <w:pPr>
        <w:spacing w:after="0" w:line="240" w:lineRule="auto"/>
      </w:pPr>
      <w:r>
        <w:separator/>
      </w:r>
    </w:p>
  </w:footnote>
  <w:footnote w:type="continuationSeparator" w:id="0">
    <w:p w14:paraId="6A7D3A9C" w14:textId="77777777" w:rsidR="004526B3" w:rsidRDefault="004526B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F2C"/>
    <w:rsid w:val="000903F2"/>
    <w:rsid w:val="00090580"/>
    <w:rsid w:val="000912BF"/>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AB3"/>
    <w:rsid w:val="00180E7A"/>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6F80"/>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775"/>
    <w:rsid w:val="002C1BCD"/>
    <w:rsid w:val="002C1E4A"/>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30D"/>
    <w:rsid w:val="00547748"/>
    <w:rsid w:val="00547B27"/>
    <w:rsid w:val="0055084D"/>
    <w:rsid w:val="00553256"/>
    <w:rsid w:val="00554B19"/>
    <w:rsid w:val="0055516E"/>
    <w:rsid w:val="00555BFD"/>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335D"/>
    <w:rsid w:val="0066336C"/>
    <w:rsid w:val="00667767"/>
    <w:rsid w:val="00667889"/>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C1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5D6"/>
    <w:rsid w:val="007F7CE0"/>
    <w:rsid w:val="007F7E42"/>
    <w:rsid w:val="008006E1"/>
    <w:rsid w:val="008008C6"/>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205"/>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5A6C"/>
    <w:rsid w:val="00A0607A"/>
    <w:rsid w:val="00A0624E"/>
    <w:rsid w:val="00A062B0"/>
    <w:rsid w:val="00A064A5"/>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514"/>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3C95"/>
    <w:rsid w:val="00FD3EB4"/>
    <w:rsid w:val="00FD4455"/>
    <w:rsid w:val="00FD481A"/>
    <w:rsid w:val="00FD4A32"/>
    <w:rsid w:val="00FD4DF6"/>
    <w:rsid w:val="00FD55BA"/>
    <w:rsid w:val="00FD5890"/>
    <w:rsid w:val="00FD58CC"/>
    <w:rsid w:val="00FD6738"/>
    <w:rsid w:val="00FD7D77"/>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443BEB-5C03-4969-8EFE-7D1BE22F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14</Pages>
  <Words>4559</Words>
  <Characters>25992</Characters>
  <Application>Microsoft Office Word</Application>
  <DocSecurity>0</DocSecurity>
  <Lines>216</Lines>
  <Paragraphs>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186</cp:revision>
  <dcterms:created xsi:type="dcterms:W3CDTF">2021-08-19T00:10:00Z</dcterms:created>
  <dcterms:modified xsi:type="dcterms:W3CDTF">2021-08-20T01:13:00Z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