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bookmarkStart w:id="1" w:name="_GoBack"/>
      <w:bookmarkEnd w:id="1"/>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3"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4E84B1EE"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B55E8A" w:rsidRPr="00534802">
        <w:rPr>
          <w:sz w:val="20"/>
          <w:szCs w:val="20"/>
        </w:rPr>
        <w:t xml:space="preserve"> and 2</w:t>
      </w:r>
      <w:r w:rsidR="00762B87" w:rsidRPr="00534802">
        <w:rPr>
          <w:sz w:val="20"/>
          <w:szCs w:val="20"/>
        </w:rPr>
        <w:t>.</w:t>
      </w:r>
    </w:p>
    <w:p w14:paraId="53AADA37" w14:textId="01BB95FD"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3"/>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534802"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7777777" w:rsidR="00534802" w:rsidRDefault="00534802"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77777777" w:rsidR="00534802" w:rsidRPr="00BA6487" w:rsidRDefault="00534802" w:rsidP="00AE70DD">
            <w:pPr>
              <w:snapToGrid w:val="0"/>
              <w:rPr>
                <w:rFonts w:eastAsia="DengXian"/>
                <w:b/>
                <w:color w:val="3333FF"/>
                <w:sz w:val="18"/>
                <w:szCs w:val="18"/>
                <w:lang w:eastAsia="zh-CN"/>
              </w:rPr>
            </w:pP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7777777" w:rsidR="00534802" w:rsidRDefault="00534802"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77777777" w:rsidR="00534802" w:rsidRPr="00BA6487" w:rsidRDefault="00534802" w:rsidP="00AE70DD">
            <w:pPr>
              <w:snapToGrid w:val="0"/>
              <w:rPr>
                <w:rFonts w:eastAsia="DengXian"/>
                <w:b/>
                <w:color w:val="3333FF"/>
                <w:sz w:val="18"/>
                <w:szCs w:val="18"/>
                <w:lang w:eastAsia="zh-CN"/>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5D332FB0" w:rsidR="00F2410F" w:rsidRDefault="00F2410F" w:rsidP="009E6F46">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67DE7B75" w:rsidR="00F2410F" w:rsidRDefault="00F2410F" w:rsidP="009E6F46">
            <w:pPr>
              <w:snapToGrid w:val="0"/>
              <w:jc w:val="both"/>
              <w:rPr>
                <w:bCs/>
                <w:sz w:val="18"/>
                <w:szCs w:val="20"/>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w:t>
            </w:r>
            <w:r>
              <w:rPr>
                <w:sz w:val="18"/>
                <w:szCs w:val="20"/>
              </w:rPr>
              <w:t>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w:t>
            </w:r>
            <w:r>
              <w:rPr>
                <w:rFonts w:eastAsia="Batang"/>
                <w:b/>
                <w:sz w:val="18"/>
                <w:szCs w:val="20"/>
                <w:lang w:eastAsia="en-US"/>
              </w:rPr>
              <w:t>oncern</w:t>
            </w:r>
            <w:r>
              <w:rPr>
                <w:rFonts w:eastAsia="Batang"/>
                <w:sz w:val="18"/>
                <w:szCs w:val="20"/>
                <w:lang w:eastAsia="en-US"/>
              </w:rPr>
              <w:t>: Ericsson, OPPO, CATT</w:t>
            </w:r>
            <w:r>
              <w:rPr>
                <w:rFonts w:eastAsia="Batang"/>
                <w:sz w:val="18"/>
                <w:szCs w:val="20"/>
                <w:lang w:eastAsia="en-US"/>
              </w:rPr>
              <w: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lastRenderedPageBreak/>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951D03"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7053F62E" w:rsidR="00951D03" w:rsidRDefault="00951D03" w:rsidP="002311F6">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DD54" w14:textId="698D6476" w:rsidR="00951D03" w:rsidRPr="00763A97" w:rsidRDefault="00951D03" w:rsidP="00763A97">
            <w:pPr>
              <w:snapToGrid w:val="0"/>
              <w:jc w:val="both"/>
              <w:rPr>
                <w:sz w:val="18"/>
                <w:szCs w:val="18"/>
              </w:rPr>
            </w:pPr>
          </w:p>
        </w:tc>
      </w:tr>
      <w:tr w:rsidR="0041692A"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1B2E1AF7" w:rsidR="0041692A" w:rsidRDefault="0041692A" w:rsidP="002311F6">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AF62E" w14:textId="60183174" w:rsidR="0041692A" w:rsidRDefault="0041692A" w:rsidP="00763A97">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 xml:space="preserve">Proposal </w:t>
            </w:r>
            <w:r>
              <w:rPr>
                <w:sz w:val="18"/>
                <w:szCs w:val="20"/>
              </w:rPr>
              <w:t>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w:t>
            </w:r>
            <w:r>
              <w:rPr>
                <w:rFonts w:eastAsia="Batang"/>
                <w:sz w:val="18"/>
                <w:szCs w:val="20"/>
                <w:lang w:eastAsia="en-US"/>
              </w:rPr>
              <w:t xml:space="preserve">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xml:space="preserve">: </w:t>
            </w:r>
            <w:r>
              <w:rPr>
                <w:rFonts w:eastAsia="Batang"/>
                <w:sz w:val="18"/>
                <w:szCs w:val="20"/>
                <w:lang w:eastAsia="en-US"/>
              </w:rPr>
              <w:t>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09E414C" w:rsidR="002E01D5" w:rsidRDefault="002E01D5" w:rsidP="002E01D5">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25225186" w:rsidR="002E01D5" w:rsidRDefault="002E01D5" w:rsidP="002E01D5">
            <w:pPr>
              <w:snapToGrid w:val="0"/>
              <w:rPr>
                <w:rFonts w:eastAsia="DengXian"/>
                <w:sz w:val="18"/>
                <w:szCs w:val="18"/>
              </w:rPr>
            </w:pP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3826C08"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13D0275A" w:rsidR="00931C40" w:rsidRDefault="00931C40" w:rsidP="00931C40">
            <w:pPr>
              <w:snapToGrid w:val="0"/>
              <w:rPr>
                <w:rFonts w:eastAsia="SimSun"/>
                <w:sz w:val="18"/>
                <w:szCs w:val="18"/>
                <w:lang w:eastAsia="zh-CN"/>
              </w:rPr>
            </w:pP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5234AFD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D773B8F" w:rsidR="00931C40" w:rsidRDefault="00931C40" w:rsidP="00931C40">
            <w:pPr>
              <w:snapToGrid w:val="0"/>
              <w:rPr>
                <w:rFonts w:eastAsia="SimSun"/>
                <w:sz w:val="18"/>
                <w:szCs w:val="18"/>
                <w:lang w:eastAsia="zh-CN"/>
              </w:rPr>
            </w:pP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0DC77AB1" w:rsidR="00A47098" w:rsidRDefault="00A47098"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0F4CBBA6" w:rsidR="00A47098" w:rsidRPr="000E4986" w:rsidRDefault="00A47098" w:rsidP="00931C40">
            <w:pPr>
              <w:snapToGrid w:val="0"/>
              <w:rPr>
                <w:rFonts w:eastAsia="SimSun"/>
                <w:b/>
                <w:color w:val="3333FF"/>
                <w:sz w:val="18"/>
                <w:szCs w:val="18"/>
                <w:lang w:eastAsia="zh-CN"/>
              </w:rPr>
            </w:pPr>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587DF" w14:textId="77777777" w:rsidR="00CE36F0" w:rsidRDefault="00CE36F0">
      <w:r>
        <w:separator/>
      </w:r>
    </w:p>
  </w:endnote>
  <w:endnote w:type="continuationSeparator" w:id="0">
    <w:p w14:paraId="412743BB" w14:textId="77777777" w:rsidR="00CE36F0" w:rsidRDefault="00CE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4ADD3" w14:textId="77777777" w:rsidR="00CE36F0" w:rsidRDefault="00CE36F0">
      <w:r>
        <w:rPr>
          <w:color w:val="000000"/>
        </w:rPr>
        <w:separator/>
      </w:r>
    </w:p>
  </w:footnote>
  <w:footnote w:type="continuationSeparator" w:id="0">
    <w:p w14:paraId="25A7DBFE" w14:textId="77777777" w:rsidR="00CE36F0" w:rsidRDefault="00CE3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6"/>
  </w:num>
  <w:num w:numId="4">
    <w:abstractNumId w:val="15"/>
  </w:num>
  <w:num w:numId="5">
    <w:abstractNumId w:val="29"/>
  </w:num>
  <w:num w:numId="6">
    <w:abstractNumId w:val="10"/>
  </w:num>
  <w:num w:numId="7">
    <w:abstractNumId w:val="27"/>
  </w:num>
  <w:num w:numId="8">
    <w:abstractNumId w:val="20"/>
  </w:num>
  <w:num w:numId="9">
    <w:abstractNumId w:val="32"/>
  </w:num>
  <w:num w:numId="10">
    <w:abstractNumId w:val="28"/>
  </w:num>
  <w:num w:numId="11">
    <w:abstractNumId w:val="22"/>
  </w:num>
  <w:num w:numId="12">
    <w:abstractNumId w:val="8"/>
  </w:num>
  <w:num w:numId="13">
    <w:abstractNumId w:val="30"/>
  </w:num>
  <w:num w:numId="14">
    <w:abstractNumId w:val="24"/>
  </w:num>
  <w:num w:numId="15">
    <w:abstractNumId w:val="26"/>
  </w:num>
  <w:num w:numId="16">
    <w:abstractNumId w:val="16"/>
  </w:num>
  <w:num w:numId="17">
    <w:abstractNumId w:val="19"/>
  </w:num>
  <w:num w:numId="18">
    <w:abstractNumId w:val="39"/>
  </w:num>
  <w:num w:numId="19">
    <w:abstractNumId w:val="34"/>
  </w:num>
  <w:num w:numId="20">
    <w:abstractNumId w:val="37"/>
  </w:num>
  <w:num w:numId="21">
    <w:abstractNumId w:val="13"/>
  </w:num>
  <w:num w:numId="22">
    <w:abstractNumId w:val="12"/>
  </w:num>
  <w:num w:numId="23">
    <w:abstractNumId w:val="33"/>
  </w:num>
  <w:num w:numId="24">
    <w:abstractNumId w:val="0"/>
  </w:num>
  <w:num w:numId="25">
    <w:abstractNumId w:val="38"/>
  </w:num>
  <w:num w:numId="26">
    <w:abstractNumId w:val="5"/>
  </w:num>
  <w:num w:numId="27">
    <w:abstractNumId w:val="18"/>
  </w:num>
  <w:num w:numId="28">
    <w:abstractNumId w:val="1"/>
  </w:num>
  <w:num w:numId="29">
    <w:abstractNumId w:val="31"/>
  </w:num>
  <w:num w:numId="30">
    <w:abstractNumId w:val="17"/>
  </w:num>
  <w:num w:numId="31">
    <w:abstractNumId w:val="2"/>
  </w:num>
  <w:num w:numId="32">
    <w:abstractNumId w:val="3"/>
  </w:num>
  <w:num w:numId="33">
    <w:abstractNumId w:val="7"/>
  </w:num>
  <w:num w:numId="34">
    <w:abstractNumId w:val="11"/>
  </w:num>
  <w:num w:numId="35">
    <w:abstractNumId w:val="35"/>
  </w:num>
  <w:num w:numId="36">
    <w:abstractNumId w:val="21"/>
  </w:num>
  <w:num w:numId="37">
    <w:abstractNumId w:val="40"/>
  </w:num>
  <w:num w:numId="38">
    <w:abstractNumId w:val="4"/>
  </w:num>
  <w:num w:numId="39">
    <w:abstractNumId w:val="23"/>
  </w:num>
  <w:num w:numId="40">
    <w:abstractNumId w:val="25"/>
  </w:num>
  <w:num w:numId="4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清單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A1557-8D9C-445E-A67F-1A18D895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1320</Words>
  <Characters>7530</Characters>
  <Application>Microsoft Office Word</Application>
  <DocSecurity>0</DocSecurity>
  <Lines>62</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9</cp:revision>
  <dcterms:created xsi:type="dcterms:W3CDTF">2021-08-27T04:39:00Z</dcterms:created>
  <dcterms:modified xsi:type="dcterms:W3CDTF">2021-08-27T08:15:00Z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