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an explicit update of the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spatialRelationInfo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5AEB123A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692AA5C4" w14:textId="77777777" w:rsidR="005B70F4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Y</w:t>
            </w:r>
            <w:r>
              <w:rPr>
                <w:rFonts w:eastAsia="SimSun"/>
                <w:sz w:val="22"/>
                <w:lang w:val="en-US" w:eastAsia="zh-CN"/>
              </w:rPr>
              <w:t xml:space="preserve">es. </w:t>
            </w:r>
          </w:p>
          <w:p w14:paraId="4CB3D902" w14:textId="1178FA65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If both parameters are configured, the spatial relation for SRS is determined by the PDCCH TCI state in each CC</w:t>
            </w:r>
            <w:r w:rsidR="00D66434">
              <w:rPr>
                <w:rFonts w:eastAsia="SimSun"/>
                <w:sz w:val="22"/>
                <w:lang w:val="en-US" w:eastAsia="zh-CN"/>
              </w:rPr>
              <w:t xml:space="preserve">, and the PDCCH TCI state in each CC is determined by </w:t>
            </w:r>
            <w:r w:rsidR="00D66434"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 w:rsidR="00D66434"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B03520" w14:paraId="28ABA194" w14:textId="77777777" w:rsidTr="00A03FC0">
        <w:tc>
          <w:tcPr>
            <w:tcW w:w="1271" w:type="dxa"/>
          </w:tcPr>
          <w:p w14:paraId="26F80EE5" w14:textId="12AA097D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0414EA94" w14:textId="77777777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Yes, they can be configured at the same time. </w:t>
            </w:r>
          </w:p>
          <w:p w14:paraId="15604109" w14:textId="3E0B8C61" w:rsidR="00B03520" w:rsidRP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bCs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But the parameter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i/>
                <w:iCs/>
                <w:sz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 xml:space="preserve">configure the UE behavior on one individual CC. and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>configures across-CC behavior</w:t>
            </w:r>
          </w:p>
        </w:tc>
      </w:tr>
      <w:tr w:rsidR="00BA6810" w14:paraId="72963424" w14:textId="77777777" w:rsidTr="00A03FC0">
        <w:tc>
          <w:tcPr>
            <w:tcW w:w="1271" w:type="dxa"/>
          </w:tcPr>
          <w:p w14:paraId="1768FF15" w14:textId="7F558932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320E8878" w14:textId="5D70D998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Yes. Same view as Apple. </w:t>
            </w: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424A919B" w:rsidR="00DC3C9C" w:rsidRPr="005B70F4" w:rsidRDefault="005B70F4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063CB6B8" w14:textId="77777777" w:rsidR="00DC3C9C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No.</w:t>
            </w:r>
          </w:p>
          <w:p w14:paraId="2F093315" w14:textId="7809C7C8" w:rsidR="005B70F4" w:rsidRPr="005B70F4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 w:rsidRPr="004920F3">
              <w:rPr>
                <w:rFonts w:eastAsia="MS Mincho"/>
                <w:i/>
                <w:sz w:val="22"/>
                <w:lang w:val="en-US" w:eastAsia="ja-JP"/>
              </w:rPr>
              <w:lastRenderedPageBreak/>
              <w:t>simultaneousTCI-UpdateList1/ 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>
              <w:rPr>
                <w:rFonts w:eastAsia="MS Mincho"/>
                <w:iCs/>
                <w:sz w:val="22"/>
                <w:lang w:val="en-US" w:eastAsia="ja-JP"/>
              </w:rPr>
              <w:t>are configured for simultaneous MAC CE based SRS spatial relation update across CCs,</w:t>
            </w:r>
            <w:r w:rsidR="007361CE">
              <w:rPr>
                <w:rFonts w:eastAsia="MS Mincho"/>
                <w:iCs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 xml:space="preserve">the CC configured with </w:t>
            </w:r>
            <w:r w:rsidR="001C148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1C1483"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>shall not be contained in either CC list.</w:t>
            </w:r>
          </w:p>
        </w:tc>
      </w:tr>
      <w:tr w:rsidR="00B03520" w14:paraId="6A04B0F9" w14:textId="77777777" w:rsidTr="004C1565">
        <w:tc>
          <w:tcPr>
            <w:tcW w:w="1271" w:type="dxa"/>
          </w:tcPr>
          <w:p w14:paraId="6D9F233E" w14:textId="3FD8F2A5" w:rsidR="00B03520" w:rsidRDefault="00B03520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lastRenderedPageBreak/>
              <w:t>OPPO</w:t>
            </w:r>
          </w:p>
        </w:tc>
        <w:tc>
          <w:tcPr>
            <w:tcW w:w="7745" w:type="dxa"/>
          </w:tcPr>
          <w:p w14:paraId="63939BEE" w14:textId="77777777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</w:t>
            </w:r>
          </w:p>
          <w:p w14:paraId="0D17EDA6" w14:textId="485117A9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The current specification is clear sufficiently.</w:t>
            </w:r>
          </w:p>
        </w:tc>
      </w:tr>
      <w:tr w:rsidR="000279B2" w14:paraId="409F2970" w14:textId="77777777" w:rsidTr="004C1565">
        <w:tc>
          <w:tcPr>
            <w:tcW w:w="1271" w:type="dxa"/>
          </w:tcPr>
          <w:p w14:paraId="36801F6B" w14:textId="55E57D2A" w:rsidR="000279B2" w:rsidRDefault="000279B2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6C422555" w14:textId="6EB6DDE2" w:rsidR="000279B2" w:rsidRDefault="000279B2" w:rsidP="000279B2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No, spec is clear.</w:t>
            </w:r>
          </w:p>
        </w:tc>
      </w:tr>
      <w:bookmarkEnd w:id="2"/>
    </w:tbl>
    <w:p w14:paraId="32523CAA" w14:textId="77777777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C11B8" w14:textId="77777777" w:rsidR="00DB2701" w:rsidRDefault="00DB2701" w:rsidP="00D30654">
      <w:pPr>
        <w:spacing w:after="0" w:line="240" w:lineRule="auto"/>
      </w:pPr>
      <w:r>
        <w:separator/>
      </w:r>
    </w:p>
  </w:endnote>
  <w:endnote w:type="continuationSeparator" w:id="0">
    <w:p w14:paraId="1135BA1D" w14:textId="77777777" w:rsidR="00DB2701" w:rsidRDefault="00DB2701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4C29F" w14:textId="77777777" w:rsidR="00DB2701" w:rsidRDefault="00DB2701" w:rsidP="00D30654">
      <w:pPr>
        <w:spacing w:after="0" w:line="240" w:lineRule="auto"/>
      </w:pPr>
      <w:r>
        <w:separator/>
      </w:r>
    </w:p>
  </w:footnote>
  <w:footnote w:type="continuationSeparator" w:id="0">
    <w:p w14:paraId="13B50C50" w14:textId="77777777" w:rsidR="00DB2701" w:rsidRDefault="00DB2701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 w15:restartNumberingAfterBreak="0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6152A0"/>
    <w:multiLevelType w:val="hybridMultilevel"/>
    <w:tmpl w:val="A5089152"/>
    <w:lvl w:ilvl="0" w:tplc="17F6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6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 w15:restartNumberingAfterBreak="0">
    <w:nsid w:val="324B17A3"/>
    <w:multiLevelType w:val="hybridMultilevel"/>
    <w:tmpl w:val="58DA3576"/>
    <w:lvl w:ilvl="0" w:tplc="E70AE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21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3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5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3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7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8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9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40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33"/>
  </w:num>
  <w:num w:numId="8">
    <w:abstractNumId w:val="28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0"/>
  </w:num>
  <w:num w:numId="14">
    <w:abstractNumId w:val="39"/>
  </w:num>
  <w:num w:numId="15">
    <w:abstractNumId w:val="41"/>
  </w:num>
  <w:num w:numId="16">
    <w:abstractNumId w:val="8"/>
  </w:num>
  <w:num w:numId="17">
    <w:abstractNumId w:val="14"/>
  </w:num>
  <w:num w:numId="18">
    <w:abstractNumId w:val="11"/>
  </w:num>
  <w:num w:numId="19">
    <w:abstractNumId w:val="19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29"/>
  </w:num>
  <w:num w:numId="25">
    <w:abstractNumId w:val="37"/>
  </w:num>
  <w:num w:numId="26">
    <w:abstractNumId w:val="38"/>
  </w:num>
  <w:num w:numId="27">
    <w:abstractNumId w:val="16"/>
  </w:num>
  <w:num w:numId="28">
    <w:abstractNumId w:val="22"/>
  </w:num>
  <w:num w:numId="29">
    <w:abstractNumId w:val="40"/>
  </w:num>
  <w:num w:numId="30">
    <w:abstractNumId w:val="15"/>
  </w:num>
  <w:num w:numId="31">
    <w:abstractNumId w:val="24"/>
  </w:num>
  <w:num w:numId="32">
    <w:abstractNumId w:val="21"/>
  </w:num>
  <w:num w:numId="33">
    <w:abstractNumId w:val="26"/>
  </w:num>
  <w:num w:numId="34">
    <w:abstractNumId w:val="23"/>
  </w:num>
  <w:num w:numId="35">
    <w:abstractNumId w:val="18"/>
  </w:num>
  <w:num w:numId="36">
    <w:abstractNumId w:val="2"/>
  </w:num>
  <w:num w:numId="37">
    <w:abstractNumId w:val="34"/>
  </w:num>
  <w:num w:numId="38">
    <w:abstractNumId w:val="1"/>
  </w:num>
  <w:num w:numId="39">
    <w:abstractNumId w:val="7"/>
  </w:num>
  <w:num w:numId="40">
    <w:abstractNumId w:val="0"/>
  </w:num>
  <w:num w:numId="41">
    <w:abstractNumId w:val="17"/>
  </w:num>
  <w:num w:numId="4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9B2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483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36F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4E2B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B70F4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361CE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3DBA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3520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810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66434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2701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5815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516F6-EFB7-42AD-988A-E37E0010D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Yan Zhou</cp:lastModifiedBy>
  <cp:revision>4</cp:revision>
  <dcterms:created xsi:type="dcterms:W3CDTF">2021-08-16T15:13:00Z</dcterms:created>
  <dcterms:modified xsi:type="dcterms:W3CDTF">2021-08-17T00:11:00Z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