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3BAC2CCA"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516E58">
        <w:rPr>
          <w:rFonts w:ascii="Arial" w:hAnsi="Arial" w:cs="Arial"/>
          <w:b/>
          <w:bCs/>
          <w:lang w:val="de-DE"/>
        </w:rPr>
        <w:t>8559</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4F871660"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516E58" w:rsidRPr="00516E58">
        <w:rPr>
          <w:rFonts w:ascii="Arial" w:hAnsi="Arial" w:cs="Arial"/>
          <w:b/>
          <w:bCs/>
          <w:szCs w:val="20"/>
          <w:lang w:val="en-GB" w:eastAsia="zh-CN"/>
        </w:rPr>
        <w:t>Feature lead summary #4 for B52.6 GHz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Pr="00516E58" w:rsidRDefault="00067183">
      <w:pPr>
        <w:pStyle w:val="Heading4"/>
        <w:rPr>
          <w:sz w:val="22"/>
          <w:szCs w:val="22"/>
        </w:rPr>
      </w:pPr>
      <w:r w:rsidRPr="00516E58">
        <w:rPr>
          <w:sz w:val="22"/>
          <w:szCs w:val="22"/>
        </w:rPr>
        <w:t>Fourth round discussion</w:t>
      </w:r>
    </w:p>
    <w:p w14:paraId="27B0EE90" w14:textId="77777777" w:rsidR="00983A00" w:rsidRPr="00516E58" w:rsidRDefault="00067183">
      <w:pPr>
        <w:rPr>
          <w:b/>
          <w:bCs/>
        </w:rPr>
      </w:pPr>
      <w:r w:rsidRPr="00516E58">
        <w:t>Proposal A1-1-A:</w:t>
      </w:r>
    </w:p>
    <w:p w14:paraId="49BCE008" w14:textId="77777777" w:rsidR="00983A00" w:rsidRPr="00516E58" w:rsidRDefault="00067183">
      <w:r w:rsidRPr="00516E58">
        <w:t>A UE supporting 480 kHz SCS supports multi-slot PDCCH monitoring for 480 kHz SCS.</w:t>
      </w:r>
    </w:p>
    <w:p w14:paraId="6DEB64F3" w14:textId="77777777" w:rsidR="00983A00" w:rsidRPr="00516E58" w:rsidRDefault="00067183">
      <w:r w:rsidRPr="00516E58">
        <w:t>A UE supporting 960 kHz SCS supports multi-slot PDCCH monitoring for 960 kHz SCS.</w:t>
      </w:r>
    </w:p>
    <w:p w14:paraId="7A8CBA81" w14:textId="77777777" w:rsidR="00983A00" w:rsidRPr="00516E58" w:rsidRDefault="00067183">
      <w:r w:rsidRPr="00516E58">
        <w:t>[Note: This does not imply that multi-slot PDCCH monitoring is applicable at all times and for all search spaces.]</w:t>
      </w:r>
    </w:p>
    <w:p w14:paraId="03DBED5D" w14:textId="77777777" w:rsidR="00983A00" w:rsidRPr="00516E58" w:rsidRDefault="00067183">
      <w:r w:rsidRPr="00516E58">
        <w:t>[FFS: whether to apply multi-slot PDCCH monitoring at all times and for all search spaces.]</w:t>
      </w:r>
    </w:p>
    <w:p w14:paraId="272DBE10" w14:textId="77777777" w:rsidR="00983A00" w:rsidRDefault="00067183">
      <w:pPr>
        <w:rPr>
          <w:b/>
          <w:bCs/>
        </w:rPr>
      </w:pPr>
      <w:r w:rsidRPr="00516E58">
        <w:rPr>
          <w:b/>
          <w:bCs/>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MS Mincho" w:hint="eastAsia"/>
                <w:szCs w:val="24"/>
                <w:lang w:eastAsia="ja-JP"/>
              </w:rPr>
              <w:t>N</w:t>
            </w:r>
            <w:r>
              <w:rPr>
                <w:rFonts w:eastAsia="MS Mincho"/>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r w:rsidR="007A7048" w14:paraId="72904DB5" w14:textId="77777777" w:rsidTr="005C30D5">
        <w:tc>
          <w:tcPr>
            <w:tcW w:w="2405" w:type="dxa"/>
          </w:tcPr>
          <w:p w14:paraId="564DFBF5" w14:textId="647FD2B1" w:rsidR="007A7048" w:rsidRDefault="007A7048" w:rsidP="007A7048">
            <w:pPr>
              <w:rPr>
                <w:rFonts w:eastAsia="MS Mincho"/>
                <w:szCs w:val="24"/>
                <w:lang w:eastAsia="ja-JP"/>
              </w:rPr>
            </w:pPr>
            <w:r>
              <w:rPr>
                <w:rFonts w:eastAsia="MS Mincho" w:hint="eastAsia"/>
                <w:szCs w:val="24"/>
                <w:lang w:eastAsia="ja-JP"/>
              </w:rPr>
              <w:t>Sharp</w:t>
            </w:r>
          </w:p>
        </w:tc>
        <w:tc>
          <w:tcPr>
            <w:tcW w:w="12176" w:type="dxa"/>
          </w:tcPr>
          <w:p w14:paraId="08C7C2FE" w14:textId="16C2B528" w:rsidR="007A7048" w:rsidRDefault="007A7048" w:rsidP="007A7048">
            <w:pPr>
              <w:rPr>
                <w:szCs w:val="24"/>
                <w:lang w:eastAsia="zh-CN"/>
              </w:rPr>
            </w:pPr>
            <w:r>
              <w:rPr>
                <w:lang w:eastAsia="zh-CN"/>
              </w:rPr>
              <w:t>We slightly prefer the FFS, without the Note.</w:t>
            </w:r>
          </w:p>
        </w:tc>
      </w:tr>
    </w:tbl>
    <w:p w14:paraId="1F91063D" w14:textId="4F2FE2CD" w:rsidR="00983A00" w:rsidRDefault="00983A00">
      <w:pPr>
        <w:rPr>
          <w:lang w:eastAsia="zh-CN"/>
        </w:rPr>
      </w:pPr>
    </w:p>
    <w:p w14:paraId="1855B05B" w14:textId="07E95E17" w:rsidR="00516E58" w:rsidRPr="00516E58" w:rsidRDefault="00516E58" w:rsidP="00516E58">
      <w:pPr>
        <w:rPr>
          <w:b/>
          <w:bCs/>
          <w:highlight w:val="cyan"/>
        </w:rPr>
      </w:pPr>
      <w:r w:rsidRPr="00516E58">
        <w:rPr>
          <w:b/>
          <w:bCs/>
          <w:highlight w:val="cyan"/>
        </w:rPr>
        <w:t>FL Summary (4</w:t>
      </w:r>
      <w:r w:rsidRPr="00516E58">
        <w:rPr>
          <w:b/>
          <w:bCs/>
          <w:highlight w:val="cyan"/>
          <w:vertAlign w:val="superscript"/>
        </w:rPr>
        <w:t>th</w:t>
      </w:r>
      <w:r w:rsidRPr="00516E58">
        <w:rPr>
          <w:b/>
          <w:bCs/>
          <w:highlight w:val="cyan"/>
        </w:rPr>
        <w:t xml:space="preserve"> round)</w:t>
      </w:r>
    </w:p>
    <w:p w14:paraId="2A5B4988" w14:textId="5E29CC42" w:rsidR="00516E58" w:rsidRDefault="00516E58" w:rsidP="00516E58">
      <w:pPr>
        <w:rPr>
          <w:b/>
          <w:bCs/>
        </w:rPr>
      </w:pPr>
      <w:r w:rsidRPr="00516E58">
        <w:rPr>
          <w:b/>
          <w:bCs/>
          <w:highlight w:val="cyan"/>
        </w:rPr>
        <w:t>Opinions about the Note and FFS vary from preferring to have both to having just the Note or just the FFS. The most favoured seems to be to have just the FFS but not the Note. FL suggests to go with the majority opinion and just adopt the FFS but not the Note.</w:t>
      </w:r>
    </w:p>
    <w:p w14:paraId="6E110CBB" w14:textId="2C4996D1" w:rsidR="00516E58" w:rsidRDefault="00516E58" w:rsidP="00516E58">
      <w:pPr>
        <w:rPr>
          <w:b/>
          <w:bCs/>
          <w:highlight w:val="yellow"/>
        </w:rPr>
      </w:pPr>
      <w:r>
        <w:rPr>
          <w:highlight w:val="yellow"/>
        </w:rPr>
        <w:lastRenderedPageBreak/>
        <w:t>Proposal A1-1-A1:</w:t>
      </w:r>
    </w:p>
    <w:p w14:paraId="1F224F7B" w14:textId="77777777" w:rsidR="00516E58" w:rsidRDefault="00516E58" w:rsidP="00516E58">
      <w:pPr>
        <w:rPr>
          <w:highlight w:val="yellow"/>
        </w:rPr>
      </w:pPr>
      <w:r>
        <w:rPr>
          <w:highlight w:val="yellow"/>
        </w:rPr>
        <w:t>A UE supporting 480 kHz SCS supports multi-slot PDCCH monitoring for 480 kHz SCS.</w:t>
      </w:r>
    </w:p>
    <w:p w14:paraId="024FEABE" w14:textId="77777777" w:rsidR="00516E58" w:rsidRDefault="00516E58" w:rsidP="00516E58">
      <w:pPr>
        <w:rPr>
          <w:highlight w:val="yellow"/>
        </w:rPr>
      </w:pPr>
      <w:r>
        <w:rPr>
          <w:highlight w:val="yellow"/>
        </w:rPr>
        <w:t>A UE supporting 960 kHz SCS supports multi-slot PDCCH monitoring for 960 kHz SCS.</w:t>
      </w:r>
    </w:p>
    <w:p w14:paraId="7CB04F93" w14:textId="073FEDE0" w:rsidR="00516E58" w:rsidRDefault="00516E58" w:rsidP="00516E58">
      <w:r>
        <w:rPr>
          <w:highlight w:val="yellow"/>
        </w:rPr>
        <w:t>FFS: whether to apply multi-slot PDCCH monitoring at all times and for all search spaces.</w:t>
      </w:r>
    </w:p>
    <w:p w14:paraId="2CB75B14" w14:textId="77777777" w:rsidR="00516E58" w:rsidRDefault="00516E58" w:rsidP="00516E58">
      <w:pPr>
        <w:rPr>
          <w:b/>
          <w:bCs/>
        </w:rPr>
      </w:pPr>
    </w:p>
    <w:p w14:paraId="7B1CBB98" w14:textId="77777777" w:rsidR="00516E58" w:rsidRDefault="00516E58">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lastRenderedPageBreak/>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lastRenderedPageBreak/>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lastRenderedPageBreak/>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w:t>
            </w:r>
            <w:r>
              <w:rPr>
                <w:lang w:eastAsia="zh-CN"/>
              </w:rPr>
              <w:lastRenderedPageBreak/>
              <w:t xml:space="preserve">suggests.     </w:t>
            </w:r>
          </w:p>
        </w:tc>
      </w:tr>
      <w:tr w:rsidR="00983A00" w14:paraId="483E465F" w14:textId="77777777">
        <w:tc>
          <w:tcPr>
            <w:tcW w:w="2405" w:type="dxa"/>
          </w:tcPr>
          <w:p w14:paraId="2242D350" w14:textId="77777777" w:rsidR="00983A00" w:rsidRDefault="00067183">
            <w:pPr>
              <w:rPr>
                <w:lang w:eastAsia="zh-CN"/>
              </w:rPr>
            </w:pPr>
            <w:r>
              <w:rPr>
                <w:lang w:eastAsia="zh-CN"/>
              </w:rPr>
              <w:lastRenderedPageBreak/>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lastRenderedPageBreak/>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lastRenderedPageBreak/>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lastRenderedPageBreak/>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Pr="00711798" w:rsidRDefault="00067183">
      <w:r w:rsidRPr="00711798">
        <w:t>As in the 1</w:t>
      </w:r>
      <w:r w:rsidRPr="00711798">
        <w:rPr>
          <w:vertAlign w:val="superscript"/>
        </w:rPr>
        <w:t>st</w:t>
      </w:r>
      <w:r w:rsidRPr="00711798">
        <w:t xml:space="preserve"> round, FL suggests to select Alt 1 in this meeting.</w:t>
      </w:r>
    </w:p>
    <w:p w14:paraId="7662DCEE" w14:textId="77777777" w:rsidR="00983A00" w:rsidRPr="00711798" w:rsidRDefault="00067183">
      <w:r w:rsidRPr="00711798">
        <w:t>Regarding the following bullet:</w:t>
      </w:r>
    </w:p>
    <w:p w14:paraId="49C2917E" w14:textId="77777777" w:rsidR="00983A00" w:rsidRPr="00711798" w:rsidRDefault="00067183">
      <w:pPr>
        <w:ind w:left="425"/>
      </w:pPr>
      <w:r w:rsidRPr="00711798">
        <w:t>FFS: Restrictions on location of the Y slots within a slot group, e.g. the Y slots always start at the first slot within a slot group</w:t>
      </w:r>
    </w:p>
    <w:p w14:paraId="48547281" w14:textId="77777777" w:rsidR="00983A00" w:rsidRPr="00711798" w:rsidRDefault="00067183">
      <w:r w:rsidRPr="00711798">
        <w:t xml:space="preserve">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 </w:t>
      </w:r>
    </w:p>
    <w:p w14:paraId="6AB98FA2" w14:textId="77777777" w:rsidR="00983A00" w:rsidRDefault="00067183">
      <w:pPr>
        <w:rPr>
          <w:b/>
          <w:bCs/>
        </w:rPr>
      </w:pPr>
      <w:r w:rsidRPr="00711798">
        <w:rPr>
          <w:b/>
          <w:bCs/>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lastRenderedPageBreak/>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 xml:space="preserve">It still needs to be discussed if the UE should be capable of monitoring all symbols within the Y slots or some subset of symbols, and </w:t>
            </w:r>
            <w:r>
              <w:lastRenderedPageBreak/>
              <w:t>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w:t>
            </w:r>
            <w:r>
              <w:rPr>
                <w:rFonts w:ascii="Times New Roman" w:hAnsi="Times New Roman"/>
                <w:lang w:eastAsia="zh-CN"/>
              </w:rPr>
              <w:lastRenderedPageBreak/>
              <w:t>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 xml:space="preserve">’s capability) then it is just a matter of definition where Y is placed within the X slots. Any fixed location would be equivalent to another, therefore </w:t>
            </w:r>
            <w:r>
              <w:rPr>
                <w:lang w:eastAsia="zh-CN"/>
              </w:rPr>
              <w:lastRenderedPageBreak/>
              <w:t>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lastRenderedPageBreak/>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lastRenderedPageBreak/>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lastRenderedPageBreak/>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lastRenderedPageBreak/>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lastRenderedPageBreak/>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lastRenderedPageBreak/>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We think that a lot of the discussion on fixed vs. floating Y for Alt-1 stems from some unintended confusion about the following bullet from the agreement.</w:t>
            </w:r>
          </w:p>
          <w:p w14:paraId="3A6EE328" w14:textId="77777777" w:rsidR="00F41639" w:rsidRPr="003A7E58" w:rsidRDefault="00F41639" w:rsidP="00F41639">
            <w:pPr>
              <w:pStyle w:val="ListParagraph"/>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ListParagraph"/>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ListParagraph"/>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ListParagraph"/>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ListParagraph"/>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ListParagraph"/>
              <w:numPr>
                <w:ilvl w:val="1"/>
                <w:numId w:val="29"/>
              </w:numPr>
              <w:ind w:left="1800"/>
            </w:pPr>
            <w:r w:rsidRPr="003A7E58">
              <w:t>Each slot group consists of X slots</w:t>
            </w:r>
          </w:p>
          <w:p w14:paraId="29B9137B" w14:textId="77777777" w:rsidR="00F41639" w:rsidRPr="003A7E58" w:rsidRDefault="00F41639" w:rsidP="00F41639">
            <w:pPr>
              <w:pStyle w:val="ListParagraph"/>
              <w:numPr>
                <w:ilvl w:val="1"/>
                <w:numId w:val="29"/>
              </w:numPr>
              <w:ind w:left="1800"/>
            </w:pPr>
            <w:r w:rsidRPr="003A7E58">
              <w:t>Slot groups are consecutive and non-overlapping</w:t>
            </w:r>
          </w:p>
          <w:p w14:paraId="3C2D0E68" w14:textId="77777777" w:rsidR="00F41639" w:rsidRPr="00F735D8" w:rsidRDefault="00F41639" w:rsidP="00F41639">
            <w:pPr>
              <w:pStyle w:val="ListParagraph"/>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ListParagraph"/>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ListParagraph"/>
              <w:numPr>
                <w:ilvl w:val="2"/>
                <w:numId w:val="29"/>
              </w:numPr>
              <w:rPr>
                <w:color w:val="0070C0"/>
              </w:rPr>
            </w:pPr>
            <w:r w:rsidRPr="006C1B19">
              <w:rPr>
                <w:color w:val="0070C0"/>
              </w:rPr>
              <w:t>Type0/0A/1(without dedicated RRC config)/2-CSS in any 3 consecutive symbols of a slot (as in FG 3-1 in Rel-</w:t>
            </w:r>
            <w:r w:rsidRPr="006C1B19">
              <w:rPr>
                <w:color w:val="0070C0"/>
              </w:rPr>
              <w:lastRenderedPageBreak/>
              <w:t>15)</w:t>
            </w:r>
          </w:p>
          <w:p w14:paraId="11DF5F99" w14:textId="77777777" w:rsidR="00F41639" w:rsidRPr="003A7E58" w:rsidRDefault="00F41639" w:rsidP="00F41639">
            <w:pPr>
              <w:pStyle w:val="ListParagraph"/>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ListParagraph"/>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ListParagraph"/>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ListParagraph"/>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lastRenderedPageBreak/>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Thanks for the comment on channel access. Although monitoring across slot group seems to leave some gap in time domain, the gap should be similar to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ja-JP"/>
              </w:rPr>
              <w:lastRenderedPageBreak/>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lastRenderedPageBreak/>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MS Mincho"/>
                <w:lang w:eastAsia="ja-JP"/>
              </w:rPr>
            </w:pPr>
            <w:r>
              <w:rPr>
                <w:rFonts w:eastAsia="MS Mincho"/>
                <w:lang w:eastAsia="ja-JP"/>
              </w:rPr>
              <w:t>W</w:t>
            </w:r>
            <w:r w:rsidRPr="009426A3">
              <w:rPr>
                <w:rFonts w:eastAsia="MS Mincho"/>
                <w:lang w:eastAsia="ja-JP"/>
              </w:rPr>
              <w:t>e share the similar view with Samsung and vivo that whether or not the location of X slot group can be different for different UEs and/or the restriction on location of Y slots within a slot group should be clarified for supporting Alt-1. And then, in addition, before we agree to support Alt-1, we prefer to narrow down further the range of Y values.</w:t>
            </w:r>
            <w:r>
              <w:rPr>
                <w:rFonts w:eastAsia="MS Mincho"/>
                <w:lang w:eastAsia="ja-JP"/>
              </w:rPr>
              <w:t xml:space="preserve"> However</w:t>
            </w:r>
            <w:r w:rsidRPr="009426A3">
              <w:rPr>
                <w:rFonts w:eastAsia="MS Mincho"/>
                <w:lang w:eastAsia="ja-JP"/>
              </w:rPr>
              <w:t xml:space="preserve">, we </w:t>
            </w:r>
            <w:r>
              <w:rPr>
                <w:rFonts w:eastAsia="MS Mincho"/>
                <w:lang w:eastAsia="ja-JP"/>
              </w:rPr>
              <w:t>are OK with Alt-1 and we would like to add the note as follows for the SS configuration</w:t>
            </w:r>
            <w:r w:rsidRPr="009426A3">
              <w:rPr>
                <w:rFonts w:eastAsia="MS Mincho"/>
                <w:lang w:eastAsia="ja-JP"/>
              </w:rPr>
              <w:t xml:space="preserve"> </w:t>
            </w:r>
            <w:r>
              <w:rPr>
                <w:rFonts w:eastAsia="MS Mincho"/>
                <w:lang w:eastAsia="ja-JP"/>
              </w:rPr>
              <w:t xml:space="preserve">within </w:t>
            </w:r>
            <w:r w:rsidRPr="009426A3">
              <w:rPr>
                <w:rFonts w:eastAsia="MS Mincho"/>
                <w:lang w:eastAsia="ja-JP"/>
              </w:rPr>
              <w:t xml:space="preserve">Y </w:t>
            </w:r>
            <w:r>
              <w:rPr>
                <w:rFonts w:eastAsia="MS Mincho"/>
                <w:lang w:eastAsia="ja-JP"/>
              </w:rPr>
              <w:t xml:space="preserve">slot </w:t>
            </w:r>
            <w:r w:rsidRPr="009426A3">
              <w:rPr>
                <w:rFonts w:eastAsia="MS Mincho"/>
                <w:lang w:eastAsia="ja-JP"/>
              </w:rPr>
              <w:t>in addition to Samsung's suggestion.</w:t>
            </w:r>
          </w:p>
          <w:p w14:paraId="517EDBCB" w14:textId="77777777" w:rsidR="006070B9" w:rsidRPr="005F37EC" w:rsidRDefault="006070B9" w:rsidP="006070B9">
            <w:pPr>
              <w:pStyle w:val="ListParagraph"/>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ListParagraph"/>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ListParagraph"/>
              <w:numPr>
                <w:ilvl w:val="1"/>
                <w:numId w:val="19"/>
              </w:numPr>
            </w:pPr>
            <w:r w:rsidRPr="003A7E58">
              <w:t>Each slot group consists of X slots</w:t>
            </w:r>
          </w:p>
          <w:p w14:paraId="7C573CC9" w14:textId="77777777" w:rsidR="006070B9" w:rsidRPr="003A7E58" w:rsidRDefault="006070B9" w:rsidP="006070B9">
            <w:pPr>
              <w:pStyle w:val="ListParagraph"/>
              <w:numPr>
                <w:ilvl w:val="1"/>
                <w:numId w:val="19"/>
              </w:numPr>
            </w:pPr>
            <w:r w:rsidRPr="003A7E58">
              <w:t>Slot groups are consecutive and non-overlapping</w:t>
            </w:r>
          </w:p>
          <w:p w14:paraId="39C3E621" w14:textId="77777777" w:rsidR="006070B9" w:rsidRPr="005F37EC" w:rsidRDefault="006070B9" w:rsidP="006070B9">
            <w:pPr>
              <w:pStyle w:val="ListParagraph"/>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ListParagraph"/>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ListParagraph"/>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ListParagraph"/>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r w:rsidR="00CB63A4" w:rsidRPr="00F41639" w14:paraId="4E5942A2" w14:textId="77777777" w:rsidTr="005C30D5">
        <w:tc>
          <w:tcPr>
            <w:tcW w:w="2405" w:type="dxa"/>
          </w:tcPr>
          <w:p w14:paraId="55EE31E2" w14:textId="1B21FADB" w:rsidR="00CB63A4" w:rsidRDefault="00CB63A4" w:rsidP="00CB63A4">
            <w:pPr>
              <w:rPr>
                <w:szCs w:val="24"/>
                <w:lang w:eastAsia="zh-CN"/>
              </w:rPr>
            </w:pPr>
            <w:r>
              <w:rPr>
                <w:szCs w:val="24"/>
                <w:lang w:eastAsia="zh-CN"/>
              </w:rPr>
              <w:t>CATT</w:t>
            </w:r>
          </w:p>
        </w:tc>
        <w:tc>
          <w:tcPr>
            <w:tcW w:w="12176" w:type="dxa"/>
          </w:tcPr>
          <w:p w14:paraId="01A16C8B" w14:textId="77777777" w:rsidR="00CB63A4" w:rsidRDefault="00CB63A4" w:rsidP="00CB63A4">
            <w:pPr>
              <w:rPr>
                <w:lang w:eastAsia="zh-CN"/>
              </w:rPr>
            </w:pPr>
            <w:r>
              <w:rPr>
                <w:lang w:eastAsia="zh-CN"/>
              </w:rPr>
              <w:t xml:space="preserve">We are mostly fine with the proposal. </w:t>
            </w:r>
          </w:p>
          <w:p w14:paraId="28CDC0D4" w14:textId="77777777" w:rsidR="00CB63A4" w:rsidRDefault="00CB63A4" w:rsidP="00CB63A4">
            <w:pPr>
              <w:rPr>
                <w:lang w:eastAsia="zh-CN"/>
              </w:rPr>
            </w:pPr>
            <w:r>
              <w:rPr>
                <w:lang w:eastAsia="zh-CN"/>
              </w:rPr>
              <w:t xml:space="preserve">Regarding ‘separately’, we think it’s clear the CCE/BD budget is defined for each multi-slot monitoring unit. By adding separately, it seems to indicate different monitoring group may have different CCE/BD budget (capability). </w:t>
            </w:r>
          </w:p>
          <w:p w14:paraId="786B3E8F" w14:textId="77777777" w:rsidR="00CB63A4" w:rsidRDefault="00CB63A4" w:rsidP="00CB63A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454BEC79" w14:textId="77777777" w:rsidR="00CB63A4" w:rsidRDefault="00CB63A4" w:rsidP="00CB63A4">
            <w:pPr>
              <w:rPr>
                <w:lang w:eastAsia="zh-CN"/>
              </w:rPr>
            </w:pPr>
            <w:r>
              <w:rPr>
                <w:lang w:eastAsia="zh-CN"/>
              </w:rPr>
              <w:t xml:space="preserve">We don’t see any reason to allow monitoring happens outside Y slot, otherwise  the configured monitoring CCE/BD between two </w:t>
            </w:r>
            <w:r>
              <w:rPr>
                <w:lang w:eastAsia="zh-CN"/>
              </w:rPr>
              <w:lastRenderedPageBreak/>
              <w:t>consecutive multi-slot group may exceed it’s capability.</w:t>
            </w:r>
          </w:p>
          <w:p w14:paraId="0CBBAB36" w14:textId="77777777" w:rsidR="00CB63A4" w:rsidRDefault="00CB63A4" w:rsidP="00CB63A4">
            <w:pPr>
              <w:rPr>
                <w:lang w:eastAsia="zh-CN"/>
              </w:rPr>
            </w:pPr>
          </w:p>
          <w:p w14:paraId="16A3F483" w14:textId="77777777" w:rsidR="00CB63A4" w:rsidRDefault="00CB63A4" w:rsidP="00CB63A4">
            <w:pPr>
              <w:rPr>
                <w:lang w:eastAsia="zh-CN"/>
              </w:rPr>
            </w:pPr>
            <w:r>
              <w:rPr>
                <w:lang w:eastAsia="zh-CN"/>
              </w:rPr>
              <w:t>We haven’t discussed the starting point the multi-slot group, in fact we think the multi-slot monitoring unit does not to start from slot boundary. In our view,  this will add one level of flexibility. To further improve the scheduling flexibility , Y should be set as large as possible, preferably Y=X/2</w:t>
            </w:r>
          </w:p>
          <w:p w14:paraId="2AE7FA6A" w14:textId="77777777" w:rsidR="00CB63A4" w:rsidRDefault="00CB63A4" w:rsidP="00CB63A4">
            <w:pPr>
              <w:rPr>
                <w:lang w:eastAsia="zh-CN"/>
              </w:rPr>
            </w:pPr>
          </w:p>
          <w:p w14:paraId="4E778B93" w14:textId="390CD041" w:rsidR="00CB63A4" w:rsidRPr="003A7E58" w:rsidRDefault="00CB63A4" w:rsidP="00CB63A4">
            <w:pPr>
              <w:pStyle w:val="ListParagraph"/>
              <w:numPr>
                <w:ilvl w:val="0"/>
                <w:numId w:val="19"/>
              </w:numPr>
            </w:pPr>
            <w:r w:rsidRPr="003A7E58">
              <w:t xml:space="preserve">Alt 1: Use a fixed pattern of </w:t>
            </w:r>
            <w:r w:rsidRPr="00CB63A4">
              <w:rPr>
                <w:strike/>
                <w:color w:val="FF0000"/>
              </w:rPr>
              <w:t>slot</w:t>
            </w:r>
            <w:r>
              <w:t xml:space="preserve"> </w:t>
            </w:r>
            <w:r w:rsidRPr="00CB63A4">
              <w:rPr>
                <w:color w:val="FF0000"/>
              </w:rPr>
              <w:t xml:space="preserve">monitoring </w:t>
            </w:r>
            <w:r w:rsidRPr="003A7E58">
              <w:t xml:space="preserve">groups as the baseline to define the new capability. </w:t>
            </w:r>
          </w:p>
          <w:p w14:paraId="5B325351" w14:textId="0A2C63CA" w:rsidR="00CB63A4" w:rsidRDefault="00CB63A4" w:rsidP="00CB63A4">
            <w:pPr>
              <w:pStyle w:val="ListParagraph"/>
              <w:numPr>
                <w:ilvl w:val="1"/>
                <w:numId w:val="19"/>
              </w:numPr>
            </w:pPr>
            <w:r w:rsidRPr="003A7E58">
              <w:t xml:space="preserve">Each </w:t>
            </w:r>
            <w:r w:rsidRPr="00CB63A4">
              <w:rPr>
                <w:strike/>
                <w:color w:val="FF0000"/>
              </w:rPr>
              <w:t>slot</w:t>
            </w:r>
            <w:r w:rsidRPr="00CB63A4">
              <w:rPr>
                <w:color w:val="FF0000"/>
              </w:rPr>
              <w:t xml:space="preserve"> monitoring </w:t>
            </w:r>
            <w:r w:rsidRPr="003A7E58">
              <w:t>group consists of X slots</w:t>
            </w:r>
          </w:p>
          <w:p w14:paraId="63FCFE3E" w14:textId="75D1CC34" w:rsidR="00CB63A4" w:rsidRPr="00CB63A4" w:rsidRDefault="00CB63A4" w:rsidP="00CB63A4">
            <w:pPr>
              <w:pStyle w:val="ListParagraph"/>
              <w:numPr>
                <w:ilvl w:val="1"/>
                <w:numId w:val="19"/>
              </w:numPr>
              <w:rPr>
                <w:color w:val="FF0000"/>
              </w:rPr>
            </w:pPr>
            <w:r w:rsidRPr="00CB63A4">
              <w:rPr>
                <w:color w:val="FF0000"/>
              </w:rPr>
              <w:t>The start of the monitoring group does not need to align with slot boundary</w:t>
            </w:r>
          </w:p>
          <w:p w14:paraId="34B3228B" w14:textId="15E3E12C" w:rsidR="00CB63A4" w:rsidRPr="003A7E58" w:rsidRDefault="00CB63A4" w:rsidP="00CB63A4">
            <w:pPr>
              <w:pStyle w:val="ListParagraph"/>
              <w:numPr>
                <w:ilvl w:val="1"/>
                <w:numId w:val="19"/>
              </w:numPr>
            </w:pPr>
            <w:r w:rsidRPr="00CB63A4">
              <w:rPr>
                <w:strike/>
                <w:color w:val="FF0000"/>
              </w:rPr>
              <w:t>Slot</w:t>
            </w:r>
            <w:r w:rsidRPr="00CB63A4">
              <w:rPr>
                <w:color w:val="FF0000"/>
              </w:rPr>
              <w:t xml:space="preserve"> </w:t>
            </w:r>
            <w:r>
              <w:rPr>
                <w:color w:val="FF0000"/>
              </w:rPr>
              <w:t>M</w:t>
            </w:r>
            <w:r w:rsidRPr="00CB63A4">
              <w:rPr>
                <w:color w:val="FF0000"/>
              </w:rPr>
              <w:t xml:space="preserve">onitoring </w:t>
            </w:r>
            <w:r>
              <w:rPr>
                <w:color w:val="FF0000"/>
              </w:rPr>
              <w:t xml:space="preserve"> </w:t>
            </w:r>
            <w:r w:rsidRPr="003A7E58">
              <w:t>groups are consecutive and non-overlapping</w:t>
            </w:r>
          </w:p>
          <w:p w14:paraId="5740F959" w14:textId="63BF5E13" w:rsidR="00CB63A4" w:rsidRPr="005F37EC" w:rsidRDefault="00CB63A4" w:rsidP="00CB63A4">
            <w:pPr>
              <w:pStyle w:val="ListParagraph"/>
              <w:numPr>
                <w:ilvl w:val="1"/>
                <w:numId w:val="19"/>
              </w:numPr>
            </w:pPr>
            <w:r w:rsidRPr="005F37EC">
              <w:t xml:space="preserve">The capability indicates the BD/CCE budget within Y consecutive slots in each </w:t>
            </w:r>
            <w:r w:rsidRPr="00CB63A4">
              <w:rPr>
                <w:strike/>
                <w:color w:val="FF0000"/>
              </w:rPr>
              <w:t>slot</w:t>
            </w:r>
            <w:r w:rsidRPr="00CB63A4">
              <w:rPr>
                <w:color w:val="FF0000"/>
              </w:rPr>
              <w:t xml:space="preserve"> monitoring </w:t>
            </w:r>
            <w:r>
              <w:rPr>
                <w:color w:val="FF0000"/>
              </w:rPr>
              <w:t xml:space="preserve"> </w:t>
            </w:r>
            <w:r w:rsidRPr="005F37EC">
              <w:t xml:space="preserve">group </w:t>
            </w:r>
            <w:r w:rsidRPr="00CB63A4">
              <w:rPr>
                <w:strike/>
                <w:color w:val="FF0000"/>
              </w:rPr>
              <w:t>separately</w:t>
            </w:r>
          </w:p>
          <w:p w14:paraId="72AAB6C7" w14:textId="77777777" w:rsidR="00CB63A4" w:rsidRDefault="00CB63A4" w:rsidP="00CB63A4">
            <w:pPr>
              <w:pStyle w:val="ListParagraph"/>
              <w:numPr>
                <w:ilvl w:val="1"/>
                <w:numId w:val="19"/>
              </w:numPr>
            </w:pPr>
            <w:r w:rsidRPr="005F37EC">
              <w:t>Further discuss down-selection of Y within 1&lt;=Y&lt;=X/2 (both in units of slot) when X&gt;1</w:t>
            </w:r>
          </w:p>
          <w:p w14:paraId="1A32DC44" w14:textId="1F473797" w:rsidR="00CB63A4" w:rsidRPr="005F37EC" w:rsidRDefault="00CB63A4" w:rsidP="00CB63A4">
            <w:pPr>
              <w:pStyle w:val="ListParagraph"/>
              <w:numPr>
                <w:ilvl w:val="1"/>
                <w:numId w:val="19"/>
              </w:numPr>
            </w:pPr>
            <w:r w:rsidRPr="00A850F2">
              <w:rPr>
                <w:color w:val="FF0000"/>
              </w:rPr>
              <w:t xml:space="preserve">The indices of Y slots within the X </w:t>
            </w:r>
            <w:r w:rsidRPr="00CB63A4">
              <w:rPr>
                <w:color w:val="FF0000"/>
              </w:rPr>
              <w:t xml:space="preserve">monitoring </w:t>
            </w:r>
            <w:r>
              <w:rPr>
                <w:color w:val="FF0000"/>
              </w:rPr>
              <w:t xml:space="preserve"> </w:t>
            </w:r>
            <w:r w:rsidRPr="00A850F2">
              <w:rPr>
                <w:color w:val="FF0000"/>
              </w:rPr>
              <w:t>group maintain the same across different slot groups</w:t>
            </w:r>
          </w:p>
          <w:p w14:paraId="2C38ECCE" w14:textId="77777777" w:rsidR="00CB63A4" w:rsidRPr="005F37EC" w:rsidRDefault="00CB63A4" w:rsidP="00CB63A4">
            <w:pPr>
              <w:pStyle w:val="ListParagraph"/>
              <w:numPr>
                <w:ilvl w:val="1"/>
                <w:numId w:val="19"/>
              </w:numPr>
            </w:pPr>
            <w:r w:rsidRPr="005F37EC">
              <w:t>FFS: Further definition of capabilities</w:t>
            </w:r>
          </w:p>
          <w:p w14:paraId="2DFC97D3" w14:textId="77777777" w:rsidR="00CB63A4" w:rsidRDefault="00CB63A4" w:rsidP="00CB63A4">
            <w:pPr>
              <w:rPr>
                <w:rFonts w:eastAsia="MS Mincho"/>
                <w:lang w:eastAsia="ja-JP"/>
              </w:rPr>
            </w:pPr>
          </w:p>
        </w:tc>
      </w:tr>
      <w:tr w:rsidR="00D0297C" w:rsidRPr="00F41639" w14:paraId="79D85BA5" w14:textId="77777777" w:rsidTr="005C30D5">
        <w:tc>
          <w:tcPr>
            <w:tcW w:w="2405" w:type="dxa"/>
          </w:tcPr>
          <w:p w14:paraId="534073F0" w14:textId="1050C51D" w:rsidR="00D0297C" w:rsidRDefault="00D0297C" w:rsidP="00D0297C">
            <w:pPr>
              <w:rPr>
                <w:szCs w:val="24"/>
                <w:lang w:eastAsia="zh-CN"/>
              </w:rPr>
            </w:pPr>
            <w:r>
              <w:rPr>
                <w:szCs w:val="24"/>
                <w:lang w:eastAsia="zh-CN"/>
              </w:rPr>
              <w:lastRenderedPageBreak/>
              <w:t>Qualcomm 2</w:t>
            </w:r>
          </w:p>
        </w:tc>
        <w:tc>
          <w:tcPr>
            <w:tcW w:w="12176" w:type="dxa"/>
          </w:tcPr>
          <w:p w14:paraId="05A69F43" w14:textId="77777777" w:rsidR="00D0297C" w:rsidRDefault="00D0297C" w:rsidP="00D0297C">
            <w:pPr>
              <w:rPr>
                <w:lang w:eastAsia="zh-CN"/>
              </w:rPr>
            </w:pPr>
            <w:r>
              <w:rPr>
                <w:lang w:eastAsia="zh-CN"/>
              </w:rPr>
              <w:t>To Ericsson 2: Regarding the bitmap or span pattern, we have a different view. The argument on the span pattern and the value M is based on the view that Alt 2 is an extension of Rel-15 PDCCH monitoring capability, i.e., FG 3-5b (</w:t>
            </w:r>
            <w:r w:rsidRPr="004E0EB2">
              <w:rPr>
                <w:i/>
                <w:lang w:eastAsia="zh-CN"/>
              </w:rPr>
              <w:t>pdcch-MonitoringAnyOccasionsWithSpanGap</w:t>
            </w:r>
            <w:r>
              <w:rPr>
                <w:lang w:eastAsia="zh-CN"/>
              </w:rPr>
              <w:t>). However, in our view, Alt 2 should be regarded as an extension of Rel-16 per-span PDCCH monitoring capability, i.e., FG 11-2 (</w:t>
            </w:r>
            <w:r w:rsidRPr="0036104F">
              <w:rPr>
                <w:i/>
                <w:iCs/>
                <w:lang w:eastAsia="zh-CN"/>
              </w:rPr>
              <w:t>pdcch-Monitoring-r16</w:t>
            </w:r>
            <w:r>
              <w:rPr>
                <w:lang w:eastAsia="zh-CN"/>
              </w:rPr>
              <w:t>), and the notion of the repeated span pattern is not relevant. To clarify, the same definition of span in Rel-16 should be used (Section 10 in TS 38.213):</w:t>
            </w:r>
          </w:p>
          <w:p w14:paraId="4E0B9A0D" w14:textId="77777777" w:rsidR="00D0297C" w:rsidRDefault="00D0297C" w:rsidP="00D0297C">
            <w:pPr>
              <w:pStyle w:val="ListParagraph"/>
              <w:numPr>
                <w:ilvl w:val="0"/>
                <w:numId w:val="58"/>
              </w:numPr>
              <w:snapToGrid/>
              <w:spacing w:line="240" w:lineRule="auto"/>
              <w:jc w:val="both"/>
              <w:rPr>
                <w:lang w:eastAsia="zh-CN"/>
              </w:rPr>
            </w:pPr>
            <w:r w:rsidRPr="00C057FF">
              <w:rPr>
                <w:lang w:eastAsia="zh-CN"/>
              </w:rPr>
              <w:t>A span is a number of consecutive symbols in a slot where the UE is configured to monitor PDCCH.</w:t>
            </w:r>
          </w:p>
          <w:p w14:paraId="6AAC94E1" w14:textId="2F14DA68" w:rsidR="00D0297C" w:rsidRDefault="00D0297C" w:rsidP="00D0297C">
            <w:pPr>
              <w:pStyle w:val="ListParagraph"/>
              <w:numPr>
                <w:ilvl w:val="0"/>
                <w:numId w:val="58"/>
              </w:numPr>
              <w:snapToGrid/>
              <w:spacing w:line="240" w:lineRule="auto"/>
              <w:jc w:val="both"/>
              <w:rPr>
                <w:lang w:eastAsia="zh-CN"/>
              </w:rPr>
            </w:pPr>
            <w:r w:rsidRPr="00D0297C">
              <w:rPr>
                <w:color w:val="000000"/>
              </w:rPr>
              <w:t>A span starts at a first symbol where a PDCCH MO starts and ends at a last symbol where a PDCCH MO ends, where the number of symbols of the span is up to Y.</w:t>
            </w:r>
          </w:p>
        </w:tc>
      </w:tr>
      <w:tr w:rsidR="007A7048" w:rsidRPr="00F41639" w14:paraId="72742537" w14:textId="77777777" w:rsidTr="005C30D5">
        <w:tc>
          <w:tcPr>
            <w:tcW w:w="2405" w:type="dxa"/>
          </w:tcPr>
          <w:p w14:paraId="07FB1C1A" w14:textId="2AFB3B3A" w:rsidR="007A7048" w:rsidRDefault="007A7048" w:rsidP="007A7048">
            <w:pPr>
              <w:rPr>
                <w:szCs w:val="24"/>
                <w:lang w:eastAsia="zh-CN"/>
              </w:rPr>
            </w:pPr>
            <w:r>
              <w:rPr>
                <w:rFonts w:eastAsia="MS Mincho" w:hint="eastAsia"/>
                <w:szCs w:val="24"/>
                <w:lang w:eastAsia="ja-JP"/>
              </w:rPr>
              <w:t>Sharp</w:t>
            </w:r>
          </w:p>
        </w:tc>
        <w:tc>
          <w:tcPr>
            <w:tcW w:w="12176" w:type="dxa"/>
          </w:tcPr>
          <w:p w14:paraId="031BDB6B" w14:textId="77777777" w:rsidR="007A7048" w:rsidRDefault="007A7048" w:rsidP="007A7048">
            <w:pPr>
              <w:rPr>
                <w:lang w:eastAsia="zh-CN"/>
              </w:rPr>
            </w:pPr>
            <w:r>
              <w:rPr>
                <w:lang w:eastAsia="zh-CN"/>
              </w:rPr>
              <w:t>We support the FL proposal.</w:t>
            </w:r>
          </w:p>
          <w:p w14:paraId="4771C3DF" w14:textId="7D2F6F88" w:rsidR="007A7048" w:rsidRDefault="007A7048" w:rsidP="007A7048">
            <w:pPr>
              <w:rPr>
                <w:lang w:eastAsia="zh-CN"/>
              </w:rPr>
            </w:pPr>
            <w:r>
              <w:rPr>
                <w:lang w:eastAsia="zh-CN"/>
              </w:rPr>
              <w:t>We understand that making the Y slot floating while ensuring the separation of the X slot group improves flexibility. However, fixing the Y slot at the beginning of the slot group would simplify the calculation of the BD/CCE budget. We recognize that adopting a fixed Y is a practical way to complete the design of multi-slot monitoring capability in fewer meetings.</w:t>
            </w:r>
          </w:p>
        </w:tc>
      </w:tr>
    </w:tbl>
    <w:p w14:paraId="49C34E5E" w14:textId="1A0A2890" w:rsidR="00983A00" w:rsidRDefault="00983A00">
      <w:pPr>
        <w:rPr>
          <w:b/>
          <w:bCs/>
          <w:lang w:eastAsia="zh-CN"/>
        </w:rPr>
      </w:pPr>
    </w:p>
    <w:p w14:paraId="5756C24B" w14:textId="77777777" w:rsidR="00767D74" w:rsidRPr="00516E58" w:rsidRDefault="00767D74" w:rsidP="00767D74">
      <w:pPr>
        <w:rPr>
          <w:b/>
          <w:bCs/>
          <w:highlight w:val="cyan"/>
        </w:rPr>
      </w:pPr>
      <w:r w:rsidRPr="00516E58">
        <w:rPr>
          <w:b/>
          <w:bCs/>
          <w:highlight w:val="cyan"/>
        </w:rPr>
        <w:t>FL Summary (4</w:t>
      </w:r>
      <w:r w:rsidRPr="00516E58">
        <w:rPr>
          <w:b/>
          <w:bCs/>
          <w:highlight w:val="cyan"/>
          <w:vertAlign w:val="superscript"/>
        </w:rPr>
        <w:t>th</w:t>
      </w:r>
      <w:r w:rsidRPr="00516E58">
        <w:rPr>
          <w:b/>
          <w:bCs/>
          <w:highlight w:val="cyan"/>
        </w:rPr>
        <w:t xml:space="preserve"> round)</w:t>
      </w:r>
    </w:p>
    <w:p w14:paraId="3668A5EB" w14:textId="5E201E9B" w:rsidR="00767D74" w:rsidRPr="00711798" w:rsidRDefault="00767D74" w:rsidP="00767D74">
      <w:pPr>
        <w:rPr>
          <w:b/>
          <w:bCs/>
          <w:highlight w:val="yellow"/>
        </w:rPr>
      </w:pPr>
      <w:r w:rsidRPr="00711798">
        <w:rPr>
          <w:b/>
          <w:bCs/>
          <w:highlight w:val="yellow"/>
        </w:rPr>
        <w:lastRenderedPageBreak/>
        <w:t>Most opinions discuss the location of the Y slots, especially if the location should be fixed or be configurable (with potential limitations), and the possible values of Y. One common ground fro the discussion seems to be that the location should be the same between slot groups, so that no back-to-back issue can occur. Apart from that, the aspect of a fixed or flexible (=configurable) location of the Y slots could be further discussed in the future in the context of search space configurability. Another common understanding seems to be that the word "separately" should be removed for defining the BD/CCE capability.</w:t>
      </w:r>
    </w:p>
    <w:p w14:paraId="11430A1C" w14:textId="775FB52E" w:rsidR="00767D74" w:rsidRPr="00711798" w:rsidRDefault="00767D74" w:rsidP="00767D74">
      <w:pPr>
        <w:rPr>
          <w:b/>
          <w:bCs/>
          <w:highlight w:val="yellow"/>
        </w:rPr>
      </w:pPr>
      <w:r w:rsidRPr="00711798">
        <w:rPr>
          <w:b/>
          <w:bCs/>
          <w:highlight w:val="yellow"/>
        </w:rPr>
        <w:t xml:space="preserve">FL suggests to further revise Alt 1 </w:t>
      </w:r>
      <w:r w:rsidR="00D3518E" w:rsidRPr="00711798">
        <w:rPr>
          <w:b/>
          <w:bCs/>
          <w:highlight w:val="yellow"/>
        </w:rPr>
        <w:t xml:space="preserve">and spell out additoinal items for further study </w:t>
      </w:r>
      <w:r w:rsidRPr="00711798">
        <w:rPr>
          <w:b/>
          <w:bCs/>
          <w:highlight w:val="yellow"/>
        </w:rPr>
        <w:t>(picking up suggestions provided by Ericsson</w:t>
      </w:r>
      <w:r w:rsidR="00D3518E" w:rsidRPr="00711798">
        <w:rPr>
          <w:b/>
          <w:bCs/>
          <w:highlight w:val="yellow"/>
        </w:rPr>
        <w:t>, CATT</w:t>
      </w:r>
      <w:r w:rsidRPr="00711798">
        <w:rPr>
          <w:b/>
          <w:bCs/>
          <w:highlight w:val="yellow"/>
        </w:rPr>
        <w:t xml:space="preserve"> and Qualcomm with some modification)</w:t>
      </w:r>
    </w:p>
    <w:p w14:paraId="33BA8988" w14:textId="77777777" w:rsidR="00767D74" w:rsidRPr="00711798" w:rsidRDefault="00767D74" w:rsidP="00767D74">
      <w:pPr>
        <w:pStyle w:val="ListParagraph"/>
        <w:numPr>
          <w:ilvl w:val="0"/>
          <w:numId w:val="16"/>
        </w:numPr>
        <w:rPr>
          <w:highlight w:val="yellow"/>
        </w:rPr>
      </w:pPr>
      <w:r w:rsidRPr="00711798">
        <w:rPr>
          <w:highlight w:val="yellow"/>
        </w:rPr>
        <w:t xml:space="preserve">Alt 1: Use a fixed pattern of slot groups as the baseline to define the new capability. </w:t>
      </w:r>
    </w:p>
    <w:p w14:paraId="163B0365" w14:textId="77777777" w:rsidR="00767D74" w:rsidRPr="00711798" w:rsidRDefault="00767D74" w:rsidP="00767D74">
      <w:pPr>
        <w:pStyle w:val="ListParagraph"/>
        <w:numPr>
          <w:ilvl w:val="1"/>
          <w:numId w:val="16"/>
        </w:numPr>
        <w:rPr>
          <w:highlight w:val="yellow"/>
        </w:rPr>
      </w:pPr>
      <w:r w:rsidRPr="00711798">
        <w:rPr>
          <w:highlight w:val="yellow"/>
        </w:rPr>
        <w:t>Each slot group consists of X slots</w:t>
      </w:r>
    </w:p>
    <w:p w14:paraId="70FDFD20" w14:textId="77777777" w:rsidR="00767D74" w:rsidRPr="00711798" w:rsidRDefault="00767D74" w:rsidP="00767D74">
      <w:pPr>
        <w:pStyle w:val="ListParagraph"/>
        <w:numPr>
          <w:ilvl w:val="1"/>
          <w:numId w:val="16"/>
        </w:numPr>
        <w:rPr>
          <w:highlight w:val="yellow"/>
        </w:rPr>
      </w:pPr>
      <w:r w:rsidRPr="00711798">
        <w:rPr>
          <w:highlight w:val="yellow"/>
        </w:rPr>
        <w:t>Slot groups are consecutive and non-overlapping</w:t>
      </w:r>
    </w:p>
    <w:p w14:paraId="5AE4A0BF" w14:textId="03B7F8B6" w:rsidR="00767D74" w:rsidRPr="00711798" w:rsidRDefault="00767D74" w:rsidP="00767D74">
      <w:pPr>
        <w:pStyle w:val="ListParagraph"/>
        <w:numPr>
          <w:ilvl w:val="1"/>
          <w:numId w:val="16"/>
        </w:numPr>
        <w:rPr>
          <w:highlight w:val="yellow"/>
        </w:rPr>
      </w:pPr>
      <w:r w:rsidRPr="00711798">
        <w:rPr>
          <w:highlight w:val="yellow"/>
        </w:rPr>
        <w:t>The capability indicates the BD/CCE budget</w:t>
      </w:r>
      <w:r w:rsidR="00D3518E" w:rsidRPr="00711798">
        <w:rPr>
          <w:color w:val="FF0000"/>
          <w:highlight w:val="yellow"/>
        </w:rPr>
        <w:t>,</w:t>
      </w:r>
      <w:r w:rsidRPr="00711798">
        <w:rPr>
          <w:color w:val="FF0000"/>
          <w:highlight w:val="yellow"/>
        </w:rPr>
        <w:t xml:space="preserve"> </w:t>
      </w:r>
      <w:r w:rsidR="00D3518E" w:rsidRPr="00711798">
        <w:rPr>
          <w:color w:val="FF0000"/>
          <w:highlight w:val="yellow"/>
        </w:rPr>
        <w:t xml:space="preserve">for at least </w:t>
      </w:r>
      <w:r w:rsidR="00D3518E" w:rsidRPr="00711798">
        <w:rPr>
          <w:color w:val="FF0000"/>
          <w:highlight w:val="yellow"/>
        </w:rPr>
        <w:t>Type</w:t>
      </w:r>
      <w:r w:rsidR="00D3518E" w:rsidRPr="00711798">
        <w:rPr>
          <w:color w:val="FF0000"/>
          <w:highlight w:val="yellow"/>
        </w:rPr>
        <w:t xml:space="preserve"> </w:t>
      </w:r>
      <w:r w:rsidR="00D3518E" w:rsidRPr="00711798">
        <w:rPr>
          <w:color w:val="FF0000"/>
          <w:highlight w:val="yellow"/>
        </w:rPr>
        <w:t>1</w:t>
      </w:r>
      <w:r w:rsidR="00D3518E" w:rsidRPr="00711798">
        <w:rPr>
          <w:color w:val="FF0000"/>
          <w:highlight w:val="yellow"/>
        </w:rPr>
        <w:t xml:space="preserve">-CSS </w:t>
      </w:r>
      <w:r w:rsidR="00D3518E" w:rsidRPr="00711798">
        <w:rPr>
          <w:color w:val="FF0000"/>
          <w:highlight w:val="yellow"/>
        </w:rPr>
        <w:t>(with dedicated RRC config)</w:t>
      </w:r>
      <w:r w:rsidR="00D3518E" w:rsidRPr="00711798">
        <w:rPr>
          <w:color w:val="FF0000"/>
          <w:highlight w:val="yellow"/>
        </w:rPr>
        <w:t xml:space="preserve">, Type </w:t>
      </w:r>
      <w:r w:rsidR="00D3518E" w:rsidRPr="00711798">
        <w:rPr>
          <w:color w:val="FF0000"/>
          <w:highlight w:val="yellow"/>
        </w:rPr>
        <w:t>3-CSS and USS</w:t>
      </w:r>
      <w:r w:rsidR="00D3518E" w:rsidRPr="00711798">
        <w:rPr>
          <w:color w:val="FF0000"/>
          <w:highlight w:val="yellow"/>
        </w:rPr>
        <w:t>,</w:t>
      </w:r>
      <w:r w:rsidR="00D3518E" w:rsidRPr="00711798">
        <w:rPr>
          <w:highlight w:val="yellow"/>
        </w:rPr>
        <w:t xml:space="preserve"> </w:t>
      </w:r>
      <w:r w:rsidRPr="00711798">
        <w:rPr>
          <w:highlight w:val="yellow"/>
        </w:rPr>
        <w:t xml:space="preserve">within Y consecutive slots in each slot group </w:t>
      </w:r>
      <w:r w:rsidRPr="00711798">
        <w:rPr>
          <w:strike/>
          <w:color w:val="FF0000"/>
          <w:highlight w:val="yellow"/>
        </w:rPr>
        <w:t>separately</w:t>
      </w:r>
    </w:p>
    <w:p w14:paraId="43CD0049" w14:textId="7BE2BE99" w:rsidR="00D3518E" w:rsidRPr="00711798" w:rsidRDefault="00D3518E" w:rsidP="00D3518E">
      <w:pPr>
        <w:pStyle w:val="ListParagraph"/>
        <w:numPr>
          <w:ilvl w:val="2"/>
          <w:numId w:val="16"/>
        </w:numPr>
        <w:rPr>
          <w:highlight w:val="yellow"/>
        </w:rPr>
      </w:pPr>
      <w:r w:rsidRPr="00711798">
        <w:rPr>
          <w:color w:val="FF0000"/>
          <w:highlight w:val="yellow"/>
        </w:rPr>
        <w:t xml:space="preserve">The </w:t>
      </w:r>
      <w:r w:rsidRPr="00711798">
        <w:rPr>
          <w:color w:val="FF0000"/>
          <w:highlight w:val="yellow"/>
        </w:rPr>
        <w:t>location</w:t>
      </w:r>
      <w:r w:rsidRPr="00711798">
        <w:rPr>
          <w:color w:val="FF0000"/>
          <w:highlight w:val="yellow"/>
        </w:rPr>
        <w:t xml:space="preserve"> of </w:t>
      </w:r>
      <w:r w:rsidRPr="00711798">
        <w:rPr>
          <w:color w:val="FF0000"/>
          <w:highlight w:val="yellow"/>
        </w:rPr>
        <w:t xml:space="preserve">the </w:t>
      </w:r>
      <w:r w:rsidRPr="00711798">
        <w:rPr>
          <w:color w:val="FF0000"/>
          <w:highlight w:val="yellow"/>
        </w:rPr>
        <w:t>Y slots within the X slot</w:t>
      </w:r>
      <w:r w:rsidRPr="00711798">
        <w:rPr>
          <w:color w:val="FF0000"/>
          <w:highlight w:val="yellow"/>
        </w:rPr>
        <w:t>s</w:t>
      </w:r>
      <w:r w:rsidRPr="00711798">
        <w:rPr>
          <w:color w:val="FF0000"/>
          <w:highlight w:val="yellow"/>
        </w:rPr>
        <w:t xml:space="preserve"> </w:t>
      </w:r>
      <w:r w:rsidRPr="00711798">
        <w:rPr>
          <w:color w:val="FF0000"/>
          <w:highlight w:val="yellow"/>
        </w:rPr>
        <w:t xml:space="preserve">is </w:t>
      </w:r>
      <w:r w:rsidRPr="00711798">
        <w:rPr>
          <w:color w:val="FF0000"/>
          <w:highlight w:val="yellow"/>
        </w:rPr>
        <w:t>maintain</w:t>
      </w:r>
      <w:r w:rsidRPr="00711798">
        <w:rPr>
          <w:color w:val="FF0000"/>
          <w:highlight w:val="yellow"/>
        </w:rPr>
        <w:t>ed</w:t>
      </w:r>
      <w:r w:rsidRPr="00711798">
        <w:rPr>
          <w:color w:val="FF0000"/>
          <w:highlight w:val="yellow"/>
        </w:rPr>
        <w:t xml:space="preserve"> across different slot groups</w:t>
      </w:r>
    </w:p>
    <w:p w14:paraId="2D8EA635" w14:textId="2C87D1CD" w:rsidR="00D3518E" w:rsidRPr="00711798" w:rsidRDefault="00D3518E" w:rsidP="00D3518E">
      <w:pPr>
        <w:pStyle w:val="ListParagraph"/>
        <w:numPr>
          <w:ilvl w:val="2"/>
          <w:numId w:val="16"/>
        </w:numPr>
        <w:rPr>
          <w:highlight w:val="yellow"/>
        </w:rPr>
      </w:pPr>
      <w:r w:rsidRPr="00711798">
        <w:rPr>
          <w:color w:val="FF0000"/>
          <w:highlight w:val="yellow"/>
        </w:rPr>
        <w:t>FFS for other search spaces</w:t>
      </w:r>
    </w:p>
    <w:p w14:paraId="0FF79D6D" w14:textId="77777777" w:rsidR="00767D74" w:rsidRPr="00711798" w:rsidRDefault="00767D74" w:rsidP="00767D74">
      <w:pPr>
        <w:pStyle w:val="ListParagraph"/>
        <w:numPr>
          <w:ilvl w:val="1"/>
          <w:numId w:val="16"/>
        </w:numPr>
        <w:rPr>
          <w:highlight w:val="yellow"/>
        </w:rPr>
      </w:pPr>
      <w:r w:rsidRPr="00711798">
        <w:rPr>
          <w:highlight w:val="yellow"/>
        </w:rPr>
        <w:t>Further discuss down-selection of Y within 1&lt;=Y&lt;=X/2 (both in units of slot) when X&gt;1</w:t>
      </w:r>
    </w:p>
    <w:p w14:paraId="295F1080" w14:textId="77777777" w:rsidR="00767D74" w:rsidRPr="00CF7D84" w:rsidRDefault="00767D74" w:rsidP="00767D74">
      <w:pPr>
        <w:pStyle w:val="ListParagraph"/>
        <w:numPr>
          <w:ilvl w:val="1"/>
          <w:numId w:val="16"/>
        </w:numPr>
        <w:rPr>
          <w:strike/>
          <w:color w:val="FF0000"/>
          <w:highlight w:val="yellow"/>
        </w:rPr>
      </w:pPr>
      <w:r w:rsidRPr="00CF7D84">
        <w:rPr>
          <w:strike/>
          <w:color w:val="FF0000"/>
          <w:highlight w:val="yellow"/>
        </w:rPr>
        <w:t>FFS: Restrictions on location of the Y slots within a slot group, e.g. the Y slots always start at the first slot within a slot group</w:t>
      </w:r>
    </w:p>
    <w:p w14:paraId="3F08D74A" w14:textId="4EDE8487" w:rsidR="00767D74" w:rsidRPr="00711798" w:rsidRDefault="00767D74" w:rsidP="00767D74">
      <w:pPr>
        <w:pStyle w:val="ListParagraph"/>
        <w:numPr>
          <w:ilvl w:val="1"/>
          <w:numId w:val="16"/>
        </w:numPr>
        <w:rPr>
          <w:highlight w:val="yellow"/>
        </w:rPr>
      </w:pPr>
      <w:r w:rsidRPr="00711798">
        <w:rPr>
          <w:highlight w:val="yellow"/>
        </w:rPr>
        <w:t>FFS: Further definition of capabilities</w:t>
      </w:r>
    </w:p>
    <w:p w14:paraId="498F02BD" w14:textId="56C3E7E0" w:rsidR="00D3518E" w:rsidRPr="00711798" w:rsidRDefault="00D3518E" w:rsidP="00D3518E">
      <w:pPr>
        <w:pStyle w:val="ListParagraph"/>
        <w:numPr>
          <w:ilvl w:val="0"/>
          <w:numId w:val="16"/>
        </w:numPr>
        <w:rPr>
          <w:color w:val="FF0000"/>
          <w:highlight w:val="yellow"/>
        </w:rPr>
      </w:pPr>
      <w:r w:rsidRPr="00711798">
        <w:rPr>
          <w:color w:val="FF0000"/>
          <w:highlight w:val="yellow"/>
        </w:rPr>
        <w:t>FFS the following issues for the search space configuration discussion</w:t>
      </w:r>
    </w:p>
    <w:p w14:paraId="34A364E7" w14:textId="6E161B2A" w:rsidR="00D3518E" w:rsidRPr="00711798" w:rsidRDefault="00D3518E" w:rsidP="00D3518E">
      <w:pPr>
        <w:pStyle w:val="ListParagraph"/>
        <w:numPr>
          <w:ilvl w:val="1"/>
          <w:numId w:val="16"/>
        </w:numPr>
        <w:rPr>
          <w:color w:val="FF0000"/>
          <w:highlight w:val="yellow"/>
        </w:rPr>
      </w:pPr>
      <w:r w:rsidRPr="00711798">
        <w:rPr>
          <w:color w:val="FF0000"/>
          <w:highlight w:val="yellow"/>
        </w:rPr>
        <w:t>Whether a slot group is aligned with a slot boundary</w:t>
      </w:r>
    </w:p>
    <w:p w14:paraId="2815939A" w14:textId="3748ECBC" w:rsidR="00711798" w:rsidRPr="00711798" w:rsidRDefault="00711798" w:rsidP="00D3518E">
      <w:pPr>
        <w:pStyle w:val="ListParagraph"/>
        <w:numPr>
          <w:ilvl w:val="1"/>
          <w:numId w:val="16"/>
        </w:numPr>
        <w:rPr>
          <w:color w:val="FF0000"/>
          <w:highlight w:val="yellow"/>
        </w:rPr>
      </w:pPr>
      <w:r w:rsidRPr="00711798">
        <w:rPr>
          <w:color w:val="FF0000"/>
          <w:highlight w:val="yellow"/>
        </w:rPr>
        <w:t xml:space="preserve">Restrictions on location of the Y slots within a slot group, e.g. </w:t>
      </w:r>
      <w:r w:rsidRPr="00711798">
        <w:rPr>
          <w:color w:val="FF0000"/>
          <w:highlight w:val="yellow"/>
        </w:rPr>
        <w:t xml:space="preserve">whether to restrict </w:t>
      </w:r>
      <w:r w:rsidRPr="00711798">
        <w:rPr>
          <w:color w:val="FF0000"/>
          <w:highlight w:val="yellow"/>
        </w:rPr>
        <w:t xml:space="preserve">the the location of </w:t>
      </w:r>
      <w:r w:rsidRPr="00711798">
        <w:rPr>
          <w:color w:val="FF0000"/>
          <w:highlight w:val="yellow"/>
        </w:rPr>
        <w:t xml:space="preserve">a </w:t>
      </w:r>
      <w:r w:rsidRPr="00711798">
        <w:rPr>
          <w:color w:val="FF0000"/>
          <w:highlight w:val="yellow"/>
        </w:rPr>
        <w:t>SS</w:t>
      </w:r>
      <w:r w:rsidRPr="00711798">
        <w:rPr>
          <w:color w:val="FF0000"/>
          <w:highlight w:val="yellow"/>
        </w:rPr>
        <w:t xml:space="preserve"> to be within</w:t>
      </w:r>
      <w:r w:rsidRPr="00711798">
        <w:rPr>
          <w:color w:val="FF0000"/>
          <w:highlight w:val="yellow"/>
        </w:rPr>
        <w:t xml:space="preserve"> the first </w:t>
      </w:r>
      <w:r w:rsidRPr="00711798">
        <w:rPr>
          <w:color w:val="FF0000"/>
          <w:highlight w:val="yellow"/>
        </w:rPr>
        <w:t xml:space="preserve">Y </w:t>
      </w:r>
      <w:r w:rsidRPr="00711798">
        <w:rPr>
          <w:color w:val="FF0000"/>
          <w:highlight w:val="yellow"/>
        </w:rPr>
        <w:t>slot</w:t>
      </w:r>
      <w:r w:rsidRPr="00711798">
        <w:rPr>
          <w:color w:val="FF0000"/>
          <w:highlight w:val="yellow"/>
        </w:rPr>
        <w:t>s</w:t>
      </w:r>
      <w:r w:rsidRPr="00711798">
        <w:rPr>
          <w:color w:val="FF0000"/>
          <w:highlight w:val="yellow"/>
        </w:rPr>
        <w:t xml:space="preserve"> within a slot group</w:t>
      </w:r>
    </w:p>
    <w:p w14:paraId="77091D6B" w14:textId="77777777" w:rsidR="00767D74" w:rsidRDefault="00767D74" w:rsidP="00767D74">
      <w:pPr>
        <w:rPr>
          <w:b/>
          <w:bCs/>
        </w:rPr>
      </w:pPr>
    </w:p>
    <w:p w14:paraId="64A2545F" w14:textId="77777777" w:rsidR="00983A00" w:rsidRDefault="00067183">
      <w:pPr>
        <w:pStyle w:val="Heading3"/>
        <w:rPr>
          <w:lang w:val="en-GB" w:eastAsia="zh-CN"/>
        </w:rPr>
      </w:pPr>
      <w:r>
        <w:rPr>
          <w:lang w:val="en-GB" w:eastAsia="zh-CN"/>
        </w:rPr>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lastRenderedPageBreak/>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lastRenderedPageBreak/>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lastRenderedPageBreak/>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lastRenderedPageBreak/>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lastRenderedPageBreak/>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lastRenderedPageBreak/>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Supported by ZTE, Sanechips, Qualcomm, Nokia, NSB, InterDigital,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Supported by ZTE, Sanechips, Nokia, NSB, InterDigital,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lastRenderedPageBreak/>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lastRenderedPageBreak/>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w:t>
            </w:r>
            <w:r>
              <w:rPr>
                <w:rFonts w:eastAsia="MS Mincho"/>
                <w:lang w:eastAsia="ja-JP"/>
              </w:rPr>
              <w:lastRenderedPageBreak/>
              <w:t xml:space="preserve">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lastRenderedPageBreak/>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lastRenderedPageBreak/>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MS Mincho" w:hint="eastAsia"/>
                <w:lang w:eastAsia="ja-JP"/>
              </w:rPr>
              <w:t>N</w:t>
            </w:r>
            <w:r>
              <w:rPr>
                <w:rFonts w:eastAsia="MS Mincho"/>
                <w:lang w:eastAsia="ja-JP"/>
              </w:rPr>
              <w:t>TT DOCOMO</w:t>
            </w:r>
          </w:p>
        </w:tc>
        <w:tc>
          <w:tcPr>
            <w:tcW w:w="12176" w:type="dxa"/>
            <w:shd w:val="clear" w:color="auto" w:fill="auto"/>
          </w:tcPr>
          <w:p w14:paraId="64883D2B" w14:textId="73A7E270" w:rsidR="006070B9" w:rsidRDefault="006070B9" w:rsidP="006070B9">
            <w:pPr>
              <w:rPr>
                <w:rFonts w:eastAsia="MS Mincho"/>
                <w:lang w:eastAsia="ja-JP"/>
              </w:rPr>
            </w:pPr>
            <w:r>
              <w:rPr>
                <w:rFonts w:eastAsia="MS Mincho"/>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lastRenderedPageBreak/>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lastRenderedPageBreak/>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lastRenderedPageBreak/>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lastRenderedPageBreak/>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w:t>
            </w:r>
            <w:r>
              <w:rPr>
                <w:rFonts w:ascii="Times New Roman" w:hAnsi="Times New Roman"/>
                <w:lang w:eastAsia="zh-CN"/>
              </w:rPr>
              <w:lastRenderedPageBreak/>
              <w:t xml:space="preserve">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lastRenderedPageBreak/>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lastRenderedPageBreak/>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lastRenderedPageBreak/>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lastRenderedPageBreak/>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 xml:space="preserve">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w:t>
            </w:r>
            <w:r>
              <w:rPr>
                <w:rFonts w:eastAsia="MS Mincho"/>
                <w:lang w:eastAsia="ja-JP"/>
              </w:rPr>
              <w:lastRenderedPageBreak/>
              <w:t>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lastRenderedPageBreak/>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lastRenderedPageBreak/>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ja-JP"/>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lastRenderedPageBreak/>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lastRenderedPageBreak/>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lastRenderedPageBreak/>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lastRenderedPageBreak/>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lastRenderedPageBreak/>
              <w:t>InterDigital</w:t>
            </w:r>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lastRenderedPageBreak/>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lastRenderedPageBreak/>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lastRenderedPageBreak/>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Pr="00BB4C15" w:rsidRDefault="00067183">
      <w:pPr>
        <w:pStyle w:val="Heading4"/>
        <w:rPr>
          <w:sz w:val="22"/>
          <w:szCs w:val="22"/>
        </w:rPr>
      </w:pPr>
      <w:r w:rsidRPr="00BB4C15">
        <w:rPr>
          <w:sz w:val="22"/>
          <w:szCs w:val="22"/>
        </w:rPr>
        <w:lastRenderedPageBreak/>
        <w:t>Fourth round discussion</w:t>
      </w:r>
    </w:p>
    <w:p w14:paraId="1FA21EB8" w14:textId="77777777" w:rsidR="00983A00" w:rsidRPr="00BB4C15" w:rsidRDefault="00067183">
      <w:pPr>
        <w:rPr>
          <w:b/>
          <w:bCs/>
        </w:rPr>
      </w:pPr>
      <w:r w:rsidRPr="00BB4C15">
        <w:t>Proposal A1-5-A:</w:t>
      </w:r>
    </w:p>
    <w:p w14:paraId="298132C4" w14:textId="77777777" w:rsidR="00983A00" w:rsidRPr="00BB4C15" w:rsidRDefault="00067183">
      <w:pPr>
        <w:rPr>
          <w:lang w:val="en-GB" w:eastAsia="zh-CN"/>
        </w:rPr>
      </w:pPr>
      <w:r w:rsidRPr="00BB4C15">
        <w:rPr>
          <w:lang w:val="en-GB" w:eastAsia="zh-CN"/>
        </w:rPr>
        <w:t xml:space="preserve">For each SCS 480 kHz and 960 kHz, the minimum </w:t>
      </w:r>
      <w:r w:rsidRPr="00BB4C15">
        <w:rPr>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sidRPr="00BB4C15">
        <w:rPr>
          <w:b/>
          <w:bCs/>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lastRenderedPageBreak/>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lastRenderedPageBreak/>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r w:rsidR="007A7048" w14:paraId="3FB65394" w14:textId="77777777" w:rsidTr="005C30D5">
        <w:tc>
          <w:tcPr>
            <w:tcW w:w="2405" w:type="dxa"/>
          </w:tcPr>
          <w:p w14:paraId="2D64BC1D" w14:textId="59355658" w:rsidR="007A7048" w:rsidRDefault="007A7048" w:rsidP="007A7048">
            <w:pPr>
              <w:rPr>
                <w:szCs w:val="24"/>
                <w:lang w:eastAsia="zh-CN"/>
              </w:rPr>
            </w:pPr>
            <w:r>
              <w:rPr>
                <w:rFonts w:eastAsia="MS Mincho" w:hint="eastAsia"/>
                <w:szCs w:val="24"/>
                <w:lang w:eastAsia="ja-JP"/>
              </w:rPr>
              <w:t>Sharp</w:t>
            </w:r>
          </w:p>
        </w:tc>
        <w:tc>
          <w:tcPr>
            <w:tcW w:w="12176" w:type="dxa"/>
          </w:tcPr>
          <w:p w14:paraId="0C915D56" w14:textId="6E3E63E7" w:rsidR="007A7048" w:rsidRDefault="007A7048" w:rsidP="007A7048">
            <w:pPr>
              <w:rPr>
                <w:rFonts w:eastAsia="MS Mincho"/>
                <w:lang w:eastAsia="zh-CN"/>
              </w:rPr>
            </w:pPr>
            <w:r>
              <w:rPr>
                <w:rFonts w:eastAsia="MS Mincho" w:hint="eastAsia"/>
                <w:lang w:eastAsia="ja-JP"/>
              </w:rPr>
              <w:t>We are OK with the proposal and Qualcomm</w:t>
            </w:r>
            <w:r>
              <w:rPr>
                <w:rFonts w:eastAsia="MS Mincho"/>
                <w:lang w:eastAsia="ja-JP"/>
              </w:rPr>
              <w:t>’s update.</w:t>
            </w:r>
          </w:p>
        </w:tc>
      </w:tr>
    </w:tbl>
    <w:p w14:paraId="4E1C0C28" w14:textId="323529D5" w:rsidR="00983A00" w:rsidRDefault="00983A00">
      <w:pPr>
        <w:rPr>
          <w:lang w:eastAsia="zh-CN"/>
        </w:rPr>
      </w:pPr>
    </w:p>
    <w:p w14:paraId="5F62B17E" w14:textId="77777777" w:rsidR="00B411DB" w:rsidRPr="00516E58" w:rsidRDefault="00B411DB" w:rsidP="00B411DB">
      <w:pPr>
        <w:rPr>
          <w:b/>
          <w:bCs/>
          <w:highlight w:val="cyan"/>
        </w:rPr>
      </w:pPr>
      <w:r w:rsidRPr="00516E58">
        <w:rPr>
          <w:b/>
          <w:bCs/>
          <w:highlight w:val="cyan"/>
        </w:rPr>
        <w:t>FL Summary (4</w:t>
      </w:r>
      <w:r w:rsidRPr="00516E58">
        <w:rPr>
          <w:b/>
          <w:bCs/>
          <w:highlight w:val="cyan"/>
          <w:vertAlign w:val="superscript"/>
        </w:rPr>
        <w:t>th</w:t>
      </w:r>
      <w:r w:rsidRPr="00516E58">
        <w:rPr>
          <w:b/>
          <w:bCs/>
          <w:highlight w:val="cyan"/>
        </w:rPr>
        <w:t xml:space="preserve"> round)</w:t>
      </w:r>
    </w:p>
    <w:p w14:paraId="68400E61" w14:textId="7041D0C5" w:rsidR="00B411DB" w:rsidRDefault="00B411DB" w:rsidP="00B411DB">
      <w:pPr>
        <w:rPr>
          <w:b/>
          <w:bCs/>
        </w:rPr>
      </w:pPr>
      <w:r>
        <w:rPr>
          <w:b/>
          <w:bCs/>
        </w:rPr>
        <w:t xml:space="preserve">Most companies are fine with the proposal, with many companies expressing a preference for an updated wording provided by Qualcomm. There is a question whether the addressed minimum configurable periodicity is cell-specific or UE-specific. FL's view is that with Qualcomm's revision (and no further refinement during the WI) it would be search-space specific. </w:t>
      </w:r>
      <w:r w:rsidR="00D63B4F">
        <w:rPr>
          <w:b/>
          <w:bCs/>
        </w:rPr>
        <w:t xml:space="preserve">An additional suggestion is to spell out that further restrictions on multi-slot PDCCH monitoring periodicity is FFS, which has not been commented on by other companies. </w:t>
      </w:r>
      <w:r>
        <w:rPr>
          <w:b/>
          <w:bCs/>
        </w:rPr>
        <w:t>FL suggests to adopt the proposal with update suggested by Qualcomm</w:t>
      </w:r>
      <w:r w:rsidR="00D63B4F">
        <w:rPr>
          <w:b/>
          <w:bCs/>
        </w:rPr>
        <w:t xml:space="preserve"> with a potential FFS marked in square brackets if no companies have a concern with it</w:t>
      </w:r>
      <w:r>
        <w:rPr>
          <w:b/>
          <w:bCs/>
        </w:rPr>
        <w:t>.</w:t>
      </w:r>
    </w:p>
    <w:p w14:paraId="00900B32" w14:textId="20904BEA" w:rsidR="00B411DB" w:rsidRDefault="00B411DB" w:rsidP="00B411DB">
      <w:pPr>
        <w:rPr>
          <w:b/>
          <w:bCs/>
          <w:highlight w:val="yellow"/>
        </w:rPr>
      </w:pPr>
      <w:r>
        <w:rPr>
          <w:highlight w:val="yellow"/>
        </w:rPr>
        <w:t>Proposal A1-5-A1:</w:t>
      </w:r>
    </w:p>
    <w:p w14:paraId="3C929B75" w14:textId="20A4B1D1" w:rsidR="00B411DB" w:rsidRDefault="00B411DB">
      <w:pPr>
        <w:rPr>
          <w:lang w:eastAsia="zh-CN"/>
        </w:rPr>
      </w:pPr>
      <w:r>
        <w:rPr>
          <w:highlight w:val="yellow"/>
          <w:lang w:val="en-GB" w:eastAsia="zh-CN"/>
        </w:rPr>
        <w:t xml:space="preserve">For each SCS 480 kHz and 960 kHz, the minimum </w:t>
      </w:r>
      <w:r>
        <w:rPr>
          <w:highlight w:val="yellow"/>
          <w:lang w:eastAsia="zh-CN"/>
        </w:rPr>
        <w:t>configurable periodic</w:t>
      </w:r>
      <w:r w:rsidRPr="00B411DB">
        <w:rPr>
          <w:highlight w:val="yellow"/>
          <w:lang w:eastAsia="zh-CN"/>
        </w:rPr>
        <w:t>ity of the USS and Type3-PDCCH CSS is the</w:t>
      </w:r>
      <w:r>
        <w:rPr>
          <w:highlight w:val="yellow"/>
          <w:lang w:eastAsia="zh-CN"/>
        </w:rPr>
        <w:t xml:space="preserve"> smallest value X that a UE supports when reporti</w:t>
      </w:r>
      <w:r w:rsidRPr="00B411DB">
        <w:rPr>
          <w:highlight w:val="yellow"/>
          <w:lang w:eastAsia="zh-CN"/>
        </w:rPr>
        <w:t>ng its multi-slot PDCC</w:t>
      </w:r>
      <w:r>
        <w:rPr>
          <w:highlight w:val="yellow"/>
          <w:lang w:eastAsia="zh-CN"/>
        </w:rPr>
        <w:t>H monitoring capabilities for the corresponding SCS.</w:t>
      </w:r>
    </w:p>
    <w:p w14:paraId="69466C40" w14:textId="32CC0D15" w:rsidR="00D63B4F" w:rsidRPr="00D63B4F" w:rsidRDefault="00D63B4F">
      <w:pPr>
        <w:rPr>
          <w:lang w:val="en-GB" w:eastAsia="zh-CN"/>
        </w:rPr>
      </w:pPr>
      <w:r w:rsidRPr="00D63B4F">
        <w:rPr>
          <w:rFonts w:eastAsia="MS Mincho"/>
          <w:highlight w:val="yellow"/>
          <w:lang w:eastAsia="zh-CN"/>
        </w:rPr>
        <w:t>[FFS: further restrictions on multi-slot PDCCH monitoring periodicity (for example, periodicity in multiples of X)]</w:t>
      </w: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single-slot is the “default” capability before RRC connection, no new SS set#0 design is needed. We should discuss whether to support single-slot </w:t>
            </w:r>
            <w:r>
              <w:rPr>
                <w:lang w:eastAsia="zh-CN"/>
              </w:rPr>
              <w:lastRenderedPageBreak/>
              <w:t>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lastRenderedPageBreak/>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lastRenderedPageBreak/>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lastRenderedPageBreak/>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lastRenderedPageBreak/>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lastRenderedPageBreak/>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lastRenderedPageBreak/>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lastRenderedPageBreak/>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ja-JP"/>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fldSimple w:instr=" SEQ Figure \* ARABIC ">
              <w:r>
                <w:t>1</w:t>
              </w:r>
            </w:fldSimple>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ja-JP"/>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fldSimple w:instr=" SEQ Figure \* ARABIC ">
              <w:r>
                <w:t>2</w:t>
              </w:r>
            </w:fldSimple>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ja-JP"/>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fldSimple w:instr=" SEQ Figure \* ARABIC ">
              <w:r>
                <w:t>3</w:t>
              </w:r>
            </w:fldSimple>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ja-JP"/>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fldSimple w:instr=" SEQ Figure \* ARABIC ">
              <w:r>
                <w:t>4</w:t>
              </w:r>
            </w:fldSimple>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fldSimple w:instr=" SEQ Table \* ARABIC ">
              <w:r>
                <w:t>1</w:t>
              </w:r>
            </w:fldSimple>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fldSimple w:instr=" SEQ Table \* ARABIC ">
              <w:r>
                <w:t>2</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fldSimple w:instr=" SEQ Table \* ARABIC ">
              <w:r>
                <w:t>3</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fldSimple w:instr=" SEQ Table \* ARABIC ">
              <w:r>
                <w:t>4</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fldSimple w:instr=" SEQ Proposal \* ARABIC ">
              <w:r>
                <w:t>4</w:t>
              </w:r>
            </w:fldSimple>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fldSimple w:instr=" SEQ Proposal \* ARABIC ">
              <w:r>
                <w:t>5</w:t>
              </w:r>
            </w:fldSimple>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ja-JP"/>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ja-JP"/>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ja-JP"/>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pt;height:87pt;mso-width-percent:0;mso-height-percent:0;mso-width-percent:0;mso-height-percent:0" o:ole="">
                  <v:imagedata r:id="rId24" o:title=""/>
                </v:shape>
                <o:OLEObject Type="Embed" ProgID="Visio.Drawing.11" ShapeID="_x0000_i1025" DrawAspect="Content" ObjectID="_1691545980" r:id="rId25"/>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45981" r:id="rId27"/>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45982" r:id="rId29"/>
              </w:object>
            </w:r>
          </w:p>
          <w:p w14:paraId="6CE7ABE9" w14:textId="77777777" w:rsidR="00983A00" w:rsidRDefault="00067183">
            <w:pPr>
              <w:pStyle w:val="Caption"/>
              <w:rPr>
                <w:lang w:eastAsia="zh-CN"/>
              </w:rPr>
            </w:pPr>
            <w:bookmarkStart w:id="30" w:name="_Ref67870726"/>
            <w:r>
              <w:t xml:space="preserve">Figure </w:t>
            </w:r>
            <w:fldSimple w:instr=" SEQ Figure \* ARABIC ">
              <w:r>
                <w:t>3</w:t>
              </w:r>
            </w:fldSimple>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lastRenderedPageBreak/>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767D74">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767D74">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767D74">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767D74">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ja-JP"/>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ja-JP"/>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ja-JP"/>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pt;height:108pt;mso-width-percent:0;mso-height-percent:0;mso-width-percent:0;mso-height-percent:0" o:ole="">
                  <v:imagedata r:id="rId33" o:title=""/>
                </v:shape>
                <o:OLEObject Type="Embed" ProgID="Visio.Drawing.15" ShapeID="_x0000_i1028" DrawAspect="Content" ObjectID="_1691545983" r:id="rId34"/>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ja-JP"/>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fldSimple w:instr=" SEQ Figure \* ARABIC ">
              <w:r>
                <w:t>5</w:t>
              </w:r>
            </w:fldSimple>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ja-JP"/>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5pt;height:2in;mso-width-percent:0;mso-height-percent:0;mso-width-percent:0;mso-height-percent:0" o:ole="">
                  <v:imagedata r:id="rId37" o:title=""/>
                </v:shape>
                <o:OLEObject Type="Embed" ProgID="Visio.Drawing.15" ShapeID="_x0000_i1029" DrawAspect="Content" ObjectID="_1691545984" r:id="rId38"/>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ja-JP"/>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9pt;height:201pt;mso-width-percent:0;mso-height-percent:0;mso-width-percent:0;mso-height-percent:0" o:ole="">
                  <v:imagedata r:id="rId40" o:title=""/>
                </v:shape>
                <o:OLEObject Type="Embed" ProgID="Visio.Drawing.15" ShapeID="_x0000_i1030" DrawAspect="Content" ObjectID="_1691545985" r:id="rId41"/>
              </w:object>
            </w:r>
          </w:p>
          <w:p w14:paraId="3FED3397" w14:textId="77777777" w:rsidR="00983A00" w:rsidRDefault="00067183">
            <w:pPr>
              <w:pStyle w:val="Caption"/>
            </w:pPr>
            <w:bookmarkStart w:id="242" w:name="_Ref68206910"/>
            <w:r>
              <w:t xml:space="preserve">Figure </w:t>
            </w:r>
            <w:fldSimple w:instr=" SEQ Figure \* ARABIC ">
              <w:r>
                <w:t>1</w:t>
              </w:r>
            </w:fldSimple>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45986" r:id="rId43"/>
              </w:object>
            </w:r>
          </w:p>
          <w:p w14:paraId="47FEEF14" w14:textId="77777777" w:rsidR="00983A00" w:rsidRDefault="00067183">
            <w:pPr>
              <w:pStyle w:val="Caption"/>
            </w:pPr>
            <w:bookmarkStart w:id="264" w:name="_Ref68252811"/>
            <w:r>
              <w:t xml:space="preserve">Figure </w:t>
            </w:r>
            <w:fldSimple w:instr=" SEQ Figure \* ARABIC ">
              <w:r>
                <w:t>2</w:t>
              </w:r>
            </w:fldSimple>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5pt;mso-width-percent:0;mso-height-percent:0;mso-width-percent:0;mso-height-percent:0" o:ole="">
                  <v:imagedata r:id="rId44" o:title=""/>
                </v:shape>
                <o:OLEObject Type="Embed" ProgID="Visio.Drawing.15" ShapeID="_x0000_i1032" DrawAspect="Content" ObjectID="_1691545987"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ja-JP"/>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fldSimple w:instr=" SEQ Figure \* ARABIC ">
              <w:r>
                <w:t>1</w:t>
              </w:r>
            </w:fldSimple>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pt;height:367.5pt;mso-width-percent:0;mso-height-percent:0;mso-width-percent:0;mso-height-percent:0" o:ole="">
                  <v:imagedata r:id="rId47" o:title=""/>
                </v:shape>
                <o:OLEObject Type="Embed" ProgID="Visio.Drawing.15" ShapeID="_x0000_i1033" DrawAspect="Content" ObjectID="_1691545988" r:id="rId48"/>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CB9C6" w14:textId="77777777" w:rsidR="00FE5281" w:rsidRDefault="00FE5281" w:rsidP="00CA706C">
      <w:pPr>
        <w:spacing w:after="0" w:line="240" w:lineRule="auto"/>
      </w:pPr>
      <w:r>
        <w:separator/>
      </w:r>
    </w:p>
  </w:endnote>
  <w:endnote w:type="continuationSeparator" w:id="0">
    <w:p w14:paraId="55D63D0A" w14:textId="77777777" w:rsidR="00FE5281" w:rsidRDefault="00FE5281"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Light"/>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C01B7" w14:textId="77777777" w:rsidR="00FE5281" w:rsidRDefault="00FE5281" w:rsidP="00CA706C">
      <w:pPr>
        <w:spacing w:after="0" w:line="240" w:lineRule="auto"/>
      </w:pPr>
      <w:r>
        <w:separator/>
      </w:r>
    </w:p>
  </w:footnote>
  <w:footnote w:type="continuationSeparator" w:id="0">
    <w:p w14:paraId="16C5D404" w14:textId="77777777" w:rsidR="00FE5281" w:rsidRDefault="00FE5281"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685"/>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6E58"/>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798"/>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67D74"/>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048"/>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1ED1"/>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1DB"/>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15"/>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849"/>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3A4"/>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CF7D8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7C"/>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8E"/>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4F"/>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D36"/>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281"/>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21" Type="http://schemas.openxmlformats.org/officeDocument/2006/relationships/image" Target="media/image10.wmf"/><Relationship Id="rId34" Type="http://schemas.openxmlformats.org/officeDocument/2006/relationships/package" Target="embeddings/Microsoft_Visio_Drawing.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Microsoft_Visio_2003-2010_Drawing2.vsd"/><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vsdx"/><Relationship Id="rId48" Type="http://schemas.openxmlformats.org/officeDocument/2006/relationships/package" Target="embeddings/Microsoft_Visio_Drawing5.vsdx"/><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vsd"/><Relationship Id="rId33" Type="http://schemas.openxmlformats.org/officeDocument/2006/relationships/image" Target="media/image19.emf"/><Relationship Id="rId38" Type="http://schemas.openxmlformats.org/officeDocument/2006/relationships/package" Target="embeddings/Microsoft_Visio_Drawing1.vsdx"/><Relationship Id="rId46" Type="http://schemas.openxmlformats.org/officeDocument/2006/relationships/image" Target="media/image27.png"/><Relationship Id="rId20" Type="http://schemas.openxmlformats.org/officeDocument/2006/relationships/image" Target="media/image9.wmf"/><Relationship Id="rId4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976B69-E271-406D-8BBD-57BE321C247D}">
  <ds:schemaRefs>
    <ds:schemaRef ds:uri="http://schemas.openxmlformats.org/officeDocument/2006/bibliography"/>
  </ds:schemaRefs>
</ds:datastoreItem>
</file>

<file path=customXml/itemProps3.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143</Pages>
  <Words>44543</Words>
  <Characters>280628</Characters>
  <Application>Microsoft Office Word</Application>
  <DocSecurity>0</DocSecurity>
  <Lines>2338</Lines>
  <Paragraphs>649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324522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7</cp:revision>
  <cp:lastPrinted>2016-08-13T07:06:00Z</cp:lastPrinted>
  <dcterms:created xsi:type="dcterms:W3CDTF">2021-08-27T02:18:00Z</dcterms:created>
  <dcterms:modified xsi:type="dcterms:W3CDTF">2021-08-27T03:06:00Z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