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21066" w14:textId="08F011A5" w:rsidR="009545D0" w:rsidRPr="00CE0424" w:rsidRDefault="009545D0" w:rsidP="009545D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BE4FD7">
        <w:t>6</w:t>
      </w:r>
      <w:r>
        <w:t>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</w:t>
      </w:r>
      <w:r w:rsidR="0043421B">
        <w:rPr>
          <w:sz w:val="32"/>
          <w:szCs w:val="32"/>
        </w:rPr>
        <w:t>1</w:t>
      </w:r>
      <w:r w:rsidR="000966BD" w:rsidRPr="000966BD">
        <w:rPr>
          <w:sz w:val="32"/>
          <w:szCs w:val="32"/>
        </w:rPr>
        <w:t>07660</w:t>
      </w:r>
    </w:p>
    <w:p w14:paraId="2ABBF18C" w14:textId="62388704" w:rsidR="009545D0" w:rsidRPr="00CE0424" w:rsidRDefault="009545D0" w:rsidP="009545D0">
      <w:pPr>
        <w:pStyle w:val="3GPPHeader"/>
      </w:pPr>
      <w:r>
        <w:t xml:space="preserve">e-Meeting, </w:t>
      </w:r>
      <w:r w:rsidR="00BE4FD7">
        <w:t>August</w:t>
      </w:r>
      <w:r>
        <w:t xml:space="preserve"> </w:t>
      </w:r>
      <w:r w:rsidR="00190741">
        <w:t>1</w:t>
      </w:r>
      <w:r w:rsidR="00BE4FD7">
        <w:t>6</w:t>
      </w:r>
      <w:r w:rsidRPr="0083546B">
        <w:rPr>
          <w:vertAlign w:val="superscript"/>
        </w:rPr>
        <w:t>th</w:t>
      </w:r>
      <w:r>
        <w:t xml:space="preserve"> – </w:t>
      </w:r>
      <w:r w:rsidR="00190741">
        <w:t>2</w:t>
      </w:r>
      <w:r w:rsidR="00E11B75">
        <w:t>7</w:t>
      </w:r>
      <w:r w:rsidRPr="0083546B">
        <w:rPr>
          <w:vertAlign w:val="superscript"/>
        </w:rPr>
        <w:t>th</w:t>
      </w:r>
      <w:r>
        <w:t>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6095CFB" w:rsidR="00E90E49" w:rsidRPr="006C5FB9" w:rsidRDefault="00E90E49" w:rsidP="00311702">
      <w:pPr>
        <w:pStyle w:val="3GPPHeader"/>
        <w:rPr>
          <w:sz w:val="22"/>
        </w:rPr>
      </w:pPr>
      <w:r w:rsidRPr="006C5FB9">
        <w:rPr>
          <w:sz w:val="22"/>
        </w:rPr>
        <w:t>Agenda Item:</w:t>
      </w:r>
      <w:r w:rsidRPr="006C5FB9">
        <w:rPr>
          <w:sz w:val="22"/>
        </w:rPr>
        <w:tab/>
      </w:r>
      <w:r w:rsidR="00DF7C30" w:rsidRPr="006C5FB9">
        <w:rPr>
          <w:sz w:val="22"/>
        </w:rPr>
        <w:t>8.15.</w:t>
      </w:r>
      <w:r w:rsidR="00BE4FD7">
        <w:rPr>
          <w:sz w:val="22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C2462BD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C65C39">
        <w:rPr>
          <w:sz w:val="22"/>
        </w:rPr>
        <w:t>On timing relationship enhancements for</w:t>
      </w:r>
      <w:r w:rsidR="00A34770" w:rsidRPr="00A34770">
        <w:rPr>
          <w:sz w:val="22"/>
        </w:rPr>
        <w:t xml:space="preserve"> IoT NTN</w:t>
      </w:r>
    </w:p>
    <w:p w14:paraId="2D5672ED" w14:textId="0AA10302" w:rsidR="00E90E49" w:rsidRPr="0002011D" w:rsidRDefault="00E90E49" w:rsidP="0002011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F7C30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F85BBF4" w14:textId="6AE4F8B5" w:rsidR="00A15181" w:rsidRDefault="00A15181" w:rsidP="00A15181">
      <w:pPr>
        <w:pStyle w:val="BodyText"/>
        <w:rPr>
          <w:sz w:val="22"/>
        </w:rPr>
      </w:pPr>
      <w:r w:rsidRPr="007D56FD">
        <w:rPr>
          <w:sz w:val="22"/>
        </w:rPr>
        <w:t>In RAN#</w:t>
      </w:r>
      <w:r>
        <w:rPr>
          <w:sz w:val="22"/>
        </w:rPr>
        <w:t>92-e</w:t>
      </w:r>
      <w:r w:rsidRPr="007D56FD">
        <w:rPr>
          <w:sz w:val="22"/>
        </w:rPr>
        <w:t xml:space="preserve">, a Rel-17 </w:t>
      </w:r>
      <w:r>
        <w:rPr>
          <w:sz w:val="22"/>
        </w:rPr>
        <w:t>Work</w:t>
      </w:r>
      <w:r w:rsidRPr="007D56FD">
        <w:rPr>
          <w:sz w:val="22"/>
        </w:rPr>
        <w:t xml:space="preserve"> Item (</w:t>
      </w:r>
      <w:r>
        <w:rPr>
          <w:sz w:val="22"/>
        </w:rPr>
        <w:t>W</w:t>
      </w:r>
      <w:r w:rsidRPr="007D56FD">
        <w:rPr>
          <w:sz w:val="22"/>
        </w:rPr>
        <w:t>I) on IoT NTN was approved to</w:t>
      </w:r>
      <w:r>
        <w:rPr>
          <w:sz w:val="22"/>
        </w:rPr>
        <w:t xml:space="preserve"> </w:t>
      </w:r>
      <w:r w:rsidRPr="006A7BBA">
        <w:rPr>
          <w:sz w:val="22"/>
        </w:rPr>
        <w:t>specify support of NB-IoT and eMTC over NTN</w:t>
      </w:r>
      <w:r w:rsidRPr="007D56FD">
        <w:rPr>
          <w:sz w:val="22"/>
        </w:rPr>
        <w:t xml:space="preserve"> </w:t>
      </w:r>
      <w:r>
        <w:rPr>
          <w:sz w:val="22"/>
        </w:rPr>
        <w:fldChar w:fldCharType="begin"/>
      </w:r>
      <w:r>
        <w:rPr>
          <w:sz w:val="22"/>
        </w:rPr>
        <w:instrText xml:space="preserve"> REF _Ref49798330 \r \h </w:instrText>
      </w:r>
      <w:r>
        <w:rPr>
          <w:sz w:val="22"/>
        </w:rPr>
      </w:r>
      <w:r>
        <w:rPr>
          <w:sz w:val="22"/>
        </w:rPr>
        <w:fldChar w:fldCharType="separate"/>
      </w:r>
      <w:r w:rsidR="002F2FE7">
        <w:rPr>
          <w:sz w:val="22"/>
        </w:rPr>
        <w:t>[1]</w:t>
      </w:r>
      <w:r>
        <w:rPr>
          <w:sz w:val="22"/>
        </w:rPr>
        <w:fldChar w:fldCharType="end"/>
      </w:r>
      <w:r w:rsidRPr="007D56FD">
        <w:rPr>
          <w:sz w:val="22"/>
        </w:rPr>
        <w:t>.</w:t>
      </w:r>
      <w:r>
        <w:rPr>
          <w:sz w:val="22"/>
        </w:rPr>
        <w:t xml:space="preserve"> The overall objective is as follows.</w:t>
      </w:r>
    </w:p>
    <w:p w14:paraId="08884793" w14:textId="77777777" w:rsidR="00A15181" w:rsidRPr="00E731A9" w:rsidRDefault="00A15181" w:rsidP="00A15181">
      <w:pPr>
        <w:pStyle w:val="BodyText"/>
        <w:rPr>
          <w:rFonts w:cs="Arial"/>
          <w:i/>
          <w:iCs/>
          <w:sz w:val="22"/>
        </w:rPr>
      </w:pPr>
      <w:r w:rsidRPr="00E731A9">
        <w:rPr>
          <w:noProof/>
          <w:sz w:val="22"/>
        </w:rPr>
        <mc:AlternateContent>
          <mc:Choice Requires="wps">
            <w:drawing>
              <wp:inline distT="0" distB="0" distL="0" distR="0" wp14:anchorId="68FAC194" wp14:editId="3DCB92EA">
                <wp:extent cx="6120765" cy="2192215"/>
                <wp:effectExtent l="0" t="0" r="13335" b="1778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1922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4EE2E" w14:textId="77777777" w:rsidR="00A15181" w:rsidRPr="006E780D" w:rsidRDefault="00A15181" w:rsidP="00A15181">
                            <w:pPr>
                              <w:rPr>
                                <w:rFonts w:ascii="Times New Roman" w:eastAsiaTheme="minorEastAsia" w:hAnsi="Times New Roman" w:cs="Times New Roman"/>
                                <w:lang w:eastAsia="zh-CN"/>
                              </w:rPr>
                            </w:pPr>
                            <w:r w:rsidRPr="006E780D">
                              <w:rPr>
                                <w:rFonts w:ascii="Times New Roman" w:hAnsi="Times New Roman" w:cs="Times New Roman"/>
                              </w:rPr>
                              <w:t>The objective of this Work Item is to specify support of NB-IoT and eMTC over NTN. Work on both NB-IoT and eMTC will start in August 2021 meetings.</w:t>
                            </w:r>
                          </w:p>
                          <w:p w14:paraId="666217A0" w14:textId="77777777" w:rsidR="00A15181" w:rsidRPr="006E780D" w:rsidRDefault="00A15181" w:rsidP="00A1518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E780D">
                              <w:rPr>
                                <w:rFonts w:ascii="Times New Roman" w:hAnsi="Times New Roman" w:cs="Times New Roman"/>
                              </w:rPr>
                              <w:t>Enhancements shall be specified as described hereafter with the following assumptions:</w:t>
                            </w:r>
                          </w:p>
                          <w:p w14:paraId="5C3148D0" w14:textId="77777777" w:rsidR="00A15181" w:rsidRPr="006E780D" w:rsidRDefault="00A15181" w:rsidP="00A15181">
                            <w:pPr>
                              <w:pStyle w:val="NO"/>
                              <w:numPr>
                                <w:ilvl w:val="0"/>
                                <w:numId w:val="31"/>
                              </w:numPr>
                              <w:spacing w:line="25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E780D">
                              <w:rPr>
                                <w:rFonts w:ascii="Times New Roman" w:hAnsi="Times New Roman" w:cs="Times New Roman"/>
                              </w:rPr>
                              <w:t xml:space="preserve">Standalone deployment for NB-IoT / eMTC (i.e. operating in carrier(s) used only for NB-IoT NTN (resp. eMTC NTN)) for support in Rel-17 timeframe will be prioritized. </w:t>
                            </w:r>
                          </w:p>
                          <w:p w14:paraId="69C33EC8" w14:textId="77777777" w:rsidR="00A15181" w:rsidRPr="006E780D" w:rsidRDefault="00A15181" w:rsidP="00A15181">
                            <w:pPr>
                              <w:pStyle w:val="NO"/>
                              <w:numPr>
                                <w:ilvl w:val="0"/>
                                <w:numId w:val="31"/>
                              </w:numPr>
                              <w:spacing w:line="25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E780D">
                              <w:rPr>
                                <w:rFonts w:ascii="Times New Roman" w:hAnsi="Times New Roman" w:cs="Times New Roman"/>
                              </w:rPr>
                              <w:t>GNSS capability in the UE is taken as a working assumption for both NB-IoT and eMTC devices. With this assumption, UE can estimate and pre-compensate timing and frequency offset with sufficient accuracy for UL transmission. Simultaneous GNSS and NTN NB-IoT/eMTC operation is not assumed.</w:t>
                            </w:r>
                          </w:p>
                          <w:p w14:paraId="024C7C17" w14:textId="77777777" w:rsidR="00A15181" w:rsidRPr="006E780D" w:rsidRDefault="00A15181" w:rsidP="00A15181">
                            <w:pPr>
                              <w:pStyle w:val="NO"/>
                              <w:numPr>
                                <w:ilvl w:val="0"/>
                                <w:numId w:val="31"/>
                              </w:numPr>
                              <w:spacing w:line="25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E780D">
                              <w:rPr>
                                <w:rFonts w:ascii="Times New Roman" w:hAnsi="Times New Roman" w:cs="Times New Roman"/>
                              </w:rPr>
                              <w:t>NB-IoT/eMTC design for terrestrial networks shall be reused as much as possible.</w:t>
                            </w:r>
                          </w:p>
                          <w:p w14:paraId="4B413461" w14:textId="77777777" w:rsidR="00A15181" w:rsidRPr="006E780D" w:rsidRDefault="00A15181" w:rsidP="00A15181">
                            <w:pPr>
                              <w:pStyle w:val="NO"/>
                              <w:numPr>
                                <w:ilvl w:val="0"/>
                                <w:numId w:val="31"/>
                              </w:numPr>
                              <w:spacing w:line="25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E780D">
                              <w:rPr>
                                <w:rFonts w:ascii="Times New Roman" w:hAnsi="Times New Roman" w:cs="Times New Roman"/>
                              </w:rPr>
                              <w:t>Transparent payload</w:t>
                            </w:r>
                          </w:p>
                          <w:p w14:paraId="1F8345A9" w14:textId="77777777" w:rsidR="00A15181" w:rsidRPr="006E780D" w:rsidRDefault="00A15181" w:rsidP="00A1518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FAC1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1.95pt;height:17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" fillcolor="white [3201]" strokeweight=".5pt">
                <v:textbox>
                  <w:txbxContent>
                    <w:p w14:paraId="03F4EE2E" w14:textId="77777777" w:rsidR="00A15181" w:rsidRPr="006E780D" w:rsidRDefault="00A15181" w:rsidP="00A15181">
                      <w:pPr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</w:pPr>
                      <w:r w:rsidRPr="006E780D">
                        <w:rPr>
                          <w:rFonts w:ascii="Times New Roman" w:hAnsi="Times New Roman" w:cs="Times New Roman"/>
                        </w:rPr>
                        <w:t>The objective of this Work Item is to specify support of NB-IoT and eMTC over NTN. Work on both NB-IoT and eMTC will start in August 2021 meetings.</w:t>
                      </w:r>
                    </w:p>
                    <w:p w14:paraId="666217A0" w14:textId="77777777" w:rsidR="00A15181" w:rsidRPr="006E780D" w:rsidRDefault="00A15181" w:rsidP="00A1518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E780D">
                        <w:rPr>
                          <w:rFonts w:ascii="Times New Roman" w:hAnsi="Times New Roman" w:cs="Times New Roman"/>
                        </w:rPr>
                        <w:t>Enhancements shall be specified as described hereafter with the following assumptions:</w:t>
                      </w:r>
                    </w:p>
                    <w:p w14:paraId="5C3148D0" w14:textId="77777777" w:rsidR="00A15181" w:rsidRPr="006E780D" w:rsidRDefault="00A15181" w:rsidP="00A15181">
                      <w:pPr>
                        <w:pStyle w:val="NO"/>
                        <w:numPr>
                          <w:ilvl w:val="0"/>
                          <w:numId w:val="31"/>
                        </w:numPr>
                        <w:spacing w:line="256" w:lineRule="auto"/>
                        <w:rPr>
                          <w:rFonts w:ascii="Times New Roman" w:hAnsi="Times New Roman" w:cs="Times New Roman"/>
                        </w:rPr>
                      </w:pPr>
                      <w:r w:rsidRPr="006E780D">
                        <w:rPr>
                          <w:rFonts w:ascii="Times New Roman" w:hAnsi="Times New Roman" w:cs="Times New Roman"/>
                        </w:rPr>
                        <w:t xml:space="preserve">Standalone deployment for NB-IoT / eMTC (i.e. operating in carrier(s) used only for NB-IoT NTN (resp. eMTC NTN)) for support in Rel-17 timeframe will be prioritized. </w:t>
                      </w:r>
                    </w:p>
                    <w:p w14:paraId="69C33EC8" w14:textId="77777777" w:rsidR="00A15181" w:rsidRPr="006E780D" w:rsidRDefault="00A15181" w:rsidP="00A15181">
                      <w:pPr>
                        <w:pStyle w:val="NO"/>
                        <w:numPr>
                          <w:ilvl w:val="0"/>
                          <w:numId w:val="31"/>
                        </w:numPr>
                        <w:spacing w:line="256" w:lineRule="auto"/>
                        <w:rPr>
                          <w:rFonts w:ascii="Times New Roman" w:hAnsi="Times New Roman" w:cs="Times New Roman"/>
                        </w:rPr>
                      </w:pPr>
                      <w:r w:rsidRPr="006E780D">
                        <w:rPr>
                          <w:rFonts w:ascii="Times New Roman" w:hAnsi="Times New Roman" w:cs="Times New Roman"/>
                        </w:rPr>
                        <w:t>GNSS capability in the UE is taken as a working assumption for both NB-IoT and eMTC devices. With this assumption, UE can estimate and pre-compensate timing and frequency offset with sufficient accuracy for UL transmission. Simultaneous GNSS and NTN NB-IoT/eMTC operation is not assumed.</w:t>
                      </w:r>
                    </w:p>
                    <w:p w14:paraId="024C7C17" w14:textId="77777777" w:rsidR="00A15181" w:rsidRPr="006E780D" w:rsidRDefault="00A15181" w:rsidP="00A15181">
                      <w:pPr>
                        <w:pStyle w:val="NO"/>
                        <w:numPr>
                          <w:ilvl w:val="0"/>
                          <w:numId w:val="31"/>
                        </w:numPr>
                        <w:spacing w:line="256" w:lineRule="auto"/>
                        <w:rPr>
                          <w:rFonts w:ascii="Times New Roman" w:hAnsi="Times New Roman" w:cs="Times New Roman"/>
                        </w:rPr>
                      </w:pPr>
                      <w:r w:rsidRPr="006E780D">
                        <w:rPr>
                          <w:rFonts w:ascii="Times New Roman" w:hAnsi="Times New Roman" w:cs="Times New Roman"/>
                        </w:rPr>
                        <w:t>NB-IoT/eMTC design for terrestrial networks shall be reused as much as possible.</w:t>
                      </w:r>
                    </w:p>
                    <w:p w14:paraId="4B413461" w14:textId="77777777" w:rsidR="00A15181" w:rsidRPr="006E780D" w:rsidRDefault="00A15181" w:rsidP="00A15181">
                      <w:pPr>
                        <w:pStyle w:val="NO"/>
                        <w:numPr>
                          <w:ilvl w:val="0"/>
                          <w:numId w:val="31"/>
                        </w:numPr>
                        <w:spacing w:line="256" w:lineRule="auto"/>
                        <w:rPr>
                          <w:rFonts w:ascii="Times New Roman" w:hAnsi="Times New Roman" w:cs="Times New Roman"/>
                        </w:rPr>
                      </w:pPr>
                      <w:r w:rsidRPr="006E780D">
                        <w:rPr>
                          <w:rFonts w:ascii="Times New Roman" w:hAnsi="Times New Roman" w:cs="Times New Roman"/>
                        </w:rPr>
                        <w:t>Transparent payload</w:t>
                      </w:r>
                    </w:p>
                    <w:p w14:paraId="1F8345A9" w14:textId="77777777" w:rsidR="00A15181" w:rsidRPr="006E780D" w:rsidRDefault="00A15181" w:rsidP="00A15181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F2E9443" w14:textId="532DDC6F" w:rsidR="00A15181" w:rsidRPr="00732609" w:rsidRDefault="008E5E6D" w:rsidP="00A15181">
      <w:pPr>
        <w:pStyle w:val="BodyText"/>
        <w:rPr>
          <w:sz w:val="22"/>
          <w:lang w:val="en-GB"/>
        </w:rPr>
      </w:pPr>
      <w:r w:rsidRPr="00FF6194">
        <w:rPr>
          <w:rFonts w:cs="Arial"/>
          <w:sz w:val="22"/>
        </w:rPr>
        <w:t>An overview of 3GPP non-terrestrial networks can be found in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fldChar w:fldCharType="begin"/>
      </w:r>
      <w:r>
        <w:rPr>
          <w:rFonts w:cs="Arial"/>
          <w:sz w:val="22"/>
        </w:rPr>
        <w:instrText xml:space="preserve"> REF _Ref78960395 \r \h </w:instrText>
      </w:r>
      <w:r>
        <w:rPr>
          <w:rFonts w:cs="Arial"/>
          <w:sz w:val="22"/>
        </w:rPr>
      </w:r>
      <w:r>
        <w:rPr>
          <w:rFonts w:cs="Arial"/>
          <w:sz w:val="22"/>
        </w:rPr>
        <w:fldChar w:fldCharType="separate"/>
      </w:r>
      <w:r w:rsidR="002F2FE7">
        <w:rPr>
          <w:rFonts w:cs="Arial"/>
          <w:sz w:val="22"/>
        </w:rPr>
        <w:t>[2]</w:t>
      </w:r>
      <w:r>
        <w:rPr>
          <w:rFonts w:cs="Arial"/>
          <w:sz w:val="22"/>
        </w:rPr>
        <w:fldChar w:fldCharType="end"/>
      </w:r>
      <w:r>
        <w:rPr>
          <w:rFonts w:cs="Arial"/>
          <w:sz w:val="22"/>
        </w:rPr>
        <w:t>.</w:t>
      </w:r>
      <w:r w:rsidR="00732609">
        <w:rPr>
          <w:sz w:val="22"/>
          <w:lang w:val="en-GB"/>
        </w:rPr>
        <w:t xml:space="preserve"> </w:t>
      </w:r>
      <w:r w:rsidR="007A1826" w:rsidRPr="00E731A9">
        <w:rPr>
          <w:sz w:val="22"/>
          <w:lang w:val="en-GB"/>
        </w:rPr>
        <w:t>eMTC and NB-IoT are complementary technologies that can address different types of IoT</w:t>
      </w:r>
      <w:r w:rsidR="007A1826">
        <w:rPr>
          <w:sz w:val="22"/>
          <w:lang w:val="en-GB"/>
        </w:rPr>
        <w:t xml:space="preserve"> NTN</w:t>
      </w:r>
      <w:r w:rsidR="007A1826" w:rsidRPr="00E731A9">
        <w:rPr>
          <w:sz w:val="22"/>
          <w:lang w:val="en-GB"/>
        </w:rPr>
        <w:t xml:space="preserve"> use cases based on their unique capabilities</w:t>
      </w:r>
      <w:r w:rsidR="003A3F47">
        <w:rPr>
          <w:sz w:val="22"/>
          <w:lang w:val="en-GB"/>
        </w:rPr>
        <w:t xml:space="preserve"> </w:t>
      </w:r>
      <w:r w:rsidR="003A3F47">
        <w:rPr>
          <w:sz w:val="22"/>
          <w:lang w:val="en-GB"/>
        </w:rPr>
        <w:fldChar w:fldCharType="begin"/>
      </w:r>
      <w:r w:rsidR="003A3F47">
        <w:rPr>
          <w:sz w:val="22"/>
          <w:lang w:val="en-GB"/>
        </w:rPr>
        <w:instrText xml:space="preserve"> REF _Ref75967634 \r \h </w:instrText>
      </w:r>
      <w:r w:rsidR="003A3F47">
        <w:rPr>
          <w:sz w:val="22"/>
          <w:lang w:val="en-GB"/>
        </w:rPr>
      </w:r>
      <w:r w:rsidR="003A3F47">
        <w:rPr>
          <w:sz w:val="22"/>
          <w:lang w:val="en-GB"/>
        </w:rPr>
        <w:fldChar w:fldCharType="separate"/>
      </w:r>
      <w:r w:rsidR="002F2FE7">
        <w:rPr>
          <w:sz w:val="22"/>
          <w:lang w:val="en-GB"/>
        </w:rPr>
        <w:t>[3]</w:t>
      </w:r>
      <w:r w:rsidR="003A3F47">
        <w:rPr>
          <w:sz w:val="22"/>
          <w:lang w:val="en-GB"/>
        </w:rPr>
        <w:fldChar w:fldCharType="end"/>
      </w:r>
      <w:r w:rsidR="003A3F47">
        <w:rPr>
          <w:sz w:val="22"/>
          <w:lang w:val="en-GB"/>
        </w:rPr>
        <w:fldChar w:fldCharType="begin"/>
      </w:r>
      <w:r w:rsidR="003A3F47">
        <w:rPr>
          <w:sz w:val="22"/>
          <w:lang w:val="en-GB"/>
        </w:rPr>
        <w:instrText xml:space="preserve"> REF _Ref75967636 \r \h </w:instrText>
      </w:r>
      <w:r w:rsidR="003A3F47">
        <w:rPr>
          <w:sz w:val="22"/>
          <w:lang w:val="en-GB"/>
        </w:rPr>
      </w:r>
      <w:r w:rsidR="003A3F47">
        <w:rPr>
          <w:sz w:val="22"/>
          <w:lang w:val="en-GB"/>
        </w:rPr>
        <w:fldChar w:fldCharType="separate"/>
      </w:r>
      <w:r w:rsidR="002F2FE7">
        <w:rPr>
          <w:sz w:val="22"/>
          <w:lang w:val="en-GB"/>
        </w:rPr>
        <w:t>[4]</w:t>
      </w:r>
      <w:r w:rsidR="003A3F47">
        <w:rPr>
          <w:sz w:val="22"/>
          <w:lang w:val="en-GB"/>
        </w:rPr>
        <w:fldChar w:fldCharType="end"/>
      </w:r>
      <w:r w:rsidR="007A1826" w:rsidRPr="00E731A9">
        <w:rPr>
          <w:sz w:val="22"/>
          <w:lang w:val="en-GB"/>
        </w:rPr>
        <w:t>.</w:t>
      </w:r>
      <w:r w:rsidR="007A1826">
        <w:rPr>
          <w:rFonts w:cs="Arial"/>
          <w:sz w:val="22"/>
        </w:rPr>
        <w:t xml:space="preserve"> </w:t>
      </w:r>
      <w:r w:rsidR="00A15181" w:rsidRPr="00E731A9">
        <w:rPr>
          <w:rFonts w:cs="Arial"/>
          <w:sz w:val="22"/>
        </w:rPr>
        <w:t xml:space="preserve">In this contribution, we </w:t>
      </w:r>
      <w:r w:rsidR="00A15181">
        <w:rPr>
          <w:rFonts w:cs="Arial"/>
          <w:sz w:val="22"/>
        </w:rPr>
        <w:t>discuss timing relationship enhancements</w:t>
      </w:r>
      <w:r w:rsidR="00A15181">
        <w:rPr>
          <w:sz w:val="22"/>
        </w:rPr>
        <w:t xml:space="preserve"> for IoT NTN which have the following objectives</w:t>
      </w:r>
      <w:r w:rsidR="00A15181" w:rsidRPr="00E731A9">
        <w:rPr>
          <w:sz w:val="22"/>
        </w:rPr>
        <w:t>.</w:t>
      </w:r>
    </w:p>
    <w:p w14:paraId="48BFDFAE" w14:textId="17AFAE8D" w:rsidR="00A15181" w:rsidRPr="00670AF0" w:rsidRDefault="00A15181" w:rsidP="00BE28A0">
      <w:pPr>
        <w:pStyle w:val="BodyText"/>
        <w:rPr>
          <w:rFonts w:cs="Arial"/>
          <w:sz w:val="22"/>
        </w:rPr>
      </w:pPr>
      <w:r w:rsidRPr="00E731A9">
        <w:rPr>
          <w:noProof/>
          <w:sz w:val="22"/>
        </w:rPr>
        <mc:AlternateContent>
          <mc:Choice Requires="wps">
            <w:drawing>
              <wp:inline distT="0" distB="0" distL="0" distR="0" wp14:anchorId="49C80EAB" wp14:editId="6E6173D4">
                <wp:extent cx="6120765" cy="1143000"/>
                <wp:effectExtent l="0" t="0" r="13335" b="1905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143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F9A3C" w14:textId="45FCE783" w:rsidR="00A15181" w:rsidRPr="00A15181" w:rsidRDefault="00A15181" w:rsidP="00A1518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5181">
                              <w:rPr>
                                <w:rFonts w:ascii="Times New Roman" w:hAnsi="Times New Roman" w:cs="Times New Roman"/>
                              </w:rPr>
                              <w:t>Specify the following IoT NTN specific timing relationships enhancements according to Section 8 in TR 36.763:</w:t>
                            </w:r>
                          </w:p>
                          <w:p w14:paraId="28ACB375" w14:textId="77777777" w:rsidR="00A15181" w:rsidRPr="00A15181" w:rsidRDefault="00A15181" w:rsidP="00A15181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A15181">
                              <w:rPr>
                                <w:rFonts w:cs="Times New Roman"/>
                              </w:rPr>
                              <w:t>-</w:t>
                            </w:r>
                            <w:r w:rsidRPr="00A15181">
                              <w:rPr>
                                <w:rFonts w:cs="Times New Roman"/>
                              </w:rPr>
                              <w:tab/>
                              <w:t xml:space="preserve">Timing relationships for NB-IoT / eMTC: as listed in Section 6.6.3 in TR 36.763 </w:t>
                            </w:r>
                          </w:p>
                          <w:p w14:paraId="046D6A2C" w14:textId="77777777" w:rsidR="00A15181" w:rsidRPr="00A15181" w:rsidRDefault="00A15181" w:rsidP="00A15181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A15181">
                              <w:rPr>
                                <w:rFonts w:cs="Times New Roman"/>
                              </w:rPr>
                              <w:t>-</w:t>
                            </w:r>
                            <w:r w:rsidRPr="00A15181">
                              <w:rPr>
                                <w:rFonts w:cs="Times New Roman"/>
                              </w:rPr>
                              <w:tab/>
                              <w:t>UL scheduling for FDD-HD: Use of UE-specific TA and/or K_offset to avoid UL-DL collisions in FDD-HD</w:t>
                            </w:r>
                          </w:p>
                          <w:p w14:paraId="748EDC38" w14:textId="77777777" w:rsidR="00A15181" w:rsidRPr="00A15181" w:rsidRDefault="00A15181" w:rsidP="00A15181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A15181">
                              <w:rPr>
                                <w:rFonts w:cs="Times New Roman"/>
                              </w:rPr>
                              <w:t>-</w:t>
                            </w:r>
                            <w:r w:rsidRPr="00A15181">
                              <w:rPr>
                                <w:rFonts w:cs="Times New Roman"/>
                              </w:rPr>
                              <w:tab/>
                              <w:t>Signalling aspects in UE-specific TA maintenance and reporting, techniques to reduce the signalling load and determination of the UE-specific TA.</w:t>
                            </w:r>
                          </w:p>
                          <w:p w14:paraId="3C154974" w14:textId="77777777" w:rsidR="00A15181" w:rsidRPr="00A15181" w:rsidRDefault="00A15181" w:rsidP="00A1518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C80EAB" id="Text Box 7" o:spid="_x0000_s1027" type="#_x0000_t202" style="width:481.95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" fillcolor="white [3201]" strokeweight=".5pt">
                <v:textbox>
                  <w:txbxContent>
                    <w:p w14:paraId="025F9A3C" w14:textId="45FCE783" w:rsidR="00A15181" w:rsidRPr="00A15181" w:rsidRDefault="00A15181" w:rsidP="00A1518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5181">
                        <w:rPr>
                          <w:rFonts w:ascii="Times New Roman" w:hAnsi="Times New Roman" w:cs="Times New Roman"/>
                        </w:rPr>
                        <w:t>Specify the following IoT NTN specific timing relationships enhancements according to Section 8 in TR 36.763:</w:t>
                      </w:r>
                    </w:p>
                    <w:p w14:paraId="28ACB375" w14:textId="77777777" w:rsidR="00A15181" w:rsidRPr="00A15181" w:rsidRDefault="00A15181" w:rsidP="00A15181">
                      <w:pPr>
                        <w:pStyle w:val="B1"/>
                        <w:rPr>
                          <w:rFonts w:cs="Times New Roman"/>
                        </w:rPr>
                      </w:pPr>
                      <w:r w:rsidRPr="00A15181">
                        <w:rPr>
                          <w:rFonts w:cs="Times New Roman"/>
                        </w:rPr>
                        <w:t>-</w:t>
                      </w:r>
                      <w:r w:rsidRPr="00A15181">
                        <w:rPr>
                          <w:rFonts w:cs="Times New Roman"/>
                        </w:rPr>
                        <w:tab/>
                        <w:t xml:space="preserve">Timing relationships for NB-IoT / eMTC: as listed in Section 6.6.3 in TR 36.763 </w:t>
                      </w:r>
                    </w:p>
                    <w:p w14:paraId="046D6A2C" w14:textId="77777777" w:rsidR="00A15181" w:rsidRPr="00A15181" w:rsidRDefault="00A15181" w:rsidP="00A15181">
                      <w:pPr>
                        <w:pStyle w:val="B1"/>
                        <w:rPr>
                          <w:rFonts w:cs="Times New Roman"/>
                        </w:rPr>
                      </w:pPr>
                      <w:r w:rsidRPr="00A15181">
                        <w:rPr>
                          <w:rFonts w:cs="Times New Roman"/>
                        </w:rPr>
                        <w:t>-</w:t>
                      </w:r>
                      <w:r w:rsidRPr="00A15181">
                        <w:rPr>
                          <w:rFonts w:cs="Times New Roman"/>
                        </w:rPr>
                        <w:tab/>
                        <w:t>UL scheduling for FDD-HD: Use of UE-specific TA and/or K_offset to avoid UL-DL collisions in FDD-HD</w:t>
                      </w:r>
                    </w:p>
                    <w:p w14:paraId="748EDC38" w14:textId="77777777" w:rsidR="00A15181" w:rsidRPr="00A15181" w:rsidRDefault="00A15181" w:rsidP="00A15181">
                      <w:pPr>
                        <w:pStyle w:val="B1"/>
                        <w:rPr>
                          <w:rFonts w:cs="Times New Roman"/>
                        </w:rPr>
                      </w:pPr>
                      <w:r w:rsidRPr="00A15181">
                        <w:rPr>
                          <w:rFonts w:cs="Times New Roman"/>
                        </w:rPr>
                        <w:t>-</w:t>
                      </w:r>
                      <w:r w:rsidRPr="00A15181">
                        <w:rPr>
                          <w:rFonts w:cs="Times New Roman"/>
                        </w:rPr>
                        <w:tab/>
                        <w:t>Signalling aspects in UE-specific TA maintenance and reporting, techniques to reduce the signalling load and determination of the UE-specific TA.</w:t>
                      </w:r>
                    </w:p>
                    <w:p w14:paraId="3C154974" w14:textId="77777777" w:rsidR="00A15181" w:rsidRPr="00A15181" w:rsidRDefault="00A15181" w:rsidP="00A15181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DB4FE6" w14:textId="6A0C9827" w:rsidR="0050031A" w:rsidRPr="00D51997" w:rsidRDefault="00BE28A0" w:rsidP="00D51997">
      <w:pPr>
        <w:pStyle w:val="Heading1"/>
      </w:pPr>
      <w:bookmarkStart w:id="0" w:name="_Ref54287404"/>
      <w:r>
        <w:t>2</w:t>
      </w:r>
      <w:r w:rsidR="00BB08FE">
        <w:tab/>
      </w:r>
      <w:bookmarkEnd w:id="0"/>
      <w:r w:rsidR="00480C4A">
        <w:t>Timing relationships</w:t>
      </w:r>
    </w:p>
    <w:p w14:paraId="4EA5E4CD" w14:textId="5C4DEAAD" w:rsidR="007A1826" w:rsidRPr="007A1826" w:rsidRDefault="007A1826" w:rsidP="007A1826">
      <w:pPr>
        <w:pStyle w:val="BodyText"/>
        <w:rPr>
          <w:rFonts w:cs="Arial"/>
          <w:sz w:val="22"/>
        </w:rPr>
      </w:pPr>
      <w:r w:rsidRPr="007A1826">
        <w:rPr>
          <w:rFonts w:cs="Arial"/>
          <w:sz w:val="22"/>
        </w:rPr>
        <w:t>As listed in Section 6.6.3 in TR 36.763, t</w:t>
      </w:r>
      <w:r w:rsidRPr="007A1826">
        <w:rPr>
          <w:rFonts w:eastAsia="Calibri" w:cs="Arial"/>
          <w:sz w:val="22"/>
        </w:rPr>
        <w:t xml:space="preserve">he following eMTC timing relationships need enhancing for </w:t>
      </w:r>
      <w:r w:rsidRPr="007A1826">
        <w:rPr>
          <w:rFonts w:cs="Arial"/>
          <w:sz w:val="22"/>
        </w:rPr>
        <w:t>essential minimum functionality of</w:t>
      </w:r>
      <w:r w:rsidRPr="007A1826">
        <w:rPr>
          <w:rFonts w:cs="Arial"/>
          <w:b/>
          <w:bCs/>
          <w:sz w:val="22"/>
        </w:rPr>
        <w:t xml:space="preserve"> </w:t>
      </w:r>
      <w:r w:rsidRPr="007A1826">
        <w:rPr>
          <w:rFonts w:eastAsia="Calibri" w:cs="Arial"/>
          <w:sz w:val="22"/>
        </w:rPr>
        <w:t>IoT NTN:</w:t>
      </w:r>
    </w:p>
    <w:p w14:paraId="4D475CDF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 xml:space="preserve">MPDCCH to PUSCH </w:t>
      </w:r>
    </w:p>
    <w:p w14:paraId="45C2AD08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 xml:space="preserve">RAR grant to PUSCH </w:t>
      </w:r>
    </w:p>
    <w:p w14:paraId="5874D376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lastRenderedPageBreak/>
        <w:t>-</w:t>
      </w:r>
      <w:r w:rsidRPr="007A1826">
        <w:rPr>
          <w:rFonts w:ascii="Arial" w:hAnsi="Arial" w:cs="Arial"/>
          <w:sz w:val="22"/>
        </w:rPr>
        <w:tab/>
        <w:t xml:space="preserve">MPDCCH to scheduled uplink SPS </w:t>
      </w:r>
    </w:p>
    <w:p w14:paraId="14E1419E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 xml:space="preserve">PDSCH to HARQ-ACK on PUCCH </w:t>
      </w:r>
    </w:p>
    <w:p w14:paraId="209F0585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 xml:space="preserve">CSI reference resource timing </w:t>
      </w:r>
    </w:p>
    <w:p w14:paraId="0FA37EDC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 xml:space="preserve">MPDCCH to aperiodic SRS </w:t>
      </w:r>
    </w:p>
    <w:p w14:paraId="0E46729A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Timing advance command activation</w:t>
      </w:r>
    </w:p>
    <w:p w14:paraId="3FA725A8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FFS: MPDCCH order to PRACH</w:t>
      </w:r>
    </w:p>
    <w:p w14:paraId="69C1F1DD" w14:textId="5D18CC49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FFS: Other eMTC timing relationships</w:t>
      </w:r>
    </w:p>
    <w:p w14:paraId="43FFDD19" w14:textId="18DCCD70" w:rsidR="007A1826" w:rsidRPr="007A1826" w:rsidRDefault="007A1826" w:rsidP="007A1826">
      <w:pPr>
        <w:rPr>
          <w:rFonts w:cs="Arial"/>
          <w:sz w:val="22"/>
        </w:rPr>
      </w:pPr>
      <w:r w:rsidRPr="007A1826">
        <w:rPr>
          <w:rFonts w:cs="Arial"/>
          <w:sz w:val="22"/>
        </w:rPr>
        <w:t>The following NB-IoT timing relationships need enhancing for essential minimum functionality of IoT NTN:</w:t>
      </w:r>
    </w:p>
    <w:p w14:paraId="49D1D230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 xml:space="preserve">NPDCCH to NPUSCH format 1 </w:t>
      </w:r>
    </w:p>
    <w:p w14:paraId="11794791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RAR grant to NPUSCH format 1</w:t>
      </w:r>
    </w:p>
    <w:p w14:paraId="74BB4E21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NPDSCH to HARQ-ACK on NPUSCH format 2</w:t>
      </w:r>
    </w:p>
    <w:p w14:paraId="50B13AA1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Timing advance command activation</w:t>
      </w:r>
    </w:p>
    <w:p w14:paraId="3A230908" w14:textId="77777777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FFS: NPDCCH order to NPRACH</w:t>
      </w:r>
    </w:p>
    <w:p w14:paraId="3B8C8526" w14:textId="2191D266" w:rsidR="007A1826" w:rsidRPr="007A1826" w:rsidRDefault="007A1826" w:rsidP="007A1826">
      <w:pPr>
        <w:pStyle w:val="B1"/>
        <w:rPr>
          <w:rFonts w:ascii="Arial" w:hAnsi="Arial" w:cs="Arial"/>
          <w:sz w:val="22"/>
        </w:rPr>
      </w:pPr>
      <w:r w:rsidRPr="007A1826">
        <w:rPr>
          <w:rFonts w:ascii="Arial" w:hAnsi="Arial" w:cs="Arial"/>
          <w:sz w:val="22"/>
        </w:rPr>
        <w:t>-</w:t>
      </w:r>
      <w:r w:rsidRPr="007A1826">
        <w:rPr>
          <w:rFonts w:ascii="Arial" w:hAnsi="Arial" w:cs="Arial"/>
          <w:sz w:val="22"/>
        </w:rPr>
        <w:tab/>
        <w:t>FFS: Other NB-IoT timing relationships</w:t>
      </w:r>
    </w:p>
    <w:p w14:paraId="4D1D906E" w14:textId="001023B5" w:rsidR="007A1826" w:rsidRDefault="007A1826" w:rsidP="00480C4A">
      <w:pPr>
        <w:pStyle w:val="BodyText"/>
        <w:rPr>
          <w:rFonts w:cs="Arial"/>
          <w:sz w:val="22"/>
        </w:rPr>
      </w:pPr>
      <w:r>
        <w:rPr>
          <w:rFonts w:cs="Arial"/>
          <w:sz w:val="22"/>
        </w:rPr>
        <w:t>It was acknowledged during the study item that t</w:t>
      </w:r>
      <w:r w:rsidRPr="007A1826">
        <w:rPr>
          <w:rFonts w:cs="Arial"/>
          <w:sz w:val="22"/>
        </w:rPr>
        <w:t>he enhancement based on extending the timing relationship, by e.g. K</w:t>
      </w:r>
      <w:r>
        <w:rPr>
          <w:rFonts w:cs="Arial"/>
          <w:sz w:val="22"/>
        </w:rPr>
        <w:t>_</w:t>
      </w:r>
      <w:r w:rsidRPr="007A1826">
        <w:rPr>
          <w:rFonts w:cs="Arial"/>
          <w:sz w:val="22"/>
        </w:rPr>
        <w:t>offset, adopted in NR NTN should be the starting point for enhancement of</w:t>
      </w:r>
      <w:r>
        <w:rPr>
          <w:rFonts w:cs="Arial"/>
          <w:sz w:val="22"/>
        </w:rPr>
        <w:t xml:space="preserve"> </w:t>
      </w:r>
      <w:r w:rsidRPr="007A1826">
        <w:rPr>
          <w:rFonts w:cs="Arial"/>
          <w:sz w:val="22"/>
        </w:rPr>
        <w:t>timing relationships in IoT NTN.</w:t>
      </w:r>
      <w:r>
        <w:rPr>
          <w:rFonts w:cs="Arial"/>
          <w:sz w:val="22"/>
        </w:rPr>
        <w:t xml:space="preserve"> We propose to formally agree to introduce</w:t>
      </w:r>
      <w:r w:rsidR="003A3F47">
        <w:rPr>
          <w:rFonts w:cs="Arial"/>
          <w:sz w:val="22"/>
        </w:rPr>
        <w:t xml:space="preserve"> cell-specific</w:t>
      </w:r>
      <w:r>
        <w:rPr>
          <w:rFonts w:cs="Arial"/>
          <w:sz w:val="22"/>
        </w:rPr>
        <w:t xml:space="preserve"> K_offset in the timing relationships which are considered</w:t>
      </w:r>
      <w:r w:rsidRPr="007A1826">
        <w:rPr>
          <w:rFonts w:cs="Arial"/>
          <w:sz w:val="22"/>
        </w:rPr>
        <w:t xml:space="preserve"> essential minimum functionality of IoT NTN</w:t>
      </w:r>
      <w:r>
        <w:rPr>
          <w:rFonts w:cs="Arial"/>
          <w:sz w:val="22"/>
        </w:rPr>
        <w:t>.</w:t>
      </w:r>
    </w:p>
    <w:p w14:paraId="37DB8843" w14:textId="597CA1A7" w:rsidR="007A1826" w:rsidRPr="007A1826" w:rsidRDefault="007A1826" w:rsidP="007A1826">
      <w:pPr>
        <w:pStyle w:val="Proposal"/>
        <w:rPr>
          <w:sz w:val="22"/>
        </w:rPr>
      </w:pPr>
      <w:bookmarkStart w:id="1" w:name="_Toc79168006"/>
      <w:r w:rsidRPr="007A1826">
        <w:rPr>
          <w:sz w:val="22"/>
        </w:rPr>
        <w:t>Introduce</w:t>
      </w:r>
      <w:r w:rsidR="003A3F47">
        <w:rPr>
          <w:sz w:val="22"/>
        </w:rPr>
        <w:t xml:space="preserve"> cell-specific</w:t>
      </w:r>
      <w:r w:rsidRPr="007A1826">
        <w:rPr>
          <w:sz w:val="22"/>
        </w:rPr>
        <w:t xml:space="preserve"> K_offset to enhance the following timing relationships for </w:t>
      </w:r>
      <w:r>
        <w:rPr>
          <w:sz w:val="22"/>
        </w:rPr>
        <w:t>eMTC</w:t>
      </w:r>
      <w:r w:rsidRPr="007A1826">
        <w:rPr>
          <w:sz w:val="22"/>
        </w:rPr>
        <w:t xml:space="preserve"> NTN</w:t>
      </w:r>
      <w:bookmarkEnd w:id="1"/>
    </w:p>
    <w:p w14:paraId="32833A48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2" w:name="_Toc79168007"/>
      <w:r w:rsidRPr="007A1826">
        <w:rPr>
          <w:sz w:val="22"/>
        </w:rPr>
        <w:t>-</w:t>
      </w:r>
      <w:r w:rsidRPr="007A1826">
        <w:rPr>
          <w:sz w:val="22"/>
        </w:rPr>
        <w:tab/>
        <w:t>MPDCCH to PUSCH</w:t>
      </w:r>
      <w:bookmarkEnd w:id="2"/>
      <w:r w:rsidRPr="007A1826">
        <w:rPr>
          <w:sz w:val="22"/>
        </w:rPr>
        <w:t xml:space="preserve"> </w:t>
      </w:r>
    </w:p>
    <w:p w14:paraId="6F5FAEA6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3" w:name="_Toc79168008"/>
      <w:r w:rsidRPr="007A1826">
        <w:rPr>
          <w:sz w:val="22"/>
        </w:rPr>
        <w:t>-</w:t>
      </w:r>
      <w:r w:rsidRPr="007A1826">
        <w:rPr>
          <w:sz w:val="22"/>
        </w:rPr>
        <w:tab/>
        <w:t>RAR grant to PUSCH</w:t>
      </w:r>
      <w:bookmarkEnd w:id="3"/>
      <w:r w:rsidRPr="007A1826">
        <w:rPr>
          <w:sz w:val="22"/>
        </w:rPr>
        <w:t xml:space="preserve"> </w:t>
      </w:r>
    </w:p>
    <w:p w14:paraId="44BC15FC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4" w:name="_Toc79168009"/>
      <w:r w:rsidRPr="007A1826">
        <w:rPr>
          <w:sz w:val="22"/>
        </w:rPr>
        <w:t>-</w:t>
      </w:r>
      <w:r w:rsidRPr="007A1826">
        <w:rPr>
          <w:sz w:val="22"/>
        </w:rPr>
        <w:tab/>
        <w:t>MPDCCH to scheduled uplink SPS</w:t>
      </w:r>
      <w:bookmarkEnd w:id="4"/>
      <w:r w:rsidRPr="007A1826">
        <w:rPr>
          <w:sz w:val="22"/>
        </w:rPr>
        <w:t xml:space="preserve"> </w:t>
      </w:r>
    </w:p>
    <w:p w14:paraId="7EA42BCD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5" w:name="_Toc79168010"/>
      <w:r w:rsidRPr="007A1826">
        <w:rPr>
          <w:sz w:val="22"/>
        </w:rPr>
        <w:t>-</w:t>
      </w:r>
      <w:r w:rsidRPr="007A1826">
        <w:rPr>
          <w:sz w:val="22"/>
        </w:rPr>
        <w:tab/>
        <w:t>PDSCH to HARQ-ACK on PUCCH</w:t>
      </w:r>
      <w:bookmarkEnd w:id="5"/>
      <w:r w:rsidRPr="007A1826">
        <w:rPr>
          <w:sz w:val="22"/>
        </w:rPr>
        <w:t xml:space="preserve"> </w:t>
      </w:r>
    </w:p>
    <w:p w14:paraId="7B314DB5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6" w:name="_Toc79168011"/>
      <w:r w:rsidRPr="007A1826">
        <w:rPr>
          <w:sz w:val="22"/>
        </w:rPr>
        <w:t>-</w:t>
      </w:r>
      <w:r w:rsidRPr="007A1826">
        <w:rPr>
          <w:sz w:val="22"/>
        </w:rPr>
        <w:tab/>
        <w:t>CSI reference resource timing</w:t>
      </w:r>
      <w:bookmarkEnd w:id="6"/>
      <w:r w:rsidRPr="007A1826">
        <w:rPr>
          <w:sz w:val="22"/>
        </w:rPr>
        <w:t xml:space="preserve"> </w:t>
      </w:r>
    </w:p>
    <w:p w14:paraId="2D7F0ADF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7" w:name="_Toc79168012"/>
      <w:r w:rsidRPr="007A1826">
        <w:rPr>
          <w:sz w:val="22"/>
        </w:rPr>
        <w:t>-</w:t>
      </w:r>
      <w:r w:rsidRPr="007A1826">
        <w:rPr>
          <w:sz w:val="22"/>
        </w:rPr>
        <w:tab/>
        <w:t>MPDCCH to aperiodic SRS</w:t>
      </w:r>
      <w:bookmarkEnd w:id="7"/>
      <w:r w:rsidRPr="007A1826">
        <w:rPr>
          <w:sz w:val="22"/>
        </w:rPr>
        <w:t xml:space="preserve"> </w:t>
      </w:r>
    </w:p>
    <w:p w14:paraId="60DAEEA7" w14:textId="0BD44E23" w:rsid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8" w:name="_Toc79168013"/>
      <w:r w:rsidRPr="007A1826">
        <w:rPr>
          <w:sz w:val="22"/>
        </w:rPr>
        <w:t>-</w:t>
      </w:r>
      <w:r w:rsidRPr="007A1826">
        <w:rPr>
          <w:sz w:val="22"/>
        </w:rPr>
        <w:tab/>
        <w:t>Timing advance command activation</w:t>
      </w:r>
      <w:bookmarkEnd w:id="8"/>
    </w:p>
    <w:p w14:paraId="7F545D9A" w14:textId="1062179C" w:rsidR="007A1826" w:rsidRPr="007A1826" w:rsidRDefault="007A1826" w:rsidP="007A1826">
      <w:pPr>
        <w:pStyle w:val="Proposal"/>
        <w:rPr>
          <w:sz w:val="22"/>
        </w:rPr>
      </w:pPr>
      <w:bookmarkStart w:id="9" w:name="_Toc79168014"/>
      <w:r w:rsidRPr="007A1826">
        <w:rPr>
          <w:sz w:val="22"/>
        </w:rPr>
        <w:t>Introduce</w:t>
      </w:r>
      <w:r w:rsidR="003A3F47">
        <w:rPr>
          <w:sz w:val="22"/>
        </w:rPr>
        <w:t xml:space="preserve"> cell-specific</w:t>
      </w:r>
      <w:r w:rsidRPr="007A1826">
        <w:rPr>
          <w:sz w:val="22"/>
        </w:rPr>
        <w:t xml:space="preserve"> K_offset to enhance the following timing relationships for NB-IoT NTN</w:t>
      </w:r>
      <w:bookmarkEnd w:id="9"/>
    </w:p>
    <w:p w14:paraId="76AA7DC9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10" w:name="_Toc79168015"/>
      <w:r w:rsidRPr="007A1826">
        <w:rPr>
          <w:sz w:val="22"/>
        </w:rPr>
        <w:t>-</w:t>
      </w:r>
      <w:r w:rsidRPr="007A1826">
        <w:rPr>
          <w:sz w:val="22"/>
        </w:rPr>
        <w:tab/>
        <w:t>NPDCCH to NPUSCH format 1</w:t>
      </w:r>
      <w:bookmarkEnd w:id="10"/>
      <w:r w:rsidRPr="007A1826">
        <w:rPr>
          <w:sz w:val="22"/>
        </w:rPr>
        <w:t xml:space="preserve"> </w:t>
      </w:r>
    </w:p>
    <w:p w14:paraId="05A87FD5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11" w:name="_Toc79168016"/>
      <w:r w:rsidRPr="007A1826">
        <w:rPr>
          <w:sz w:val="22"/>
        </w:rPr>
        <w:t>-</w:t>
      </w:r>
      <w:r w:rsidRPr="007A1826">
        <w:rPr>
          <w:sz w:val="22"/>
        </w:rPr>
        <w:tab/>
        <w:t>RAR grant to NPUSCH format 1</w:t>
      </w:r>
      <w:bookmarkEnd w:id="11"/>
    </w:p>
    <w:p w14:paraId="2C3CD2F1" w14:textId="77777777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12" w:name="_Toc79168017"/>
      <w:r w:rsidRPr="007A1826">
        <w:rPr>
          <w:sz w:val="22"/>
        </w:rPr>
        <w:t>-</w:t>
      </w:r>
      <w:r w:rsidRPr="007A1826">
        <w:rPr>
          <w:sz w:val="22"/>
        </w:rPr>
        <w:tab/>
        <w:t>NPDSCH to HARQ-ACK on NPUSCH format 2</w:t>
      </w:r>
      <w:bookmarkEnd w:id="12"/>
    </w:p>
    <w:p w14:paraId="3472EC2F" w14:textId="52537D42" w:rsidR="007A1826" w:rsidRPr="007A1826" w:rsidRDefault="007A1826" w:rsidP="007A1826">
      <w:pPr>
        <w:pStyle w:val="Proposal"/>
        <w:numPr>
          <w:ilvl w:val="0"/>
          <w:numId w:val="0"/>
        </w:numPr>
        <w:ind w:left="1701"/>
        <w:rPr>
          <w:sz w:val="22"/>
        </w:rPr>
      </w:pPr>
      <w:bookmarkStart w:id="13" w:name="_Toc79168018"/>
      <w:r w:rsidRPr="007A1826">
        <w:rPr>
          <w:sz w:val="22"/>
        </w:rPr>
        <w:t>-</w:t>
      </w:r>
      <w:r w:rsidRPr="007A1826">
        <w:rPr>
          <w:sz w:val="22"/>
        </w:rPr>
        <w:tab/>
        <w:t>Timing advance command activation</w:t>
      </w:r>
      <w:bookmarkEnd w:id="13"/>
    </w:p>
    <w:p w14:paraId="7CA9F834" w14:textId="6550F6E1" w:rsidR="00190741" w:rsidRDefault="00190741" w:rsidP="00190741">
      <w:pPr>
        <w:pStyle w:val="Heading1"/>
      </w:pPr>
      <w:r>
        <w:t>3</w:t>
      </w:r>
      <w:r>
        <w:tab/>
      </w:r>
      <w:r w:rsidR="00A15181" w:rsidRPr="00A15181">
        <w:t>UL scheduling for FDD-HD</w:t>
      </w:r>
    </w:p>
    <w:p w14:paraId="1E323970" w14:textId="1E2B3327" w:rsidR="00671C08" w:rsidRDefault="003A3F47" w:rsidP="00671C08">
      <w:pPr>
        <w:pStyle w:val="BodyText"/>
        <w:tabs>
          <w:tab w:val="left" w:pos="2835"/>
        </w:tabs>
        <w:rPr>
          <w:sz w:val="22"/>
        </w:rPr>
      </w:pPr>
      <w:r>
        <w:rPr>
          <w:sz w:val="22"/>
        </w:rPr>
        <w:t>The</w:t>
      </w:r>
      <w:r w:rsidR="00671C08">
        <w:rPr>
          <w:sz w:val="22"/>
        </w:rPr>
        <w:t xml:space="preserve"> main implication of HD-FDD operation is on network scheduling, which will need to respect the restriction that the HD UE cannot transmit and receive simultaneously.</w:t>
      </w:r>
    </w:p>
    <w:p w14:paraId="2B5F9EFC" w14:textId="77777777" w:rsidR="00000662" w:rsidRDefault="00671C08" w:rsidP="00671C08">
      <w:pPr>
        <w:pStyle w:val="BodyText"/>
        <w:tabs>
          <w:tab w:val="left" w:pos="2835"/>
        </w:tabs>
        <w:rPr>
          <w:sz w:val="22"/>
        </w:rPr>
      </w:pPr>
      <w:r>
        <w:rPr>
          <w:sz w:val="22"/>
        </w:rPr>
        <w:lastRenderedPageBreak/>
        <w:t xml:space="preserve">To facilitate </w:t>
      </w:r>
      <w:r w:rsidR="007B37AA">
        <w:rPr>
          <w:sz w:val="22"/>
        </w:rPr>
        <w:t xml:space="preserve">the </w:t>
      </w:r>
      <w:r>
        <w:rPr>
          <w:sz w:val="22"/>
        </w:rPr>
        <w:t>network respecting the HD constraint,</w:t>
      </w:r>
      <w:r w:rsidR="00000662">
        <w:rPr>
          <w:sz w:val="22"/>
        </w:rPr>
        <w:t xml:space="preserve"> </w:t>
      </w:r>
      <w:r w:rsidR="00000662">
        <w:rPr>
          <w:rFonts w:cs="Arial"/>
          <w:sz w:val="22"/>
        </w:rPr>
        <w:t>it was acknowledged during the study item that</w:t>
      </w:r>
      <w:r>
        <w:rPr>
          <w:sz w:val="22"/>
        </w:rPr>
        <w:t xml:space="preserve"> </w:t>
      </w:r>
      <w:r w:rsidR="00000662">
        <w:rPr>
          <w:sz w:val="22"/>
        </w:rPr>
        <w:t>t</w:t>
      </w:r>
      <w:r w:rsidR="00000662" w:rsidRPr="00000662">
        <w:rPr>
          <w:sz w:val="22"/>
        </w:rPr>
        <w:t>he UE-specific TA and/or K_offset can be used by the eNB in its scheduling to avoid UL-DL collisions in FDD-HD.</w:t>
      </w:r>
      <w:r w:rsidR="00000662">
        <w:rPr>
          <w:sz w:val="22"/>
        </w:rPr>
        <w:t xml:space="preserve"> </w:t>
      </w:r>
    </w:p>
    <w:p w14:paraId="2FBD31E5" w14:textId="2E31CE5E" w:rsidR="00000662" w:rsidRDefault="00000662" w:rsidP="00671C08">
      <w:pPr>
        <w:pStyle w:val="BodyText"/>
        <w:tabs>
          <w:tab w:val="left" w:pos="2835"/>
        </w:tabs>
        <w:rPr>
          <w:sz w:val="22"/>
        </w:rPr>
      </w:pPr>
      <w:r>
        <w:rPr>
          <w:sz w:val="22"/>
        </w:rPr>
        <w:t>Since these two solutions address the same issue, it is sufficient to specify one of them. Considering that the use of UE specific K_offset relies on the information from UE-specific TA, it is reasonable to specify UE specific TA rather than UE specific K_offset since the latter (UE specific K_offset) would anyway require the support of the former (UE specific TA).</w:t>
      </w:r>
    </w:p>
    <w:p w14:paraId="6A58C21F" w14:textId="3C12ACE5" w:rsidR="00000662" w:rsidRPr="00000662" w:rsidRDefault="00000662" w:rsidP="00000662">
      <w:pPr>
        <w:pStyle w:val="Proposal"/>
        <w:rPr>
          <w:sz w:val="22"/>
        </w:rPr>
      </w:pPr>
      <w:bookmarkStart w:id="14" w:name="_Toc79168019"/>
      <w:r>
        <w:rPr>
          <w:sz w:val="22"/>
        </w:rPr>
        <w:t>On UL scheduling for FDD-HD, it is sufficient to u</w:t>
      </w:r>
      <w:r w:rsidRPr="00000662">
        <w:rPr>
          <w:sz w:val="22"/>
        </w:rPr>
        <w:t xml:space="preserve">se </w:t>
      </w:r>
      <w:r>
        <w:rPr>
          <w:sz w:val="22"/>
        </w:rPr>
        <w:t>U</w:t>
      </w:r>
      <w:r w:rsidRPr="00000662">
        <w:rPr>
          <w:sz w:val="22"/>
        </w:rPr>
        <w:t>E-specific TA to avoid UL-DL collisions in FDD-HD</w:t>
      </w:r>
      <w:bookmarkEnd w:id="14"/>
    </w:p>
    <w:p w14:paraId="497C0965" w14:textId="26AEB987" w:rsidR="003A3F47" w:rsidRPr="003A3F47" w:rsidRDefault="00190741" w:rsidP="003A3F47">
      <w:pPr>
        <w:pStyle w:val="Heading1"/>
      </w:pPr>
      <w:r>
        <w:t>4</w:t>
      </w:r>
      <w:r>
        <w:tab/>
      </w:r>
      <w:r w:rsidR="00A15181" w:rsidRPr="00A15181">
        <w:t>UE-specific TA maintenance and reporting</w:t>
      </w:r>
    </w:p>
    <w:p w14:paraId="7188B9C6" w14:textId="48165DB0" w:rsidR="003A3F47" w:rsidRDefault="003A3F47" w:rsidP="003A3F47">
      <w:pPr>
        <w:pStyle w:val="BodyText"/>
        <w:tabs>
          <w:tab w:val="left" w:pos="2835"/>
        </w:tabs>
        <w:rPr>
          <w:sz w:val="22"/>
        </w:rPr>
      </w:pPr>
      <w:r>
        <w:rPr>
          <w:sz w:val="22"/>
        </w:rPr>
        <w:t>UE specific TA is time varying, especially in LEO NTN. Reporting UE specific TA would cause much signaling overhead, which has impact on IoT UE power consumption and thus battery life.</w:t>
      </w:r>
    </w:p>
    <w:p w14:paraId="1EB18915" w14:textId="56A36488" w:rsidR="003A3F47" w:rsidRDefault="003A3F47" w:rsidP="003A3F47">
      <w:pPr>
        <w:pStyle w:val="BodyText"/>
        <w:tabs>
          <w:tab w:val="left" w:pos="2835"/>
        </w:tabs>
        <w:rPr>
          <w:sz w:val="22"/>
        </w:rPr>
      </w:pPr>
      <w:r>
        <w:rPr>
          <w:sz w:val="22"/>
        </w:rPr>
        <w:t xml:space="preserve">If UE specific TA reporting were to be supported for IoT NTN, the reporting mechanism can follow </w:t>
      </w:r>
      <w:r w:rsidRPr="003A3F47">
        <w:rPr>
          <w:sz w:val="22"/>
        </w:rPr>
        <w:t>the decision in NR_NTN_Solutions WI and</w:t>
      </w:r>
      <w:r>
        <w:rPr>
          <w:sz w:val="22"/>
        </w:rPr>
        <w:t xml:space="preserve"> reuse the agreements therein</w:t>
      </w:r>
      <w:r w:rsidRPr="003A3F47">
        <w:rPr>
          <w:sz w:val="22"/>
        </w:rPr>
        <w:t xml:space="preserve"> for IoT NTN with minimum changes if any.</w:t>
      </w:r>
    </w:p>
    <w:p w14:paraId="550873A6" w14:textId="067FFA0B" w:rsidR="003A3F47" w:rsidRDefault="003A3F47" w:rsidP="003A3F47">
      <w:pPr>
        <w:pStyle w:val="Proposal"/>
        <w:rPr>
          <w:sz w:val="22"/>
        </w:rPr>
      </w:pPr>
      <w:bookmarkStart w:id="15" w:name="_Toc79168020"/>
      <w:r>
        <w:rPr>
          <w:sz w:val="22"/>
        </w:rPr>
        <w:t>Evaluate the impact of frequent UE TA reporting on IoT UE power consumption</w:t>
      </w:r>
      <w:r w:rsidRPr="00670AF0">
        <w:rPr>
          <w:sz w:val="22"/>
        </w:rPr>
        <w:t>.</w:t>
      </w:r>
      <w:bookmarkEnd w:id="15"/>
    </w:p>
    <w:p w14:paraId="76A829F8" w14:textId="0CDEB3C6" w:rsidR="003A3F47" w:rsidRPr="003A3F47" w:rsidRDefault="003A3F47" w:rsidP="003A3F47">
      <w:pPr>
        <w:pStyle w:val="Proposal"/>
        <w:rPr>
          <w:sz w:val="22"/>
        </w:rPr>
      </w:pPr>
      <w:bookmarkStart w:id="16" w:name="_Toc79168021"/>
      <w:r w:rsidRPr="003A3F47">
        <w:rPr>
          <w:sz w:val="22"/>
        </w:rPr>
        <w:t>If UE specific TA reporting were to be supported</w:t>
      </w:r>
      <w:r>
        <w:rPr>
          <w:sz w:val="22"/>
        </w:rPr>
        <w:t xml:space="preserve"> </w:t>
      </w:r>
      <w:r w:rsidR="00000662">
        <w:rPr>
          <w:sz w:val="22"/>
        </w:rPr>
        <w:t>for IoT NTN</w:t>
      </w:r>
      <w:r w:rsidRPr="003A3F47">
        <w:rPr>
          <w:sz w:val="22"/>
        </w:rPr>
        <w:t>, the reporting mechanism can follow the decision in NR_NTN_Solutions WI and reuse the agreements therein for IoT NTN with minimum changes if any.</w:t>
      </w:r>
      <w:bookmarkEnd w:id="16"/>
    </w:p>
    <w:p w14:paraId="37EB5693" w14:textId="01C5BEB4" w:rsidR="00C01F33" w:rsidRPr="00CE0424" w:rsidRDefault="00C01F33" w:rsidP="00CE0424">
      <w:pPr>
        <w:pStyle w:val="Heading1"/>
      </w:pPr>
      <w:r w:rsidRPr="00CE0424">
        <w:t>Conclusion</w:t>
      </w:r>
    </w:p>
    <w:p w14:paraId="6225A1B8" w14:textId="77777777" w:rsidR="006E1C82" w:rsidRPr="003E4627" w:rsidRDefault="008E065E" w:rsidP="006E1C82">
      <w:pPr>
        <w:pStyle w:val="BodyText"/>
        <w:rPr>
          <w:sz w:val="22"/>
        </w:rPr>
      </w:pPr>
      <w:r w:rsidRPr="003E4627">
        <w:rPr>
          <w:sz w:val="22"/>
        </w:rPr>
        <w:t xml:space="preserve">Based on the discussion 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propose the following:</w:t>
      </w:r>
    </w:p>
    <w:p w14:paraId="54234824" w14:textId="77777777" w:rsidR="002F2FE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\n \h \z \t "Proposal" \c </w:instrText>
      </w:r>
      <w:r w:rsidRPr="003E4627">
        <w:rPr>
          <w:b w:val="0"/>
          <w:bCs/>
          <w:sz w:val="22"/>
        </w:rPr>
        <w:fldChar w:fldCharType="separate"/>
      </w:r>
      <w:hyperlink w:anchor="_Toc79168006" w:history="1">
        <w:r w:rsidR="002F2FE7" w:rsidRPr="00B03C08">
          <w:rPr>
            <w:rStyle w:val="Hyperlink"/>
            <w:noProof/>
          </w:rPr>
          <w:t>Proposal 1</w:t>
        </w:r>
        <w:r w:rsidR="002F2FE7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2F2FE7" w:rsidRPr="00B03C08">
          <w:rPr>
            <w:rStyle w:val="Hyperlink"/>
            <w:noProof/>
          </w:rPr>
          <w:t>Introduce cell-specific K_offset to enhance the following timing relationships for eMTC NTN</w:t>
        </w:r>
      </w:hyperlink>
    </w:p>
    <w:p w14:paraId="68937A8C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07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MPDCCH to PUSCH</w:t>
        </w:r>
      </w:hyperlink>
    </w:p>
    <w:p w14:paraId="7CD13528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08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RAR grant to PUSCH</w:t>
        </w:r>
      </w:hyperlink>
    </w:p>
    <w:p w14:paraId="00F139BE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09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MPDCCH to scheduled uplink SPS</w:t>
        </w:r>
      </w:hyperlink>
    </w:p>
    <w:p w14:paraId="4140EB64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0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PDSCH to HARQ-ACK on PUCCH</w:t>
        </w:r>
      </w:hyperlink>
    </w:p>
    <w:p w14:paraId="72932C19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1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CSI reference resource timing</w:t>
        </w:r>
      </w:hyperlink>
    </w:p>
    <w:p w14:paraId="130FBF69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2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MPDCCH to aperiodic SRS</w:t>
        </w:r>
      </w:hyperlink>
    </w:p>
    <w:p w14:paraId="5E2ECA3A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3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Timing advance command activation</w:t>
        </w:r>
      </w:hyperlink>
    </w:p>
    <w:p w14:paraId="4410FDEB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4" w:history="1">
        <w:r w:rsidRPr="00B03C0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Introduce cell-specific K_offset to enhance the following timing relationships for NB-IoT NTN</w:t>
        </w:r>
      </w:hyperlink>
    </w:p>
    <w:p w14:paraId="5AE9FAF5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5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NPDCCH to NPUSCH format 1</w:t>
        </w:r>
      </w:hyperlink>
    </w:p>
    <w:p w14:paraId="5D4D79FF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6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RAR grant to NPUSCH format 1</w:t>
        </w:r>
      </w:hyperlink>
    </w:p>
    <w:p w14:paraId="004E022F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7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NPDSCH to HARQ-ACK on NPUSCH format 2</w:t>
        </w:r>
      </w:hyperlink>
    </w:p>
    <w:p w14:paraId="4BB670AF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8" w:history="1">
        <w:r w:rsidRPr="00B03C08">
          <w:rPr>
            <w:rStyle w:val="Hyperlink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Timing advance command activation</w:t>
        </w:r>
      </w:hyperlink>
    </w:p>
    <w:p w14:paraId="310DB87A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19" w:history="1">
        <w:r w:rsidRPr="00B03C0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On UL scheduling for FDD-HD, it is sufficient to use UE-specific TA to avoid UL-DL collisions in FDD-HD</w:t>
        </w:r>
      </w:hyperlink>
    </w:p>
    <w:p w14:paraId="766AEC72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20" w:history="1">
        <w:r w:rsidRPr="00B03C0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Evaluate the impact of frequent UE TA reporting on IoT UE power consumption.</w:t>
        </w:r>
      </w:hyperlink>
    </w:p>
    <w:p w14:paraId="7EFDC03B" w14:textId="77777777" w:rsidR="002F2FE7" w:rsidRDefault="002F2F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68021" w:history="1">
        <w:r w:rsidRPr="00B03C08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B03C08">
          <w:rPr>
            <w:rStyle w:val="Hyperlink"/>
            <w:noProof/>
          </w:rPr>
          <w:t>If UE specific TA reporting were to be supported for IoT NTN, the reporting mechanism can follow the decision in NR_NTN_Solutions WI and reuse the agreements therein for IoT NTN with minimum changes if any.</w:t>
        </w:r>
      </w:hyperlink>
    </w:p>
    <w:p w14:paraId="58ACA235" w14:textId="67C48A26" w:rsidR="00C01F33" w:rsidRPr="008377B4" w:rsidRDefault="006E1C82" w:rsidP="008377B4">
      <w:pPr>
        <w:pStyle w:val="BodyText"/>
        <w:rPr>
          <w:b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715CA09B" w14:textId="0C7F9182" w:rsidR="003A7EF3" w:rsidRDefault="00A15181" w:rsidP="00CE0424">
      <w:pPr>
        <w:pStyle w:val="Reference"/>
        <w:rPr>
          <w:sz w:val="22"/>
        </w:rPr>
      </w:pPr>
      <w:bookmarkStart w:id="18" w:name="_Ref174151459"/>
      <w:bookmarkStart w:id="19" w:name="_Ref189809556"/>
      <w:bookmarkStart w:id="20" w:name="_Ref49798330"/>
      <w:r w:rsidRPr="00E731A9">
        <w:rPr>
          <w:sz w:val="22"/>
        </w:rPr>
        <w:t>RP-</w:t>
      </w:r>
      <w:r>
        <w:rPr>
          <w:sz w:val="22"/>
        </w:rPr>
        <w:t>211601</w:t>
      </w:r>
      <w:r w:rsidRPr="00E731A9">
        <w:rPr>
          <w:sz w:val="22"/>
        </w:rPr>
        <w:t xml:space="preserve">, </w:t>
      </w:r>
      <w:r w:rsidRPr="001F3432">
        <w:rPr>
          <w:sz w:val="22"/>
        </w:rPr>
        <w:t>WID on NB-IoT/eMTC support for NTN</w:t>
      </w:r>
      <w:r w:rsidRPr="00E731A9">
        <w:rPr>
          <w:sz w:val="22"/>
        </w:rPr>
        <w:t>, RAN#</w:t>
      </w:r>
      <w:r>
        <w:rPr>
          <w:sz w:val="22"/>
        </w:rPr>
        <w:t>92-e</w:t>
      </w:r>
      <w:r w:rsidRPr="00E731A9">
        <w:rPr>
          <w:sz w:val="22"/>
        </w:rPr>
        <w:t xml:space="preserve">, </w:t>
      </w:r>
      <w:r>
        <w:rPr>
          <w:sz w:val="22"/>
        </w:rPr>
        <w:t>June</w:t>
      </w:r>
      <w:r w:rsidRPr="00E731A9">
        <w:rPr>
          <w:sz w:val="22"/>
        </w:rPr>
        <w:t xml:space="preserve"> 20</w:t>
      </w:r>
      <w:r>
        <w:rPr>
          <w:sz w:val="22"/>
        </w:rPr>
        <w:t>21</w:t>
      </w:r>
      <w:r w:rsidRPr="00E731A9">
        <w:rPr>
          <w:sz w:val="22"/>
        </w:rPr>
        <w:t>.</w:t>
      </w:r>
      <w:bookmarkEnd w:id="18"/>
      <w:bookmarkEnd w:id="19"/>
      <w:bookmarkEnd w:id="20"/>
    </w:p>
    <w:p w14:paraId="14FDE1ED" w14:textId="46C7379A" w:rsidR="008E5E6D" w:rsidRPr="008E5E6D" w:rsidRDefault="008E5E6D" w:rsidP="008E5E6D">
      <w:pPr>
        <w:pStyle w:val="Reference"/>
        <w:rPr>
          <w:rFonts w:cs="Arial"/>
          <w:color w:val="222222"/>
          <w:sz w:val="22"/>
          <w:shd w:val="clear" w:color="auto" w:fill="FFFFFF"/>
        </w:rPr>
      </w:pPr>
      <w:bookmarkStart w:id="21" w:name="_Ref76364594"/>
      <w:bookmarkStart w:id="22" w:name="_Ref78960395"/>
      <w:r w:rsidRPr="00FF6194">
        <w:rPr>
          <w:rFonts w:cs="Arial"/>
          <w:color w:val="222222"/>
          <w:sz w:val="22"/>
          <w:shd w:val="clear" w:color="auto" w:fill="FFFFFF"/>
        </w:rPr>
        <w:t xml:space="preserve">X. Lin, S. Rommer, S. Euler, E. A. Yavuz, and R. S. Karlsson, “5G from space: An overview of 3GPP non-terrestrial networks,” to appear in </w:t>
      </w:r>
      <w:r w:rsidRPr="00FF6194">
        <w:rPr>
          <w:rFonts w:cs="Arial"/>
          <w:i/>
          <w:iCs/>
          <w:color w:val="222222"/>
          <w:sz w:val="22"/>
          <w:shd w:val="clear" w:color="auto" w:fill="FFFFFF"/>
        </w:rPr>
        <w:t>IEEE Communications Standards Magazine</w:t>
      </w:r>
      <w:r w:rsidRPr="00FF6194">
        <w:rPr>
          <w:rFonts w:cs="Arial"/>
          <w:color w:val="222222"/>
          <w:sz w:val="22"/>
          <w:shd w:val="clear" w:color="auto" w:fill="FFFFFF"/>
        </w:rPr>
        <w:t>, March 2021</w:t>
      </w:r>
      <w:bookmarkEnd w:id="21"/>
      <w:r w:rsidRPr="00FF6194">
        <w:rPr>
          <w:rFonts w:cs="Arial"/>
          <w:color w:val="222222"/>
          <w:sz w:val="22"/>
          <w:shd w:val="clear" w:color="auto" w:fill="FFFFFF"/>
        </w:rPr>
        <w:t>. Available at arXiv preprint arXiv:2103.09156.</w:t>
      </w:r>
      <w:bookmarkEnd w:id="22"/>
    </w:p>
    <w:p w14:paraId="2D960F3E" w14:textId="77777777" w:rsidR="003A3F47" w:rsidRDefault="003A3F47" w:rsidP="003A3F47">
      <w:pPr>
        <w:pStyle w:val="Reference"/>
        <w:rPr>
          <w:sz w:val="22"/>
        </w:rPr>
      </w:pPr>
      <w:bookmarkStart w:id="23" w:name="_Ref75967634"/>
      <w:r w:rsidRPr="00931F9C">
        <w:rPr>
          <w:sz w:val="22"/>
        </w:rPr>
        <w:t xml:space="preserve">T. Khan, X. Lin, S. Eriksson, O. Liberg, S. Euler, J. Sedin, E. A. Yavuz, H. S. Razaghi, and H.-L. Maattanen, “Internet of Things from space: Transforming LTE machine type communications for non-terrestrial networks,” </w:t>
      </w:r>
      <w:r w:rsidRPr="00931F9C">
        <w:rPr>
          <w:rFonts w:cs="Arial"/>
          <w:i/>
          <w:iCs/>
          <w:color w:val="222222"/>
          <w:sz w:val="22"/>
          <w:shd w:val="clear" w:color="auto" w:fill="FFFFFF"/>
        </w:rPr>
        <w:t>arXiv preprint arXiv:2103.14169</w:t>
      </w:r>
      <w:r w:rsidRPr="00931F9C">
        <w:rPr>
          <w:sz w:val="22"/>
        </w:rPr>
        <w:t>, March 2021.</w:t>
      </w:r>
      <w:bookmarkEnd w:id="23"/>
    </w:p>
    <w:p w14:paraId="41993514" w14:textId="5D26939D" w:rsidR="003A3F47" w:rsidRPr="003A3F47" w:rsidRDefault="003A3F47" w:rsidP="003A3F47">
      <w:pPr>
        <w:pStyle w:val="Reference"/>
        <w:rPr>
          <w:sz w:val="22"/>
        </w:rPr>
      </w:pPr>
      <w:bookmarkStart w:id="24" w:name="_Ref75967636"/>
      <w:r w:rsidRPr="00931F9C">
        <w:rPr>
          <w:sz w:val="22"/>
        </w:rPr>
        <w:t xml:space="preserve">O. Liberg, S. Eriksson, S. Euler, B. Hofstrom, T. Khan, X. Lin, and J. Sedin, </w:t>
      </w:r>
      <w:r>
        <w:rPr>
          <w:sz w:val="22"/>
        </w:rPr>
        <w:t>“</w:t>
      </w:r>
      <w:r w:rsidRPr="00931F9C">
        <w:rPr>
          <w:sz w:val="22"/>
        </w:rPr>
        <w:t>Narrowband Inter- net of Things for non-terrestrial networks,</w:t>
      </w:r>
      <w:r>
        <w:rPr>
          <w:sz w:val="22"/>
        </w:rPr>
        <w:t>”</w:t>
      </w:r>
      <w:r w:rsidRPr="00931F9C">
        <w:rPr>
          <w:sz w:val="22"/>
        </w:rPr>
        <w:t xml:space="preserve"> </w:t>
      </w:r>
      <w:r w:rsidRPr="00142999">
        <w:rPr>
          <w:i/>
          <w:iCs/>
          <w:sz w:val="22"/>
        </w:rPr>
        <w:t>IEEE Communications Standards Magazine</w:t>
      </w:r>
      <w:r w:rsidRPr="00931F9C">
        <w:rPr>
          <w:sz w:val="22"/>
        </w:rPr>
        <w:t xml:space="preserve">, </w:t>
      </w:r>
      <w:r w:rsidRPr="00142999">
        <w:rPr>
          <w:sz w:val="22"/>
        </w:rPr>
        <w:t>vol. 4, no. 4, pp. 49-55,</w:t>
      </w:r>
      <w:r>
        <w:rPr>
          <w:sz w:val="22"/>
        </w:rPr>
        <w:t xml:space="preserve"> </w:t>
      </w:r>
      <w:r w:rsidRPr="00931F9C">
        <w:rPr>
          <w:sz w:val="22"/>
        </w:rPr>
        <w:t>December 2020.</w:t>
      </w:r>
      <w:bookmarkEnd w:id="24"/>
    </w:p>
    <w:sectPr w:rsidR="003A3F47" w:rsidRPr="003A3F4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547A8" w14:textId="77777777" w:rsidR="00C16FF1" w:rsidRDefault="00C16FF1">
      <w:r>
        <w:separator/>
      </w:r>
    </w:p>
  </w:endnote>
  <w:endnote w:type="continuationSeparator" w:id="0">
    <w:p w14:paraId="4A107A62" w14:textId="77777777" w:rsidR="00C16FF1" w:rsidRDefault="00C16FF1">
      <w:r>
        <w:continuationSeparator/>
      </w:r>
    </w:p>
  </w:endnote>
  <w:endnote w:type="continuationNotice" w:id="1">
    <w:p w14:paraId="61930E6D" w14:textId="77777777" w:rsidR="00C16FF1" w:rsidRDefault="00C16F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111964" w:rsidRDefault="001119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57A6F" w14:textId="77777777" w:rsidR="00C16FF1" w:rsidRDefault="00C16FF1">
      <w:r>
        <w:separator/>
      </w:r>
    </w:p>
  </w:footnote>
  <w:footnote w:type="continuationSeparator" w:id="0">
    <w:p w14:paraId="31C5D3C8" w14:textId="77777777" w:rsidR="00C16FF1" w:rsidRDefault="00C16FF1">
      <w:r>
        <w:continuationSeparator/>
      </w:r>
    </w:p>
  </w:footnote>
  <w:footnote w:type="continuationNotice" w:id="1">
    <w:p w14:paraId="5EC67EEB" w14:textId="77777777" w:rsidR="00C16FF1" w:rsidRDefault="00C16F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111964" w:rsidRDefault="001119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6EA5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86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E66A92"/>
    <w:multiLevelType w:val="hybridMultilevel"/>
    <w:tmpl w:val="3DF0A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81F45"/>
    <w:multiLevelType w:val="hybridMultilevel"/>
    <w:tmpl w:val="ACE2D5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217AA1"/>
    <w:multiLevelType w:val="hybridMultilevel"/>
    <w:tmpl w:val="9C1ECB2A"/>
    <w:lvl w:ilvl="0" w:tplc="041D0001">
      <w:numFmt w:val="bullet"/>
      <w:lvlText w:val="-"/>
      <w:lvlJc w:val="left"/>
      <w:pPr>
        <w:ind w:left="327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473650"/>
    <w:multiLevelType w:val="hybridMultilevel"/>
    <w:tmpl w:val="A1420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7"/>
  </w:num>
  <w:num w:numId="17">
    <w:abstractNumId w:val="7"/>
  </w:num>
  <w:num w:numId="18">
    <w:abstractNumId w:val="8"/>
  </w:num>
  <w:num w:numId="19">
    <w:abstractNumId w:val="4"/>
  </w:num>
  <w:num w:numId="20">
    <w:abstractNumId w:val="30"/>
  </w:num>
  <w:num w:numId="21">
    <w:abstractNumId w:val="12"/>
  </w:num>
  <w:num w:numId="22">
    <w:abstractNumId w:val="28"/>
  </w:num>
  <w:num w:numId="23">
    <w:abstractNumId w:val="20"/>
  </w:num>
  <w:num w:numId="24">
    <w:abstractNumId w:val="16"/>
  </w:num>
  <w:num w:numId="25">
    <w:abstractNumId w:val="6"/>
  </w:num>
  <w:num w:numId="26">
    <w:abstractNumId w:val="13"/>
  </w:num>
  <w:num w:numId="27">
    <w:abstractNumId w:val="5"/>
  </w:num>
  <w:num w:numId="28">
    <w:abstractNumId w:val="26"/>
  </w:num>
  <w:num w:numId="29">
    <w:abstractNumId w:val="24"/>
  </w:num>
  <w:num w:numId="30">
    <w:abstractNumId w:val="29"/>
  </w:num>
  <w:num w:numId="3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62"/>
    <w:rsid w:val="000006E1"/>
    <w:rsid w:val="00001B3C"/>
    <w:rsid w:val="00002A37"/>
    <w:rsid w:val="0000348F"/>
    <w:rsid w:val="0000564C"/>
    <w:rsid w:val="00006446"/>
    <w:rsid w:val="00006896"/>
    <w:rsid w:val="00007CDC"/>
    <w:rsid w:val="00011B28"/>
    <w:rsid w:val="00013C54"/>
    <w:rsid w:val="000147DB"/>
    <w:rsid w:val="000152A5"/>
    <w:rsid w:val="00015D15"/>
    <w:rsid w:val="0001774B"/>
    <w:rsid w:val="0002011D"/>
    <w:rsid w:val="0002564D"/>
    <w:rsid w:val="00025ECA"/>
    <w:rsid w:val="00027798"/>
    <w:rsid w:val="00027AAB"/>
    <w:rsid w:val="000325B8"/>
    <w:rsid w:val="000327EC"/>
    <w:rsid w:val="00034C15"/>
    <w:rsid w:val="00036BA1"/>
    <w:rsid w:val="000403A0"/>
    <w:rsid w:val="000422E2"/>
    <w:rsid w:val="00042F22"/>
    <w:rsid w:val="000444EF"/>
    <w:rsid w:val="0004751D"/>
    <w:rsid w:val="00052A07"/>
    <w:rsid w:val="000534E3"/>
    <w:rsid w:val="0005606A"/>
    <w:rsid w:val="00057117"/>
    <w:rsid w:val="000616E7"/>
    <w:rsid w:val="000644C5"/>
    <w:rsid w:val="0006487E"/>
    <w:rsid w:val="00064B0C"/>
    <w:rsid w:val="00064BAA"/>
    <w:rsid w:val="000655C8"/>
    <w:rsid w:val="00065E1A"/>
    <w:rsid w:val="00067F47"/>
    <w:rsid w:val="0007057E"/>
    <w:rsid w:val="00073F9A"/>
    <w:rsid w:val="00076916"/>
    <w:rsid w:val="00077E5F"/>
    <w:rsid w:val="0008036A"/>
    <w:rsid w:val="000805A3"/>
    <w:rsid w:val="00081AE6"/>
    <w:rsid w:val="00082F0F"/>
    <w:rsid w:val="0008392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6BD"/>
    <w:rsid w:val="000A0824"/>
    <w:rsid w:val="000A19D9"/>
    <w:rsid w:val="000A1B7B"/>
    <w:rsid w:val="000A2E24"/>
    <w:rsid w:val="000A32C8"/>
    <w:rsid w:val="000A56F2"/>
    <w:rsid w:val="000B2719"/>
    <w:rsid w:val="000B3A8F"/>
    <w:rsid w:val="000B4AB9"/>
    <w:rsid w:val="000B58C3"/>
    <w:rsid w:val="000B5DDE"/>
    <w:rsid w:val="000B61E9"/>
    <w:rsid w:val="000C165A"/>
    <w:rsid w:val="000C2E19"/>
    <w:rsid w:val="000C3A6D"/>
    <w:rsid w:val="000D0D07"/>
    <w:rsid w:val="000D0D56"/>
    <w:rsid w:val="000D4797"/>
    <w:rsid w:val="000D5533"/>
    <w:rsid w:val="000E0527"/>
    <w:rsid w:val="000E1E92"/>
    <w:rsid w:val="000E20AB"/>
    <w:rsid w:val="000E353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FA8"/>
    <w:rsid w:val="00110358"/>
    <w:rsid w:val="00111964"/>
    <w:rsid w:val="00113CF4"/>
    <w:rsid w:val="001146D0"/>
    <w:rsid w:val="001153EA"/>
    <w:rsid w:val="00115643"/>
    <w:rsid w:val="00116765"/>
    <w:rsid w:val="0012198B"/>
    <w:rsid w:val="001219F5"/>
    <w:rsid w:val="00121A20"/>
    <w:rsid w:val="0012215D"/>
    <w:rsid w:val="0012377F"/>
    <w:rsid w:val="00124314"/>
    <w:rsid w:val="00126B4A"/>
    <w:rsid w:val="001326D1"/>
    <w:rsid w:val="00132FD0"/>
    <w:rsid w:val="00133DA5"/>
    <w:rsid w:val="001344C0"/>
    <w:rsid w:val="001346FA"/>
    <w:rsid w:val="00135252"/>
    <w:rsid w:val="00137AB5"/>
    <w:rsid w:val="00137F0B"/>
    <w:rsid w:val="001401C9"/>
    <w:rsid w:val="00151E23"/>
    <w:rsid w:val="001526E0"/>
    <w:rsid w:val="001551B5"/>
    <w:rsid w:val="001566B0"/>
    <w:rsid w:val="00157DF7"/>
    <w:rsid w:val="00162E95"/>
    <w:rsid w:val="00163A46"/>
    <w:rsid w:val="001659C1"/>
    <w:rsid w:val="00173A8E"/>
    <w:rsid w:val="0017502C"/>
    <w:rsid w:val="0018143F"/>
    <w:rsid w:val="00181FF8"/>
    <w:rsid w:val="00186DCD"/>
    <w:rsid w:val="00190741"/>
    <w:rsid w:val="00190AC1"/>
    <w:rsid w:val="0019341A"/>
    <w:rsid w:val="00197DF9"/>
    <w:rsid w:val="001A1987"/>
    <w:rsid w:val="001A2564"/>
    <w:rsid w:val="001A4670"/>
    <w:rsid w:val="001A470E"/>
    <w:rsid w:val="001A6173"/>
    <w:rsid w:val="001A6CBA"/>
    <w:rsid w:val="001B0D97"/>
    <w:rsid w:val="001B1628"/>
    <w:rsid w:val="001B1CD7"/>
    <w:rsid w:val="001B3262"/>
    <w:rsid w:val="001B4873"/>
    <w:rsid w:val="001B5A5D"/>
    <w:rsid w:val="001B6BC5"/>
    <w:rsid w:val="001B7FC6"/>
    <w:rsid w:val="001C1CE5"/>
    <w:rsid w:val="001C36A9"/>
    <w:rsid w:val="001C3D2A"/>
    <w:rsid w:val="001C5B73"/>
    <w:rsid w:val="001D51BA"/>
    <w:rsid w:val="001D53E7"/>
    <w:rsid w:val="001D579D"/>
    <w:rsid w:val="001D6342"/>
    <w:rsid w:val="001D6D53"/>
    <w:rsid w:val="001E58E2"/>
    <w:rsid w:val="001E6ADF"/>
    <w:rsid w:val="001E7AED"/>
    <w:rsid w:val="001F3916"/>
    <w:rsid w:val="001F4067"/>
    <w:rsid w:val="001F54C5"/>
    <w:rsid w:val="001F662C"/>
    <w:rsid w:val="001F7074"/>
    <w:rsid w:val="00200490"/>
    <w:rsid w:val="00201F3A"/>
    <w:rsid w:val="00203F96"/>
    <w:rsid w:val="00206047"/>
    <w:rsid w:val="002069B2"/>
    <w:rsid w:val="002069DB"/>
    <w:rsid w:val="00207FA3"/>
    <w:rsid w:val="002127AF"/>
    <w:rsid w:val="00214DA8"/>
    <w:rsid w:val="00215423"/>
    <w:rsid w:val="00215774"/>
    <w:rsid w:val="002158FA"/>
    <w:rsid w:val="0021637A"/>
    <w:rsid w:val="00220600"/>
    <w:rsid w:val="002224DB"/>
    <w:rsid w:val="00223FCB"/>
    <w:rsid w:val="002252C3"/>
    <w:rsid w:val="00225C54"/>
    <w:rsid w:val="00226F45"/>
    <w:rsid w:val="00230740"/>
    <w:rsid w:val="00230765"/>
    <w:rsid w:val="00230D18"/>
    <w:rsid w:val="00230E5F"/>
    <w:rsid w:val="002319E4"/>
    <w:rsid w:val="00235632"/>
    <w:rsid w:val="00235872"/>
    <w:rsid w:val="00241559"/>
    <w:rsid w:val="002435B3"/>
    <w:rsid w:val="002458EB"/>
    <w:rsid w:val="00245DC0"/>
    <w:rsid w:val="002500C8"/>
    <w:rsid w:val="00253E16"/>
    <w:rsid w:val="00254B5E"/>
    <w:rsid w:val="00256305"/>
    <w:rsid w:val="0025684A"/>
    <w:rsid w:val="00257543"/>
    <w:rsid w:val="002617E7"/>
    <w:rsid w:val="00264228"/>
    <w:rsid w:val="00264334"/>
    <w:rsid w:val="0026473E"/>
    <w:rsid w:val="00266214"/>
    <w:rsid w:val="00267C83"/>
    <w:rsid w:val="002705C1"/>
    <w:rsid w:val="0027079A"/>
    <w:rsid w:val="0027101E"/>
    <w:rsid w:val="002711C9"/>
    <w:rsid w:val="0027144F"/>
    <w:rsid w:val="00271813"/>
    <w:rsid w:val="00271F3A"/>
    <w:rsid w:val="00273278"/>
    <w:rsid w:val="0027330C"/>
    <w:rsid w:val="002737F4"/>
    <w:rsid w:val="00277BF6"/>
    <w:rsid w:val="00280069"/>
    <w:rsid w:val="002805F5"/>
    <w:rsid w:val="00280751"/>
    <w:rsid w:val="0028280A"/>
    <w:rsid w:val="0028319E"/>
    <w:rsid w:val="00286ACD"/>
    <w:rsid w:val="00287838"/>
    <w:rsid w:val="00290524"/>
    <w:rsid w:val="002907B5"/>
    <w:rsid w:val="00292EB7"/>
    <w:rsid w:val="0029324C"/>
    <w:rsid w:val="00296227"/>
    <w:rsid w:val="00296F44"/>
    <w:rsid w:val="0029777D"/>
    <w:rsid w:val="002A055E"/>
    <w:rsid w:val="002A1D4E"/>
    <w:rsid w:val="002A2869"/>
    <w:rsid w:val="002B0F2D"/>
    <w:rsid w:val="002B141A"/>
    <w:rsid w:val="002B24D6"/>
    <w:rsid w:val="002B3059"/>
    <w:rsid w:val="002B47C6"/>
    <w:rsid w:val="002C0568"/>
    <w:rsid w:val="002C1431"/>
    <w:rsid w:val="002C1FE0"/>
    <w:rsid w:val="002C3D25"/>
    <w:rsid w:val="002C41E6"/>
    <w:rsid w:val="002D071A"/>
    <w:rsid w:val="002D34B2"/>
    <w:rsid w:val="002D48B0"/>
    <w:rsid w:val="002D5B37"/>
    <w:rsid w:val="002D7637"/>
    <w:rsid w:val="002E0E2B"/>
    <w:rsid w:val="002E17F2"/>
    <w:rsid w:val="002E2298"/>
    <w:rsid w:val="002E2FEF"/>
    <w:rsid w:val="002E42AF"/>
    <w:rsid w:val="002E42C2"/>
    <w:rsid w:val="002E4C4D"/>
    <w:rsid w:val="002E7CAE"/>
    <w:rsid w:val="002F13E4"/>
    <w:rsid w:val="002F2165"/>
    <w:rsid w:val="002F2771"/>
    <w:rsid w:val="002F2FE7"/>
    <w:rsid w:val="002F37A9"/>
    <w:rsid w:val="002F5D02"/>
    <w:rsid w:val="00301CE6"/>
    <w:rsid w:val="0030256B"/>
    <w:rsid w:val="00303D95"/>
    <w:rsid w:val="0030501F"/>
    <w:rsid w:val="0030627A"/>
    <w:rsid w:val="00307BA1"/>
    <w:rsid w:val="00311702"/>
    <w:rsid w:val="00311E82"/>
    <w:rsid w:val="00313FD6"/>
    <w:rsid w:val="003143BD"/>
    <w:rsid w:val="00315363"/>
    <w:rsid w:val="003203ED"/>
    <w:rsid w:val="0032045E"/>
    <w:rsid w:val="00322C9F"/>
    <w:rsid w:val="00324BB7"/>
    <w:rsid w:val="00324D23"/>
    <w:rsid w:val="00326467"/>
    <w:rsid w:val="0032718D"/>
    <w:rsid w:val="00327408"/>
    <w:rsid w:val="00331751"/>
    <w:rsid w:val="00333D57"/>
    <w:rsid w:val="00334579"/>
    <w:rsid w:val="00335858"/>
    <w:rsid w:val="00336936"/>
    <w:rsid w:val="00336BDA"/>
    <w:rsid w:val="00342BD7"/>
    <w:rsid w:val="00344ACD"/>
    <w:rsid w:val="00345564"/>
    <w:rsid w:val="00346DB5"/>
    <w:rsid w:val="003477B1"/>
    <w:rsid w:val="00357380"/>
    <w:rsid w:val="00357690"/>
    <w:rsid w:val="003602D9"/>
    <w:rsid w:val="003604CE"/>
    <w:rsid w:val="00370E47"/>
    <w:rsid w:val="003742AC"/>
    <w:rsid w:val="00377CE1"/>
    <w:rsid w:val="0038321E"/>
    <w:rsid w:val="00385BF0"/>
    <w:rsid w:val="00391B98"/>
    <w:rsid w:val="0039362B"/>
    <w:rsid w:val="003939FF"/>
    <w:rsid w:val="00395A9A"/>
    <w:rsid w:val="00396403"/>
    <w:rsid w:val="003970F0"/>
    <w:rsid w:val="003978DD"/>
    <w:rsid w:val="003A2223"/>
    <w:rsid w:val="003A2A0F"/>
    <w:rsid w:val="003A3F47"/>
    <w:rsid w:val="003A45A1"/>
    <w:rsid w:val="003A5B0A"/>
    <w:rsid w:val="003A6BAC"/>
    <w:rsid w:val="003A70A4"/>
    <w:rsid w:val="003A7CF1"/>
    <w:rsid w:val="003A7EF3"/>
    <w:rsid w:val="003B159C"/>
    <w:rsid w:val="003B369F"/>
    <w:rsid w:val="003B36A3"/>
    <w:rsid w:val="003B64BB"/>
    <w:rsid w:val="003B69A3"/>
    <w:rsid w:val="003B7FE5"/>
    <w:rsid w:val="003C11C8"/>
    <w:rsid w:val="003C2702"/>
    <w:rsid w:val="003C7806"/>
    <w:rsid w:val="003D109F"/>
    <w:rsid w:val="003D2478"/>
    <w:rsid w:val="003D33E4"/>
    <w:rsid w:val="003D3C45"/>
    <w:rsid w:val="003D5B1F"/>
    <w:rsid w:val="003D756E"/>
    <w:rsid w:val="003E15FA"/>
    <w:rsid w:val="003E4627"/>
    <w:rsid w:val="003E55E4"/>
    <w:rsid w:val="003E709A"/>
    <w:rsid w:val="003E74E3"/>
    <w:rsid w:val="003F05C7"/>
    <w:rsid w:val="003F2CD4"/>
    <w:rsid w:val="003F6BBE"/>
    <w:rsid w:val="003F7AFE"/>
    <w:rsid w:val="004000E8"/>
    <w:rsid w:val="00402E2B"/>
    <w:rsid w:val="0040512B"/>
    <w:rsid w:val="004054B8"/>
    <w:rsid w:val="00405CA5"/>
    <w:rsid w:val="00407CD3"/>
    <w:rsid w:val="00407F1F"/>
    <w:rsid w:val="00410134"/>
    <w:rsid w:val="00410B72"/>
    <w:rsid w:val="00410F18"/>
    <w:rsid w:val="0041263E"/>
    <w:rsid w:val="00413AAC"/>
    <w:rsid w:val="00413E92"/>
    <w:rsid w:val="00414D43"/>
    <w:rsid w:val="00416A79"/>
    <w:rsid w:val="00421105"/>
    <w:rsid w:val="00422AA4"/>
    <w:rsid w:val="004242F4"/>
    <w:rsid w:val="004243C6"/>
    <w:rsid w:val="00426953"/>
    <w:rsid w:val="00427248"/>
    <w:rsid w:val="00430AF1"/>
    <w:rsid w:val="00430D15"/>
    <w:rsid w:val="004322E6"/>
    <w:rsid w:val="00433D1C"/>
    <w:rsid w:val="0043421B"/>
    <w:rsid w:val="004352BF"/>
    <w:rsid w:val="004354A1"/>
    <w:rsid w:val="00435560"/>
    <w:rsid w:val="00436982"/>
    <w:rsid w:val="00437447"/>
    <w:rsid w:val="00441A92"/>
    <w:rsid w:val="004431DC"/>
    <w:rsid w:val="004445D6"/>
    <w:rsid w:val="00444F56"/>
    <w:rsid w:val="00446488"/>
    <w:rsid w:val="004517AA"/>
    <w:rsid w:val="00452CAC"/>
    <w:rsid w:val="00457565"/>
    <w:rsid w:val="00457B71"/>
    <w:rsid w:val="00464689"/>
    <w:rsid w:val="00465F93"/>
    <w:rsid w:val="00465FB6"/>
    <w:rsid w:val="004669E2"/>
    <w:rsid w:val="00470C31"/>
    <w:rsid w:val="00471C3D"/>
    <w:rsid w:val="00471DE0"/>
    <w:rsid w:val="004734D0"/>
    <w:rsid w:val="004745E6"/>
    <w:rsid w:val="0047556B"/>
    <w:rsid w:val="00476A37"/>
    <w:rsid w:val="00477768"/>
    <w:rsid w:val="004808F4"/>
    <w:rsid w:val="00480C4A"/>
    <w:rsid w:val="00481D10"/>
    <w:rsid w:val="0048373F"/>
    <w:rsid w:val="00483B1A"/>
    <w:rsid w:val="004843A6"/>
    <w:rsid w:val="0048502F"/>
    <w:rsid w:val="00490B2D"/>
    <w:rsid w:val="00492BC5"/>
    <w:rsid w:val="004964F1"/>
    <w:rsid w:val="004A16BC"/>
    <w:rsid w:val="004A176E"/>
    <w:rsid w:val="004A2B94"/>
    <w:rsid w:val="004A6602"/>
    <w:rsid w:val="004A707D"/>
    <w:rsid w:val="004B6F6A"/>
    <w:rsid w:val="004B7C0C"/>
    <w:rsid w:val="004C3898"/>
    <w:rsid w:val="004C6B3A"/>
    <w:rsid w:val="004C6FDA"/>
    <w:rsid w:val="004C7F1C"/>
    <w:rsid w:val="004D13CF"/>
    <w:rsid w:val="004D3176"/>
    <w:rsid w:val="004D36B1"/>
    <w:rsid w:val="004D4DAF"/>
    <w:rsid w:val="004D4F4D"/>
    <w:rsid w:val="004D7EBD"/>
    <w:rsid w:val="004E2680"/>
    <w:rsid w:val="004E28F9"/>
    <w:rsid w:val="004E462E"/>
    <w:rsid w:val="004E56DC"/>
    <w:rsid w:val="004E76F4"/>
    <w:rsid w:val="004F0B4E"/>
    <w:rsid w:val="004F0B6C"/>
    <w:rsid w:val="004F1144"/>
    <w:rsid w:val="004F2078"/>
    <w:rsid w:val="004F4DA3"/>
    <w:rsid w:val="004F667A"/>
    <w:rsid w:val="0050031A"/>
    <w:rsid w:val="00504F6D"/>
    <w:rsid w:val="00506557"/>
    <w:rsid w:val="0050677A"/>
    <w:rsid w:val="005108D8"/>
    <w:rsid w:val="005116F9"/>
    <w:rsid w:val="005153A7"/>
    <w:rsid w:val="00515C5A"/>
    <w:rsid w:val="00516112"/>
    <w:rsid w:val="005219CF"/>
    <w:rsid w:val="00521E45"/>
    <w:rsid w:val="005224BB"/>
    <w:rsid w:val="00534B59"/>
    <w:rsid w:val="00536759"/>
    <w:rsid w:val="00537C62"/>
    <w:rsid w:val="00544821"/>
    <w:rsid w:val="005459EB"/>
    <w:rsid w:val="00546970"/>
    <w:rsid w:val="005506A5"/>
    <w:rsid w:val="00550948"/>
    <w:rsid w:val="00551F34"/>
    <w:rsid w:val="0055292F"/>
    <w:rsid w:val="00553F5F"/>
    <w:rsid w:val="0055473B"/>
    <w:rsid w:val="00554E19"/>
    <w:rsid w:val="00556DD4"/>
    <w:rsid w:val="0056121F"/>
    <w:rsid w:val="005658BE"/>
    <w:rsid w:val="005677A0"/>
    <w:rsid w:val="00571BD5"/>
    <w:rsid w:val="0057221F"/>
    <w:rsid w:val="00572505"/>
    <w:rsid w:val="0057323B"/>
    <w:rsid w:val="00574A7B"/>
    <w:rsid w:val="00582809"/>
    <w:rsid w:val="00582FD1"/>
    <w:rsid w:val="0058794E"/>
    <w:rsid w:val="0058798C"/>
    <w:rsid w:val="005900FA"/>
    <w:rsid w:val="005910A3"/>
    <w:rsid w:val="005935A4"/>
    <w:rsid w:val="00593B6E"/>
    <w:rsid w:val="005948C2"/>
    <w:rsid w:val="00595DCA"/>
    <w:rsid w:val="0059779B"/>
    <w:rsid w:val="005A07DE"/>
    <w:rsid w:val="005A209A"/>
    <w:rsid w:val="005A4484"/>
    <w:rsid w:val="005A662D"/>
    <w:rsid w:val="005B02F6"/>
    <w:rsid w:val="005B1409"/>
    <w:rsid w:val="005B22B5"/>
    <w:rsid w:val="005B35D7"/>
    <w:rsid w:val="005B392A"/>
    <w:rsid w:val="005B3A79"/>
    <w:rsid w:val="005B3AA3"/>
    <w:rsid w:val="005B6F83"/>
    <w:rsid w:val="005C74FB"/>
    <w:rsid w:val="005D137E"/>
    <w:rsid w:val="005D1602"/>
    <w:rsid w:val="005D23B7"/>
    <w:rsid w:val="005E08A1"/>
    <w:rsid w:val="005E0B39"/>
    <w:rsid w:val="005E28C2"/>
    <w:rsid w:val="005E385F"/>
    <w:rsid w:val="005E5B81"/>
    <w:rsid w:val="005E7007"/>
    <w:rsid w:val="005F209B"/>
    <w:rsid w:val="005F2CB1"/>
    <w:rsid w:val="005F3025"/>
    <w:rsid w:val="005F4A39"/>
    <w:rsid w:val="005F618C"/>
    <w:rsid w:val="005F70BD"/>
    <w:rsid w:val="005F70E4"/>
    <w:rsid w:val="005F7239"/>
    <w:rsid w:val="0060283C"/>
    <w:rsid w:val="006030E6"/>
    <w:rsid w:val="0060414B"/>
    <w:rsid w:val="00604F14"/>
    <w:rsid w:val="00611B83"/>
    <w:rsid w:val="006121B1"/>
    <w:rsid w:val="0061264D"/>
    <w:rsid w:val="00612B2E"/>
    <w:rsid w:val="006131EF"/>
    <w:rsid w:val="00613257"/>
    <w:rsid w:val="00616505"/>
    <w:rsid w:val="006174C1"/>
    <w:rsid w:val="0062029C"/>
    <w:rsid w:val="00620A71"/>
    <w:rsid w:val="00620D80"/>
    <w:rsid w:val="006234A6"/>
    <w:rsid w:val="00623518"/>
    <w:rsid w:val="0062361C"/>
    <w:rsid w:val="0062400F"/>
    <w:rsid w:val="00626A70"/>
    <w:rsid w:val="00627A1B"/>
    <w:rsid w:val="00630001"/>
    <w:rsid w:val="006311B3"/>
    <w:rsid w:val="0063284C"/>
    <w:rsid w:val="00636398"/>
    <w:rsid w:val="006368D3"/>
    <w:rsid w:val="006377EC"/>
    <w:rsid w:val="00640ADE"/>
    <w:rsid w:val="0064151F"/>
    <w:rsid w:val="00641533"/>
    <w:rsid w:val="0064208D"/>
    <w:rsid w:val="00643475"/>
    <w:rsid w:val="0064396A"/>
    <w:rsid w:val="00643A09"/>
    <w:rsid w:val="00643FCA"/>
    <w:rsid w:val="0064459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AF0"/>
    <w:rsid w:val="00670BE1"/>
    <w:rsid w:val="00671C08"/>
    <w:rsid w:val="0067218F"/>
    <w:rsid w:val="00673177"/>
    <w:rsid w:val="006741F2"/>
    <w:rsid w:val="00674CC3"/>
    <w:rsid w:val="00675262"/>
    <w:rsid w:val="00675C72"/>
    <w:rsid w:val="006771F9"/>
    <w:rsid w:val="006776D7"/>
    <w:rsid w:val="00681003"/>
    <w:rsid w:val="006817C9"/>
    <w:rsid w:val="00682DA7"/>
    <w:rsid w:val="00683ECE"/>
    <w:rsid w:val="00694588"/>
    <w:rsid w:val="00695003"/>
    <w:rsid w:val="00695FC2"/>
    <w:rsid w:val="00696949"/>
    <w:rsid w:val="00697052"/>
    <w:rsid w:val="006A1111"/>
    <w:rsid w:val="006A358A"/>
    <w:rsid w:val="006A427C"/>
    <w:rsid w:val="006A46FB"/>
    <w:rsid w:val="006A5E28"/>
    <w:rsid w:val="006A6382"/>
    <w:rsid w:val="006A6730"/>
    <w:rsid w:val="006A697B"/>
    <w:rsid w:val="006A7AFF"/>
    <w:rsid w:val="006B1816"/>
    <w:rsid w:val="006B2099"/>
    <w:rsid w:val="006B4DDD"/>
    <w:rsid w:val="006B50CF"/>
    <w:rsid w:val="006C03B8"/>
    <w:rsid w:val="006C14F3"/>
    <w:rsid w:val="006C2B33"/>
    <w:rsid w:val="006C5EC9"/>
    <w:rsid w:val="006C5FB9"/>
    <w:rsid w:val="006C6059"/>
    <w:rsid w:val="006C6236"/>
    <w:rsid w:val="006C7522"/>
    <w:rsid w:val="006C7C53"/>
    <w:rsid w:val="006D19DA"/>
    <w:rsid w:val="006D2BA4"/>
    <w:rsid w:val="006D4B52"/>
    <w:rsid w:val="006D6F08"/>
    <w:rsid w:val="006E062C"/>
    <w:rsid w:val="006E1C82"/>
    <w:rsid w:val="006E28B7"/>
    <w:rsid w:val="006E2A9B"/>
    <w:rsid w:val="006E3310"/>
    <w:rsid w:val="006E3657"/>
    <w:rsid w:val="006E4E39"/>
    <w:rsid w:val="006E565E"/>
    <w:rsid w:val="006E63B4"/>
    <w:rsid w:val="006E673D"/>
    <w:rsid w:val="006E7042"/>
    <w:rsid w:val="006E7D3B"/>
    <w:rsid w:val="006F06BF"/>
    <w:rsid w:val="006F1B70"/>
    <w:rsid w:val="006F341D"/>
    <w:rsid w:val="006F3BDF"/>
    <w:rsid w:val="006F3CDE"/>
    <w:rsid w:val="006F5407"/>
    <w:rsid w:val="006F548E"/>
    <w:rsid w:val="006F58D4"/>
    <w:rsid w:val="006F6582"/>
    <w:rsid w:val="006F6AAE"/>
    <w:rsid w:val="006F7F90"/>
    <w:rsid w:val="0070346E"/>
    <w:rsid w:val="00704EDB"/>
    <w:rsid w:val="00706101"/>
    <w:rsid w:val="00707072"/>
    <w:rsid w:val="00707D61"/>
    <w:rsid w:val="00710626"/>
    <w:rsid w:val="007120EC"/>
    <w:rsid w:val="00712287"/>
    <w:rsid w:val="00712772"/>
    <w:rsid w:val="007148D3"/>
    <w:rsid w:val="00715B9A"/>
    <w:rsid w:val="00720BE3"/>
    <w:rsid w:val="00721137"/>
    <w:rsid w:val="007217A8"/>
    <w:rsid w:val="00721B32"/>
    <w:rsid w:val="007257D0"/>
    <w:rsid w:val="00725BB7"/>
    <w:rsid w:val="00726EA6"/>
    <w:rsid w:val="00727208"/>
    <w:rsid w:val="00727680"/>
    <w:rsid w:val="007304EA"/>
    <w:rsid w:val="00731D83"/>
    <w:rsid w:val="00732609"/>
    <w:rsid w:val="00733800"/>
    <w:rsid w:val="007348B1"/>
    <w:rsid w:val="007362A6"/>
    <w:rsid w:val="00736D7D"/>
    <w:rsid w:val="00740E58"/>
    <w:rsid w:val="00742DFD"/>
    <w:rsid w:val="007445A0"/>
    <w:rsid w:val="0074524B"/>
    <w:rsid w:val="00747D8B"/>
    <w:rsid w:val="00751228"/>
    <w:rsid w:val="00751872"/>
    <w:rsid w:val="007571E1"/>
    <w:rsid w:val="007604B2"/>
    <w:rsid w:val="0076130F"/>
    <w:rsid w:val="007618A6"/>
    <w:rsid w:val="0076353C"/>
    <w:rsid w:val="00765281"/>
    <w:rsid w:val="00766A02"/>
    <w:rsid w:val="00766BAD"/>
    <w:rsid w:val="007678BB"/>
    <w:rsid w:val="00770C02"/>
    <w:rsid w:val="007729A2"/>
    <w:rsid w:val="0077346F"/>
    <w:rsid w:val="007739A6"/>
    <w:rsid w:val="007755F2"/>
    <w:rsid w:val="00776971"/>
    <w:rsid w:val="0077720D"/>
    <w:rsid w:val="00780A80"/>
    <w:rsid w:val="0078177E"/>
    <w:rsid w:val="0078304C"/>
    <w:rsid w:val="00783673"/>
    <w:rsid w:val="00785490"/>
    <w:rsid w:val="00786209"/>
    <w:rsid w:val="007909C6"/>
    <w:rsid w:val="007925EA"/>
    <w:rsid w:val="007926B0"/>
    <w:rsid w:val="00793CD8"/>
    <w:rsid w:val="00795C92"/>
    <w:rsid w:val="00796231"/>
    <w:rsid w:val="00797113"/>
    <w:rsid w:val="007A1826"/>
    <w:rsid w:val="007A1CB3"/>
    <w:rsid w:val="007A1F86"/>
    <w:rsid w:val="007A306F"/>
    <w:rsid w:val="007A43A6"/>
    <w:rsid w:val="007A44B6"/>
    <w:rsid w:val="007A4E89"/>
    <w:rsid w:val="007A58A6"/>
    <w:rsid w:val="007A5B2A"/>
    <w:rsid w:val="007A771B"/>
    <w:rsid w:val="007A7C60"/>
    <w:rsid w:val="007B151C"/>
    <w:rsid w:val="007B37AA"/>
    <w:rsid w:val="007B3D2D"/>
    <w:rsid w:val="007B50AE"/>
    <w:rsid w:val="007B51DF"/>
    <w:rsid w:val="007B7B32"/>
    <w:rsid w:val="007C05DD"/>
    <w:rsid w:val="007C3D18"/>
    <w:rsid w:val="007C60BF"/>
    <w:rsid w:val="007C6A07"/>
    <w:rsid w:val="007C75A1"/>
    <w:rsid w:val="007C77A5"/>
    <w:rsid w:val="007D04E5"/>
    <w:rsid w:val="007D1D07"/>
    <w:rsid w:val="007D4264"/>
    <w:rsid w:val="007D5901"/>
    <w:rsid w:val="007D7526"/>
    <w:rsid w:val="007E4610"/>
    <w:rsid w:val="007E4715"/>
    <w:rsid w:val="007E505B"/>
    <w:rsid w:val="007E633E"/>
    <w:rsid w:val="007E7091"/>
    <w:rsid w:val="007E7998"/>
    <w:rsid w:val="007F1ACC"/>
    <w:rsid w:val="00801B13"/>
    <w:rsid w:val="00802F23"/>
    <w:rsid w:val="00803FAE"/>
    <w:rsid w:val="0080605F"/>
    <w:rsid w:val="00806C71"/>
    <w:rsid w:val="00807786"/>
    <w:rsid w:val="00811FCB"/>
    <w:rsid w:val="0081348A"/>
    <w:rsid w:val="008158D6"/>
    <w:rsid w:val="008159A2"/>
    <w:rsid w:val="00817196"/>
    <w:rsid w:val="0082007C"/>
    <w:rsid w:val="008235DB"/>
    <w:rsid w:val="00824AB4"/>
    <w:rsid w:val="00825C42"/>
    <w:rsid w:val="00825D25"/>
    <w:rsid w:val="008275C7"/>
    <w:rsid w:val="00827D6F"/>
    <w:rsid w:val="00830749"/>
    <w:rsid w:val="008352CA"/>
    <w:rsid w:val="0083546B"/>
    <w:rsid w:val="00836FF2"/>
    <w:rsid w:val="008376AC"/>
    <w:rsid w:val="008377B4"/>
    <w:rsid w:val="00843EC8"/>
    <w:rsid w:val="008444E8"/>
    <w:rsid w:val="00844E80"/>
    <w:rsid w:val="0084573F"/>
    <w:rsid w:val="00846FE7"/>
    <w:rsid w:val="008531DC"/>
    <w:rsid w:val="00853D4D"/>
    <w:rsid w:val="0085662A"/>
    <w:rsid w:val="00856911"/>
    <w:rsid w:val="008677FD"/>
    <w:rsid w:val="00867AF5"/>
    <w:rsid w:val="008706D4"/>
    <w:rsid w:val="00870F8A"/>
    <w:rsid w:val="00871693"/>
    <w:rsid w:val="008719A4"/>
    <w:rsid w:val="00871D23"/>
    <w:rsid w:val="00874312"/>
    <w:rsid w:val="0087437C"/>
    <w:rsid w:val="00875CD7"/>
    <w:rsid w:val="00876B4D"/>
    <w:rsid w:val="00877F18"/>
    <w:rsid w:val="0088268F"/>
    <w:rsid w:val="00882A9E"/>
    <w:rsid w:val="00882D7C"/>
    <w:rsid w:val="00884E69"/>
    <w:rsid w:val="00885BCB"/>
    <w:rsid w:val="008866DA"/>
    <w:rsid w:val="008872F6"/>
    <w:rsid w:val="00891821"/>
    <w:rsid w:val="00892FD0"/>
    <w:rsid w:val="008941E3"/>
    <w:rsid w:val="00894A88"/>
    <w:rsid w:val="008952B5"/>
    <w:rsid w:val="00895386"/>
    <w:rsid w:val="008A21FF"/>
    <w:rsid w:val="008A2CE2"/>
    <w:rsid w:val="008A2DB9"/>
    <w:rsid w:val="008A30AC"/>
    <w:rsid w:val="008A44B8"/>
    <w:rsid w:val="008A4DCC"/>
    <w:rsid w:val="008A51A8"/>
    <w:rsid w:val="008A54C7"/>
    <w:rsid w:val="008A77D8"/>
    <w:rsid w:val="008B01C5"/>
    <w:rsid w:val="008B0483"/>
    <w:rsid w:val="008B120C"/>
    <w:rsid w:val="008B2A23"/>
    <w:rsid w:val="008B51A0"/>
    <w:rsid w:val="008B592A"/>
    <w:rsid w:val="008B6189"/>
    <w:rsid w:val="008B7B5C"/>
    <w:rsid w:val="008C0C99"/>
    <w:rsid w:val="008C2017"/>
    <w:rsid w:val="008C4958"/>
    <w:rsid w:val="008C4BAA"/>
    <w:rsid w:val="008C6AE8"/>
    <w:rsid w:val="008C6E14"/>
    <w:rsid w:val="008C6F11"/>
    <w:rsid w:val="008C7573"/>
    <w:rsid w:val="008D00A5"/>
    <w:rsid w:val="008D021D"/>
    <w:rsid w:val="008D34F1"/>
    <w:rsid w:val="008D39D8"/>
    <w:rsid w:val="008D4E4C"/>
    <w:rsid w:val="008D6D1A"/>
    <w:rsid w:val="008E065E"/>
    <w:rsid w:val="008E0927"/>
    <w:rsid w:val="008E1909"/>
    <w:rsid w:val="008E34F6"/>
    <w:rsid w:val="008E3BA2"/>
    <w:rsid w:val="008E5E6D"/>
    <w:rsid w:val="008E628F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8A0"/>
    <w:rsid w:val="00917CE9"/>
    <w:rsid w:val="0092075B"/>
    <w:rsid w:val="00920BF2"/>
    <w:rsid w:val="00922010"/>
    <w:rsid w:val="00924A39"/>
    <w:rsid w:val="00924B65"/>
    <w:rsid w:val="00931BD9"/>
    <w:rsid w:val="00935C1A"/>
    <w:rsid w:val="009368F3"/>
    <w:rsid w:val="009410AD"/>
    <w:rsid w:val="00941636"/>
    <w:rsid w:val="0094329D"/>
    <w:rsid w:val="00943742"/>
    <w:rsid w:val="00945C05"/>
    <w:rsid w:val="00946945"/>
    <w:rsid w:val="00947713"/>
    <w:rsid w:val="00950DE7"/>
    <w:rsid w:val="00953920"/>
    <w:rsid w:val="00953D47"/>
    <w:rsid w:val="009545D0"/>
    <w:rsid w:val="0095681E"/>
    <w:rsid w:val="009572D4"/>
    <w:rsid w:val="00961921"/>
    <w:rsid w:val="0096430A"/>
    <w:rsid w:val="0096554B"/>
    <w:rsid w:val="0096584A"/>
    <w:rsid w:val="00966309"/>
    <w:rsid w:val="0097157C"/>
    <w:rsid w:val="00971F08"/>
    <w:rsid w:val="0097603D"/>
    <w:rsid w:val="00976946"/>
    <w:rsid w:val="00976949"/>
    <w:rsid w:val="00980477"/>
    <w:rsid w:val="00985253"/>
    <w:rsid w:val="009853B3"/>
    <w:rsid w:val="00990630"/>
    <w:rsid w:val="00991761"/>
    <w:rsid w:val="00992794"/>
    <w:rsid w:val="00994DCA"/>
    <w:rsid w:val="0099604F"/>
    <w:rsid w:val="009960EC"/>
    <w:rsid w:val="009970DD"/>
    <w:rsid w:val="009A0FBA"/>
    <w:rsid w:val="009A1601"/>
    <w:rsid w:val="009A3BB6"/>
    <w:rsid w:val="009A457D"/>
    <w:rsid w:val="009A462D"/>
    <w:rsid w:val="009A5CBA"/>
    <w:rsid w:val="009B1F30"/>
    <w:rsid w:val="009B3AC2"/>
    <w:rsid w:val="009B42C8"/>
    <w:rsid w:val="009B4DF4"/>
    <w:rsid w:val="009B564E"/>
    <w:rsid w:val="009B7D72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C23"/>
    <w:rsid w:val="009F19E9"/>
    <w:rsid w:val="009F344F"/>
    <w:rsid w:val="00A031D8"/>
    <w:rsid w:val="00A04541"/>
    <w:rsid w:val="00A048A8"/>
    <w:rsid w:val="00A04F49"/>
    <w:rsid w:val="00A05544"/>
    <w:rsid w:val="00A0796D"/>
    <w:rsid w:val="00A1163E"/>
    <w:rsid w:val="00A11ADE"/>
    <w:rsid w:val="00A13E54"/>
    <w:rsid w:val="00A14D5E"/>
    <w:rsid w:val="00A15181"/>
    <w:rsid w:val="00A17CAF"/>
    <w:rsid w:val="00A17F63"/>
    <w:rsid w:val="00A2193B"/>
    <w:rsid w:val="00A2351A"/>
    <w:rsid w:val="00A24B7B"/>
    <w:rsid w:val="00A260C4"/>
    <w:rsid w:val="00A264A9"/>
    <w:rsid w:val="00A26DCF"/>
    <w:rsid w:val="00A27785"/>
    <w:rsid w:val="00A2787B"/>
    <w:rsid w:val="00A30187"/>
    <w:rsid w:val="00A3448A"/>
    <w:rsid w:val="00A34770"/>
    <w:rsid w:val="00A36297"/>
    <w:rsid w:val="00A376B4"/>
    <w:rsid w:val="00A4162A"/>
    <w:rsid w:val="00A4179D"/>
    <w:rsid w:val="00A41E2B"/>
    <w:rsid w:val="00A45B74"/>
    <w:rsid w:val="00A50DAD"/>
    <w:rsid w:val="00A51C31"/>
    <w:rsid w:val="00A52E1D"/>
    <w:rsid w:val="00A5322A"/>
    <w:rsid w:val="00A53765"/>
    <w:rsid w:val="00A53C3A"/>
    <w:rsid w:val="00A570B1"/>
    <w:rsid w:val="00A5725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807"/>
    <w:rsid w:val="00A77EC4"/>
    <w:rsid w:val="00A86371"/>
    <w:rsid w:val="00A91BA7"/>
    <w:rsid w:val="00A92879"/>
    <w:rsid w:val="00A9442A"/>
    <w:rsid w:val="00A95977"/>
    <w:rsid w:val="00AA016F"/>
    <w:rsid w:val="00AA0E26"/>
    <w:rsid w:val="00AA1ED6"/>
    <w:rsid w:val="00AA1FE9"/>
    <w:rsid w:val="00AA51D6"/>
    <w:rsid w:val="00AA5980"/>
    <w:rsid w:val="00AB0BC8"/>
    <w:rsid w:val="00AB11CA"/>
    <w:rsid w:val="00AB14D9"/>
    <w:rsid w:val="00AB3074"/>
    <w:rsid w:val="00AB4AB8"/>
    <w:rsid w:val="00AB655E"/>
    <w:rsid w:val="00AB725A"/>
    <w:rsid w:val="00AC007F"/>
    <w:rsid w:val="00AC02C0"/>
    <w:rsid w:val="00AC17EC"/>
    <w:rsid w:val="00AC2ECD"/>
    <w:rsid w:val="00AC3119"/>
    <w:rsid w:val="00AC4556"/>
    <w:rsid w:val="00AC49FB"/>
    <w:rsid w:val="00AC5A10"/>
    <w:rsid w:val="00AC7C50"/>
    <w:rsid w:val="00AD008F"/>
    <w:rsid w:val="00AD0AA3"/>
    <w:rsid w:val="00AD1FFB"/>
    <w:rsid w:val="00AD2ED0"/>
    <w:rsid w:val="00AD3F94"/>
    <w:rsid w:val="00AD4A5A"/>
    <w:rsid w:val="00AE27AC"/>
    <w:rsid w:val="00AE2F94"/>
    <w:rsid w:val="00AE40E0"/>
    <w:rsid w:val="00AE44AE"/>
    <w:rsid w:val="00AE4DBA"/>
    <w:rsid w:val="00AE4F07"/>
    <w:rsid w:val="00AF1C5D"/>
    <w:rsid w:val="00AF2665"/>
    <w:rsid w:val="00AF42D7"/>
    <w:rsid w:val="00B006FE"/>
    <w:rsid w:val="00B007CB"/>
    <w:rsid w:val="00B02AA9"/>
    <w:rsid w:val="00B02FA3"/>
    <w:rsid w:val="00B0347A"/>
    <w:rsid w:val="00B05084"/>
    <w:rsid w:val="00B12E60"/>
    <w:rsid w:val="00B14377"/>
    <w:rsid w:val="00B157F9"/>
    <w:rsid w:val="00B15A3A"/>
    <w:rsid w:val="00B163F2"/>
    <w:rsid w:val="00B16738"/>
    <w:rsid w:val="00B17188"/>
    <w:rsid w:val="00B172DD"/>
    <w:rsid w:val="00B2005A"/>
    <w:rsid w:val="00B20256"/>
    <w:rsid w:val="00B20D09"/>
    <w:rsid w:val="00B21103"/>
    <w:rsid w:val="00B252CF"/>
    <w:rsid w:val="00B2763F"/>
    <w:rsid w:val="00B27AAC"/>
    <w:rsid w:val="00B30929"/>
    <w:rsid w:val="00B349BF"/>
    <w:rsid w:val="00B372AA"/>
    <w:rsid w:val="00B40445"/>
    <w:rsid w:val="00B409E0"/>
    <w:rsid w:val="00B40AD4"/>
    <w:rsid w:val="00B41888"/>
    <w:rsid w:val="00B4299E"/>
    <w:rsid w:val="00B44460"/>
    <w:rsid w:val="00B45A52"/>
    <w:rsid w:val="00B46175"/>
    <w:rsid w:val="00B51868"/>
    <w:rsid w:val="00B548B7"/>
    <w:rsid w:val="00B555E6"/>
    <w:rsid w:val="00B616E5"/>
    <w:rsid w:val="00B664C7"/>
    <w:rsid w:val="00B67ED1"/>
    <w:rsid w:val="00B713D8"/>
    <w:rsid w:val="00B71DFE"/>
    <w:rsid w:val="00B72AC0"/>
    <w:rsid w:val="00B739F6"/>
    <w:rsid w:val="00B767FD"/>
    <w:rsid w:val="00B77F53"/>
    <w:rsid w:val="00B80634"/>
    <w:rsid w:val="00B81A6C"/>
    <w:rsid w:val="00B8227B"/>
    <w:rsid w:val="00B839E7"/>
    <w:rsid w:val="00B85DE5"/>
    <w:rsid w:val="00B87BA6"/>
    <w:rsid w:val="00B90F73"/>
    <w:rsid w:val="00B93B59"/>
    <w:rsid w:val="00B9406A"/>
    <w:rsid w:val="00B9432F"/>
    <w:rsid w:val="00B94BAF"/>
    <w:rsid w:val="00BA2280"/>
    <w:rsid w:val="00BA2A08"/>
    <w:rsid w:val="00BA56D2"/>
    <w:rsid w:val="00BA76E0"/>
    <w:rsid w:val="00BA7AF1"/>
    <w:rsid w:val="00BB08FE"/>
    <w:rsid w:val="00BB1D64"/>
    <w:rsid w:val="00BB2A25"/>
    <w:rsid w:val="00BB4668"/>
    <w:rsid w:val="00BB51E9"/>
    <w:rsid w:val="00BC0FDC"/>
    <w:rsid w:val="00BC255C"/>
    <w:rsid w:val="00BC3053"/>
    <w:rsid w:val="00BC4D2E"/>
    <w:rsid w:val="00BC5D20"/>
    <w:rsid w:val="00BD18E0"/>
    <w:rsid w:val="00BD32B8"/>
    <w:rsid w:val="00BD4238"/>
    <w:rsid w:val="00BD48AC"/>
    <w:rsid w:val="00BD4F1F"/>
    <w:rsid w:val="00BD5A00"/>
    <w:rsid w:val="00BD5F1A"/>
    <w:rsid w:val="00BD630D"/>
    <w:rsid w:val="00BD7686"/>
    <w:rsid w:val="00BE1234"/>
    <w:rsid w:val="00BE19C8"/>
    <w:rsid w:val="00BE28A0"/>
    <w:rsid w:val="00BE2FA6"/>
    <w:rsid w:val="00BE333F"/>
    <w:rsid w:val="00BE48C6"/>
    <w:rsid w:val="00BE4FD7"/>
    <w:rsid w:val="00BE7406"/>
    <w:rsid w:val="00BE7603"/>
    <w:rsid w:val="00BF13E0"/>
    <w:rsid w:val="00BF318D"/>
    <w:rsid w:val="00BF3279"/>
    <w:rsid w:val="00BF4233"/>
    <w:rsid w:val="00BF74C7"/>
    <w:rsid w:val="00C015F1"/>
    <w:rsid w:val="00C01F33"/>
    <w:rsid w:val="00C02CC6"/>
    <w:rsid w:val="00C03662"/>
    <w:rsid w:val="00C040F7"/>
    <w:rsid w:val="00C044AB"/>
    <w:rsid w:val="00C050C0"/>
    <w:rsid w:val="00C05706"/>
    <w:rsid w:val="00C05DDF"/>
    <w:rsid w:val="00C07377"/>
    <w:rsid w:val="00C10478"/>
    <w:rsid w:val="00C12107"/>
    <w:rsid w:val="00C12E95"/>
    <w:rsid w:val="00C145BF"/>
    <w:rsid w:val="00C148AD"/>
    <w:rsid w:val="00C14D4B"/>
    <w:rsid w:val="00C154BB"/>
    <w:rsid w:val="00C16FF1"/>
    <w:rsid w:val="00C21142"/>
    <w:rsid w:val="00C23FA3"/>
    <w:rsid w:val="00C279B5"/>
    <w:rsid w:val="00C27C45"/>
    <w:rsid w:val="00C3617D"/>
    <w:rsid w:val="00C3719D"/>
    <w:rsid w:val="00C37CB2"/>
    <w:rsid w:val="00C4629E"/>
    <w:rsid w:val="00C46F39"/>
    <w:rsid w:val="00C473A5"/>
    <w:rsid w:val="00C52A2C"/>
    <w:rsid w:val="00C54995"/>
    <w:rsid w:val="00C54D41"/>
    <w:rsid w:val="00C553C0"/>
    <w:rsid w:val="00C60783"/>
    <w:rsid w:val="00C6393A"/>
    <w:rsid w:val="00C64672"/>
    <w:rsid w:val="00C65C39"/>
    <w:rsid w:val="00C70697"/>
    <w:rsid w:val="00C72093"/>
    <w:rsid w:val="00C72794"/>
    <w:rsid w:val="00C72EF4"/>
    <w:rsid w:val="00C744FE"/>
    <w:rsid w:val="00C75D2F"/>
    <w:rsid w:val="00C7634F"/>
    <w:rsid w:val="00C76576"/>
    <w:rsid w:val="00C767BE"/>
    <w:rsid w:val="00C76E3C"/>
    <w:rsid w:val="00C81568"/>
    <w:rsid w:val="00C83BCA"/>
    <w:rsid w:val="00C865F3"/>
    <w:rsid w:val="00C9027A"/>
    <w:rsid w:val="00C9068E"/>
    <w:rsid w:val="00C9309E"/>
    <w:rsid w:val="00C93814"/>
    <w:rsid w:val="00C93C4B"/>
    <w:rsid w:val="00C944AB"/>
    <w:rsid w:val="00C94985"/>
    <w:rsid w:val="00C95B40"/>
    <w:rsid w:val="00C96620"/>
    <w:rsid w:val="00CA1547"/>
    <w:rsid w:val="00CA1693"/>
    <w:rsid w:val="00CA1ED8"/>
    <w:rsid w:val="00CB0975"/>
    <w:rsid w:val="00CB11DE"/>
    <w:rsid w:val="00CB1F63"/>
    <w:rsid w:val="00CB3EB8"/>
    <w:rsid w:val="00CB4B3C"/>
    <w:rsid w:val="00CB7170"/>
    <w:rsid w:val="00CC040E"/>
    <w:rsid w:val="00CC0613"/>
    <w:rsid w:val="00CC111F"/>
    <w:rsid w:val="00CC2011"/>
    <w:rsid w:val="00CC21E8"/>
    <w:rsid w:val="00CC3EA0"/>
    <w:rsid w:val="00CC6C0E"/>
    <w:rsid w:val="00CC6CE5"/>
    <w:rsid w:val="00CC7B45"/>
    <w:rsid w:val="00CD1188"/>
    <w:rsid w:val="00CD2ED1"/>
    <w:rsid w:val="00CD337B"/>
    <w:rsid w:val="00CD4F24"/>
    <w:rsid w:val="00CE0424"/>
    <w:rsid w:val="00CE7561"/>
    <w:rsid w:val="00CF1354"/>
    <w:rsid w:val="00CF3B1F"/>
    <w:rsid w:val="00CF3BF6"/>
    <w:rsid w:val="00CF58E7"/>
    <w:rsid w:val="00CF625B"/>
    <w:rsid w:val="00CF687E"/>
    <w:rsid w:val="00D00B9C"/>
    <w:rsid w:val="00D00E80"/>
    <w:rsid w:val="00D0349B"/>
    <w:rsid w:val="00D06158"/>
    <w:rsid w:val="00D10249"/>
    <w:rsid w:val="00D115C3"/>
    <w:rsid w:val="00D11897"/>
    <w:rsid w:val="00D13135"/>
    <w:rsid w:val="00D13E4E"/>
    <w:rsid w:val="00D161D3"/>
    <w:rsid w:val="00D239A7"/>
    <w:rsid w:val="00D23F47"/>
    <w:rsid w:val="00D33E49"/>
    <w:rsid w:val="00D36E71"/>
    <w:rsid w:val="00D37D87"/>
    <w:rsid w:val="00D40B33"/>
    <w:rsid w:val="00D417A2"/>
    <w:rsid w:val="00D4318F"/>
    <w:rsid w:val="00D438BF"/>
    <w:rsid w:val="00D440F8"/>
    <w:rsid w:val="00D4627F"/>
    <w:rsid w:val="00D51997"/>
    <w:rsid w:val="00D546FF"/>
    <w:rsid w:val="00D55AD5"/>
    <w:rsid w:val="00D576CA"/>
    <w:rsid w:val="00D61AF5"/>
    <w:rsid w:val="00D6414D"/>
    <w:rsid w:val="00D652B5"/>
    <w:rsid w:val="00D654CE"/>
    <w:rsid w:val="00D66155"/>
    <w:rsid w:val="00D708B0"/>
    <w:rsid w:val="00D74DF4"/>
    <w:rsid w:val="00D77B1D"/>
    <w:rsid w:val="00D8021F"/>
    <w:rsid w:val="00D80383"/>
    <w:rsid w:val="00D8082C"/>
    <w:rsid w:val="00D823C6"/>
    <w:rsid w:val="00D8327F"/>
    <w:rsid w:val="00D86CA3"/>
    <w:rsid w:val="00D871CE"/>
    <w:rsid w:val="00D9196D"/>
    <w:rsid w:val="00D926EE"/>
    <w:rsid w:val="00D92982"/>
    <w:rsid w:val="00D94315"/>
    <w:rsid w:val="00D95545"/>
    <w:rsid w:val="00D9737B"/>
    <w:rsid w:val="00DA305E"/>
    <w:rsid w:val="00DA5417"/>
    <w:rsid w:val="00DA56E8"/>
    <w:rsid w:val="00DA7A3A"/>
    <w:rsid w:val="00DB0A9F"/>
    <w:rsid w:val="00DB20B4"/>
    <w:rsid w:val="00DB377D"/>
    <w:rsid w:val="00DB4DF0"/>
    <w:rsid w:val="00DB56FD"/>
    <w:rsid w:val="00DC2D36"/>
    <w:rsid w:val="00DC53EF"/>
    <w:rsid w:val="00DD5C3B"/>
    <w:rsid w:val="00DE5608"/>
    <w:rsid w:val="00DE58D0"/>
    <w:rsid w:val="00DE654F"/>
    <w:rsid w:val="00DF0B6E"/>
    <w:rsid w:val="00DF1522"/>
    <w:rsid w:val="00DF15E0"/>
    <w:rsid w:val="00DF1E00"/>
    <w:rsid w:val="00DF33DA"/>
    <w:rsid w:val="00DF37A0"/>
    <w:rsid w:val="00DF7C30"/>
    <w:rsid w:val="00E0746C"/>
    <w:rsid w:val="00E110E7"/>
    <w:rsid w:val="00E11B20"/>
    <w:rsid w:val="00E11B75"/>
    <w:rsid w:val="00E12E62"/>
    <w:rsid w:val="00E1630C"/>
    <w:rsid w:val="00E17A50"/>
    <w:rsid w:val="00E17FA2"/>
    <w:rsid w:val="00E22330"/>
    <w:rsid w:val="00E2471D"/>
    <w:rsid w:val="00E30B5A"/>
    <w:rsid w:val="00E3123D"/>
    <w:rsid w:val="00E31461"/>
    <w:rsid w:val="00E31D43"/>
    <w:rsid w:val="00E32608"/>
    <w:rsid w:val="00E33E8A"/>
    <w:rsid w:val="00E34188"/>
    <w:rsid w:val="00E34B6E"/>
    <w:rsid w:val="00E34D82"/>
    <w:rsid w:val="00E35559"/>
    <w:rsid w:val="00E3661D"/>
    <w:rsid w:val="00E3723A"/>
    <w:rsid w:val="00E37860"/>
    <w:rsid w:val="00E426E4"/>
    <w:rsid w:val="00E446F1"/>
    <w:rsid w:val="00E456B8"/>
    <w:rsid w:val="00E46592"/>
    <w:rsid w:val="00E46886"/>
    <w:rsid w:val="00E47AEF"/>
    <w:rsid w:val="00E53B75"/>
    <w:rsid w:val="00E54E3B"/>
    <w:rsid w:val="00E57565"/>
    <w:rsid w:val="00E60330"/>
    <w:rsid w:val="00E63838"/>
    <w:rsid w:val="00E64434"/>
    <w:rsid w:val="00E65829"/>
    <w:rsid w:val="00E67C51"/>
    <w:rsid w:val="00E72EFC"/>
    <w:rsid w:val="00E73815"/>
    <w:rsid w:val="00E758EC"/>
    <w:rsid w:val="00E772DF"/>
    <w:rsid w:val="00E808DD"/>
    <w:rsid w:val="00E80B71"/>
    <w:rsid w:val="00E8234C"/>
    <w:rsid w:val="00E83AA9"/>
    <w:rsid w:val="00E85928"/>
    <w:rsid w:val="00E85C0C"/>
    <w:rsid w:val="00E8741A"/>
    <w:rsid w:val="00E87822"/>
    <w:rsid w:val="00E87B46"/>
    <w:rsid w:val="00E90395"/>
    <w:rsid w:val="00E90E49"/>
    <w:rsid w:val="00E917F9"/>
    <w:rsid w:val="00E91CEF"/>
    <w:rsid w:val="00E9214F"/>
    <w:rsid w:val="00E9291C"/>
    <w:rsid w:val="00E93FFE"/>
    <w:rsid w:val="00E94F8A"/>
    <w:rsid w:val="00EA7A41"/>
    <w:rsid w:val="00EB077B"/>
    <w:rsid w:val="00EB35A5"/>
    <w:rsid w:val="00EB4EA2"/>
    <w:rsid w:val="00EC2355"/>
    <w:rsid w:val="00EC24D5"/>
    <w:rsid w:val="00EC27C6"/>
    <w:rsid w:val="00EC4207"/>
    <w:rsid w:val="00EC5653"/>
    <w:rsid w:val="00EC71CE"/>
    <w:rsid w:val="00ED1006"/>
    <w:rsid w:val="00ED15ED"/>
    <w:rsid w:val="00ED6C6B"/>
    <w:rsid w:val="00EE1BD9"/>
    <w:rsid w:val="00EE3B6E"/>
    <w:rsid w:val="00EE4934"/>
    <w:rsid w:val="00EF18FE"/>
    <w:rsid w:val="00EF2EA8"/>
    <w:rsid w:val="00EF5787"/>
    <w:rsid w:val="00EF60D0"/>
    <w:rsid w:val="00EF76FC"/>
    <w:rsid w:val="00F0528D"/>
    <w:rsid w:val="00F06C67"/>
    <w:rsid w:val="00F06DFD"/>
    <w:rsid w:val="00F071D1"/>
    <w:rsid w:val="00F07533"/>
    <w:rsid w:val="00F10629"/>
    <w:rsid w:val="00F10890"/>
    <w:rsid w:val="00F132AB"/>
    <w:rsid w:val="00F15FA5"/>
    <w:rsid w:val="00F202E7"/>
    <w:rsid w:val="00F209B7"/>
    <w:rsid w:val="00F210A8"/>
    <w:rsid w:val="00F2376F"/>
    <w:rsid w:val="00F24054"/>
    <w:rsid w:val="00F243D8"/>
    <w:rsid w:val="00F246D4"/>
    <w:rsid w:val="00F255A3"/>
    <w:rsid w:val="00F25C93"/>
    <w:rsid w:val="00F2679E"/>
    <w:rsid w:val="00F30055"/>
    <w:rsid w:val="00F302CB"/>
    <w:rsid w:val="00F30828"/>
    <w:rsid w:val="00F30CAE"/>
    <w:rsid w:val="00F313D6"/>
    <w:rsid w:val="00F36405"/>
    <w:rsid w:val="00F40F0C"/>
    <w:rsid w:val="00F43612"/>
    <w:rsid w:val="00F449AE"/>
    <w:rsid w:val="00F45CEB"/>
    <w:rsid w:val="00F45F2D"/>
    <w:rsid w:val="00F4766C"/>
    <w:rsid w:val="00F502A9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68A"/>
    <w:rsid w:val="00F670BA"/>
    <w:rsid w:val="00F67F53"/>
    <w:rsid w:val="00F703BE"/>
    <w:rsid w:val="00F71F69"/>
    <w:rsid w:val="00F72B72"/>
    <w:rsid w:val="00F74AA7"/>
    <w:rsid w:val="00F74BB9"/>
    <w:rsid w:val="00F75582"/>
    <w:rsid w:val="00F76EFA"/>
    <w:rsid w:val="00F804BE"/>
    <w:rsid w:val="00F817CE"/>
    <w:rsid w:val="00F83F06"/>
    <w:rsid w:val="00F84439"/>
    <w:rsid w:val="00F8456C"/>
    <w:rsid w:val="00F859D8"/>
    <w:rsid w:val="00F868F5"/>
    <w:rsid w:val="00F9056A"/>
    <w:rsid w:val="00F90F8D"/>
    <w:rsid w:val="00F91474"/>
    <w:rsid w:val="00F92782"/>
    <w:rsid w:val="00F93AA9"/>
    <w:rsid w:val="00F96985"/>
    <w:rsid w:val="00F9705C"/>
    <w:rsid w:val="00F97838"/>
    <w:rsid w:val="00FA2BB3"/>
    <w:rsid w:val="00FA503C"/>
    <w:rsid w:val="00FA5BEC"/>
    <w:rsid w:val="00FB28AA"/>
    <w:rsid w:val="00FB4C80"/>
    <w:rsid w:val="00FB6A6A"/>
    <w:rsid w:val="00FC193B"/>
    <w:rsid w:val="00FC7429"/>
    <w:rsid w:val="00FD07F6"/>
    <w:rsid w:val="00FD1EC8"/>
    <w:rsid w:val="00FD47ED"/>
    <w:rsid w:val="00FD74DB"/>
    <w:rsid w:val="00FD7660"/>
    <w:rsid w:val="00FE0655"/>
    <w:rsid w:val="00FE0D35"/>
    <w:rsid w:val="00FE2365"/>
    <w:rsid w:val="00FE37D7"/>
    <w:rsid w:val="00FE4448"/>
    <w:rsid w:val="00FE4C7B"/>
    <w:rsid w:val="00FE5136"/>
    <w:rsid w:val="00FE7336"/>
    <w:rsid w:val="00FE787C"/>
    <w:rsid w:val="00FE7F20"/>
    <w:rsid w:val="00FF155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2BEF58F2-B38E-449B-804F-647F37F5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3EB8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F06B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F06B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322E6"/>
    <w:rPr>
      <w:rFonts w:ascii="Arial" w:eastAsiaTheme="minorHAnsi" w:hAnsi="Arial" w:cstheme="minorBidi"/>
      <w:szCs w:val="2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670AF0"/>
    <w:rPr>
      <w:rFonts w:ascii="Arial" w:eastAsiaTheme="minorHAnsi" w:hAnsi="Arial" w:cstheme="minorBidi"/>
      <w:b/>
      <w:szCs w:val="22"/>
      <w:lang w:val="en-US"/>
    </w:rPr>
  </w:style>
  <w:style w:type="character" w:customStyle="1" w:styleId="B1Char">
    <w:name w:val="B1 Char"/>
    <w:locked/>
    <w:rsid w:val="007A18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Talha Khan</DisplayName>
        <AccountId>426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88D9FA-274B-4287-B9B1-E9CACD1831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3C9902-DB48-4FCD-BE77-8FCEE93FE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2823</TotalTime>
  <Pages>4</Pages>
  <Words>951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6457</CharactersWithSpaces>
  <SharedDoc>false</SharedDoc>
  <HLinks>
    <vt:vector size="72" baseType="variant"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_Toc54332136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_Toc54332135</vt:lpwstr>
      </vt:variant>
      <vt:variant>
        <vt:i4>1376311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_Toc54332134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_Toc54332133</vt:lpwstr>
      </vt:variant>
      <vt:variant>
        <vt:i4>1245239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_Toc54332132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_Toc54332131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_Toc54332128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_Toc54338693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_Toc54338692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_Toc54338690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_Toc54338689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_Toc54338688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Stefan Eriksson Löwenmark</cp:lastModifiedBy>
  <cp:revision>96</cp:revision>
  <cp:lastPrinted>2008-01-31T07:09:00Z</cp:lastPrinted>
  <dcterms:created xsi:type="dcterms:W3CDTF">2020-08-29T07:51:00Z</dcterms:created>
  <dcterms:modified xsi:type="dcterms:W3CDTF">2021-08-06T16:46:00Z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