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5F83F5" w14:textId="6EB89E44" w:rsidR="00695123" w:rsidRPr="00695123" w:rsidRDefault="00695123" w:rsidP="00695123">
      <w:pPr>
        <w:tabs>
          <w:tab w:val="center" w:pos="4536"/>
          <w:tab w:val="right" w:pos="8280"/>
          <w:tab w:val="right" w:pos="9639"/>
        </w:tabs>
        <w:ind w:right="2"/>
        <w:rPr>
          <w:b/>
          <w:bCs/>
          <w:sz w:val="28"/>
        </w:rPr>
      </w:pPr>
      <w:bookmarkStart w:id="0" w:name="_GoBack"/>
      <w:bookmarkEnd w:id="0"/>
      <w:r w:rsidRPr="00695123">
        <w:rPr>
          <w:b/>
          <w:bCs/>
          <w:sz w:val="28"/>
        </w:rPr>
        <w:t>3GPP TSG RAN WG1 #</w:t>
      </w:r>
      <w:r w:rsidR="0052566B" w:rsidRPr="00695123">
        <w:rPr>
          <w:b/>
          <w:bCs/>
          <w:sz w:val="28"/>
        </w:rPr>
        <w:t>10</w:t>
      </w:r>
      <w:r w:rsidR="0052566B">
        <w:rPr>
          <w:b/>
          <w:bCs/>
          <w:sz w:val="28"/>
        </w:rPr>
        <w:t>6</w:t>
      </w:r>
      <w:r w:rsidRPr="00695123">
        <w:rPr>
          <w:b/>
          <w:bCs/>
          <w:sz w:val="28"/>
        </w:rPr>
        <w:t>-e</w:t>
      </w:r>
      <w:r w:rsidRPr="00695123">
        <w:rPr>
          <w:b/>
          <w:bCs/>
          <w:sz w:val="28"/>
        </w:rPr>
        <w:tab/>
      </w:r>
      <w:r w:rsidRPr="00695123">
        <w:rPr>
          <w:b/>
          <w:bCs/>
          <w:sz w:val="28"/>
        </w:rPr>
        <w:tab/>
        <w:t xml:space="preserve">    </w:t>
      </w:r>
      <w:r w:rsidRPr="00695123">
        <w:rPr>
          <w:b/>
          <w:bCs/>
          <w:sz w:val="28"/>
        </w:rPr>
        <w:tab/>
        <w:t>R1-</w:t>
      </w:r>
      <w:r w:rsidR="0052566B" w:rsidRPr="00695123">
        <w:rPr>
          <w:b/>
          <w:bCs/>
          <w:sz w:val="28"/>
        </w:rPr>
        <w:t>2</w:t>
      </w:r>
      <w:r w:rsidR="0052566B">
        <w:rPr>
          <w:b/>
          <w:bCs/>
          <w:sz w:val="28"/>
        </w:rPr>
        <w:t>107510</w:t>
      </w:r>
    </w:p>
    <w:p w14:paraId="468022D7" w14:textId="43E2229A" w:rsidR="005C41F1" w:rsidRPr="00695123" w:rsidRDefault="00695123" w:rsidP="00695123">
      <w:pPr>
        <w:spacing w:afterLines="50" w:after="120"/>
        <w:ind w:left="1985" w:hanging="1985"/>
        <w:rPr>
          <w:b/>
          <w:sz w:val="28"/>
          <w:szCs w:val="28"/>
        </w:rPr>
      </w:pPr>
      <w:r w:rsidRPr="00695123">
        <w:rPr>
          <w:rFonts w:eastAsia="MS Mincho"/>
          <w:b/>
          <w:bCs/>
          <w:sz w:val="28"/>
          <w:lang w:eastAsia="ja-JP"/>
        </w:rPr>
        <w:t xml:space="preserve">e-Meeting, </w:t>
      </w:r>
      <w:r w:rsidR="00D43236" w:rsidRPr="00D43236">
        <w:rPr>
          <w:rFonts w:eastAsia="MS Mincho"/>
          <w:b/>
          <w:bCs/>
          <w:sz w:val="28"/>
          <w:lang w:eastAsia="ja-JP"/>
        </w:rPr>
        <w:t>August 16th – 27th, 2021</w:t>
      </w:r>
    </w:p>
    <w:p w14:paraId="301899BC" w14:textId="632A9573"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t>8.2</w:t>
      </w:r>
      <w:r w:rsidR="0050043D">
        <w:rPr>
          <w:b/>
          <w:sz w:val="28"/>
          <w:szCs w:val="28"/>
        </w:rPr>
        <w:t>.</w:t>
      </w:r>
      <w:r w:rsidR="00895F04">
        <w:rPr>
          <w:b/>
          <w:sz w:val="28"/>
          <w:szCs w:val="28"/>
        </w:rPr>
        <w:t>2</w:t>
      </w:r>
    </w:p>
    <w:p w14:paraId="3ACE8376" w14:textId="492643A2"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895F04" w:rsidRPr="00895F04">
        <w:rPr>
          <w:b/>
          <w:sz w:val="28"/>
          <w:szCs w:val="28"/>
        </w:rPr>
        <w:t>PDCCH monitoring enhancement for 52.6-71 GHz NR operation</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95231B"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02219E3F" w14:textId="6056E89E" w:rsidR="004E01EA" w:rsidRPr="0052558F" w:rsidRDefault="008640D4" w:rsidP="008640D4">
      <w:pPr>
        <w:rPr>
          <w:szCs w:val="22"/>
        </w:rPr>
      </w:pPr>
      <w:r>
        <w:t xml:space="preserve">It has been identified during the SI phase </w:t>
      </w:r>
      <w:r w:rsidR="007E3EFF">
        <w:t>[</w:t>
      </w:r>
      <w:r w:rsidR="00241ABA">
        <w:t>1</w:t>
      </w:r>
      <w:r w:rsidR="007E3EFF">
        <w:t xml:space="preserve">] </w:t>
      </w:r>
      <w:r>
        <w:t xml:space="preserve">that per slot monitoring under high SCSs, i.e., 480 kHz and 960 kHz, might not be a desirable configuration for UE due to the PDCCH monitoring power consumption from relatively short slot duration. Furthermore, under the assumption of per slot monitoring, the associated BD/CCE limit per slot for SCSs higher than 120 kHz might be limited to a small number to accommodate UE capability, e.g., </w:t>
      </w:r>
      <w:r w:rsidR="0037642B">
        <w:t xml:space="preserve">less than 16 </w:t>
      </w:r>
      <w:r>
        <w:t xml:space="preserve">CCE limit per slot, </w:t>
      </w:r>
      <w:r w:rsidR="00831D4E">
        <w:t>which leads to degraded</w:t>
      </w:r>
      <w:r>
        <w:t xml:space="preserve"> scheduling efficiency. To address these two PDCCH monitoring issues, it has been agreed in RAN #90e </w:t>
      </w:r>
      <w:r w:rsidR="007E3EFF">
        <w:t>[</w:t>
      </w:r>
      <w:r w:rsidR="00241ABA">
        <w:t>2</w:t>
      </w:r>
      <w:r w:rsidR="007E3EFF">
        <w:t>]</w:t>
      </w:r>
      <w:r w:rsidR="00241ABA">
        <w:t xml:space="preserve"> </w:t>
      </w:r>
      <w:r>
        <w:t xml:space="preserve">that UE PDCCH monitoring complexity is considered as one of the enhancements for operation in 52.6GHz to 71GHz </w:t>
      </w:r>
      <w:r w:rsidR="0037642B">
        <w:t xml:space="preserve">and </w:t>
      </w:r>
      <w:r>
        <w:t xml:space="preserve">the following aspects </w:t>
      </w:r>
      <w:r w:rsidR="0037642B">
        <w:t xml:space="preserve">are included in the scope </w:t>
      </w:r>
      <w:r>
        <w:t>for further discussion:</w:t>
      </w:r>
      <w:r w:rsidRPr="00B41743">
        <w:t xml:space="preserve"> blind detection/CCE budget, multi-slot span monitoring, potential limitation to UE PDCCH configuration and capability related to PDCCH monitoring</w:t>
      </w:r>
      <w:r>
        <w:t xml:space="preserve">. Our views on those aspects are as follows.   </w:t>
      </w:r>
    </w:p>
    <w:p w14:paraId="479BFEA9" w14:textId="165C02DE" w:rsidR="00494DC2" w:rsidRPr="007D4109" w:rsidRDefault="0095231B"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4DA10C97" w:rsidR="000D5DFA" w:rsidRDefault="000D5DFA" w:rsidP="008640D4">
      <w:pPr>
        <w:pStyle w:val="ListParagraph"/>
        <w:numPr>
          <w:ilvl w:val="0"/>
          <w:numId w:val="5"/>
        </w:numPr>
        <w:spacing w:beforeLines="50" w:before="120" w:afterLines="50" w:after="120"/>
        <w:contextualSpacing w:val="0"/>
        <w:outlineLvl w:val="0"/>
        <w:rPr>
          <w:b/>
          <w:sz w:val="28"/>
        </w:rPr>
      </w:pPr>
      <w:bookmarkStart w:id="1" w:name="_Ref494794648"/>
      <w:r w:rsidRPr="000D5DFA">
        <w:rPr>
          <w:b/>
          <w:sz w:val="28"/>
        </w:rPr>
        <w:t>PDCCH</w:t>
      </w:r>
      <w:r w:rsidR="00831D4E">
        <w:rPr>
          <w:b/>
          <w:sz w:val="28"/>
        </w:rPr>
        <w:t xml:space="preserve"> monitoring enhancement</w:t>
      </w:r>
    </w:p>
    <w:p w14:paraId="0CCED445" w14:textId="77777777" w:rsidR="00C32F15" w:rsidRDefault="00C32F15" w:rsidP="00E239E3"/>
    <w:p w14:paraId="196ED928" w14:textId="4CA14E7E" w:rsidR="00E16F16" w:rsidRDefault="00115BEE" w:rsidP="00E239E3">
      <w:r>
        <w:t>F</w:t>
      </w:r>
      <w:r w:rsidR="00303028">
        <w:t xml:space="preserve">or </w:t>
      </w:r>
      <w:r w:rsidR="00D33196">
        <w:t xml:space="preserve">new </w:t>
      </w:r>
      <w:r w:rsidR="00303028">
        <w:t xml:space="preserve">SCSs 480 kHz and 960kHz, </w:t>
      </w:r>
      <w:r w:rsidR="00611909">
        <w:t xml:space="preserve">three alternatives </w:t>
      </w:r>
      <w:r w:rsidR="005362A1">
        <w:t xml:space="preserve">of </w:t>
      </w:r>
      <w:r w:rsidR="00611909">
        <w:t xml:space="preserve">multi-slot monitoring frameworks have been </w:t>
      </w:r>
      <w:r w:rsidR="009B2BDC">
        <w:t>updated</w:t>
      </w:r>
      <w:r w:rsidR="00611909">
        <w:t xml:space="preserve"> </w:t>
      </w:r>
      <w:r w:rsidR="008A62F8">
        <w:t>in RAN1 #104</w:t>
      </w:r>
      <w:r w:rsidR="009B2BDC">
        <w:t>bis</w:t>
      </w:r>
      <w:r w:rsidR="00BB6824">
        <w:t>-</w:t>
      </w:r>
      <w:r w:rsidR="008A62F8">
        <w:t xml:space="preserve">e meeting </w:t>
      </w:r>
      <w:r w:rsidR="00611909">
        <w:t>for further discussion:</w:t>
      </w:r>
    </w:p>
    <w:p w14:paraId="67695946" w14:textId="77777777" w:rsidR="009B2BDC" w:rsidRPr="002C1E66" w:rsidRDefault="009B2BDC" w:rsidP="009B2BDC">
      <w:pPr>
        <w:pStyle w:val="ListParagraph"/>
        <w:numPr>
          <w:ilvl w:val="0"/>
          <w:numId w:val="48"/>
        </w:numPr>
        <w:snapToGrid w:val="0"/>
        <w:spacing w:line="259" w:lineRule="auto"/>
        <w:contextualSpacing w:val="0"/>
      </w:pPr>
      <w:r>
        <w:t xml:space="preserve">Alt 1: Use </w:t>
      </w:r>
      <w:r w:rsidRPr="002C1E66">
        <w:t xml:space="preserve">a fixed pattern of slot groups as the baseline to define the new capability. </w:t>
      </w:r>
    </w:p>
    <w:p w14:paraId="4F92BF27" w14:textId="77777777" w:rsidR="009B2BDC" w:rsidRPr="002C1E66" w:rsidRDefault="009B2BDC" w:rsidP="009B2BDC">
      <w:pPr>
        <w:pStyle w:val="ListParagraph"/>
        <w:numPr>
          <w:ilvl w:val="1"/>
          <w:numId w:val="48"/>
        </w:numPr>
        <w:snapToGrid w:val="0"/>
        <w:spacing w:line="259" w:lineRule="auto"/>
        <w:contextualSpacing w:val="0"/>
      </w:pPr>
      <w:r w:rsidRPr="002C1E66">
        <w:t>Each slot group consists of X slots</w:t>
      </w:r>
    </w:p>
    <w:p w14:paraId="4BBC1B27" w14:textId="77777777" w:rsidR="009B2BDC" w:rsidRPr="002C1E66" w:rsidRDefault="009B2BDC" w:rsidP="009B2BDC">
      <w:pPr>
        <w:pStyle w:val="ListParagraph"/>
        <w:numPr>
          <w:ilvl w:val="1"/>
          <w:numId w:val="48"/>
        </w:numPr>
        <w:snapToGrid w:val="0"/>
        <w:spacing w:line="259" w:lineRule="auto"/>
        <w:contextualSpacing w:val="0"/>
      </w:pPr>
      <w:r w:rsidRPr="002C1E66">
        <w:t>Slot groups are consecutive and non-overlapping</w:t>
      </w:r>
    </w:p>
    <w:p w14:paraId="0A6A74CC" w14:textId="77777777" w:rsidR="009B2BDC" w:rsidRPr="002C1E66" w:rsidRDefault="009B2BDC" w:rsidP="009B2BDC">
      <w:pPr>
        <w:pStyle w:val="ListParagraph"/>
        <w:numPr>
          <w:ilvl w:val="1"/>
          <w:numId w:val="48"/>
        </w:numPr>
        <w:snapToGrid w:val="0"/>
        <w:spacing w:line="259" w:lineRule="auto"/>
        <w:contextualSpacing w:val="0"/>
      </w:pPr>
      <w:r w:rsidRPr="002C1E66">
        <w:t>The capability indicates the BD/CCE budget within Y consecutive [symbols or slots] in each slot group separately</w:t>
      </w:r>
    </w:p>
    <w:p w14:paraId="310F707B" w14:textId="77777777" w:rsidR="009B2BDC" w:rsidRPr="002C1E66" w:rsidRDefault="009B2BDC" w:rsidP="009B2BDC">
      <w:pPr>
        <w:pStyle w:val="ListParagraph"/>
        <w:numPr>
          <w:ilvl w:val="1"/>
          <w:numId w:val="48"/>
        </w:numPr>
        <w:snapToGrid w:val="0"/>
        <w:spacing w:line="259" w:lineRule="auto"/>
        <w:contextualSpacing w:val="0"/>
      </w:pPr>
      <w:r w:rsidRPr="002C1E66">
        <w:t>FFS: Supported values/constraints of X and Y, e.g. Y&lt;=X, Y=X</w:t>
      </w:r>
    </w:p>
    <w:p w14:paraId="385AE544" w14:textId="77777777" w:rsidR="009B2BDC" w:rsidRPr="002C1E66" w:rsidRDefault="009B2BDC" w:rsidP="009B2BDC">
      <w:pPr>
        <w:pStyle w:val="ListParagraph"/>
        <w:numPr>
          <w:ilvl w:val="1"/>
          <w:numId w:val="48"/>
        </w:numPr>
        <w:snapToGrid w:val="0"/>
        <w:spacing w:line="259" w:lineRule="auto"/>
        <w:contextualSpacing w:val="0"/>
      </w:pPr>
      <w:r w:rsidRPr="002C1E66">
        <w:t>FFS: Restrictions on location of the Y [symbols or slots] within a slot group, e.g. the Y [symbols or slots] always start at the first slot within a slot group</w:t>
      </w:r>
    </w:p>
    <w:p w14:paraId="121A3F97"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w:t>
      </w:r>
      <w:r>
        <w:t>Further definition of capabilities</w:t>
      </w:r>
    </w:p>
    <w:p w14:paraId="14064E30" w14:textId="77777777" w:rsidR="009B2BDC" w:rsidRPr="002C1E66" w:rsidRDefault="009B2BDC" w:rsidP="009B2BDC">
      <w:pPr>
        <w:pStyle w:val="ListParagraph"/>
        <w:numPr>
          <w:ilvl w:val="0"/>
          <w:numId w:val="48"/>
        </w:numPr>
        <w:snapToGrid w:val="0"/>
        <w:spacing w:line="259" w:lineRule="auto"/>
        <w:contextualSpacing w:val="0"/>
      </w:pPr>
      <w:r w:rsidRPr="002C1E66">
        <w:t>Alt 2: Use an (X, Y) span as the baseline to define the new capability</w:t>
      </w:r>
    </w:p>
    <w:p w14:paraId="50F2421B" w14:textId="77777777" w:rsidR="009B2BDC" w:rsidRPr="002C1E66" w:rsidRDefault="009B2BDC" w:rsidP="009B2BDC">
      <w:pPr>
        <w:pStyle w:val="ListParagraph"/>
        <w:numPr>
          <w:ilvl w:val="1"/>
          <w:numId w:val="48"/>
        </w:numPr>
        <w:snapToGrid w:val="0"/>
        <w:spacing w:line="259" w:lineRule="auto"/>
        <w:contextualSpacing w:val="0"/>
      </w:pPr>
      <w:r w:rsidRPr="002C1E66">
        <w:t>X is the minimum time separation between the start of two consecutive spans</w:t>
      </w:r>
    </w:p>
    <w:p w14:paraId="78DEE843" w14:textId="77777777" w:rsidR="009B2BDC" w:rsidRPr="002C1E66" w:rsidRDefault="009B2BDC" w:rsidP="009B2BDC">
      <w:pPr>
        <w:pStyle w:val="ListParagraph"/>
        <w:numPr>
          <w:ilvl w:val="1"/>
          <w:numId w:val="48"/>
        </w:numPr>
        <w:snapToGrid w:val="0"/>
        <w:spacing w:line="259" w:lineRule="auto"/>
        <w:contextualSpacing w:val="0"/>
      </w:pPr>
      <w:r w:rsidRPr="002C1E66">
        <w:t xml:space="preserve">The capability indicates the BD/CCE budget within a span of at most Y consecutive [symbols or slots] </w:t>
      </w:r>
    </w:p>
    <w:p w14:paraId="1A81461B" w14:textId="77777777" w:rsidR="009B2BDC" w:rsidRPr="002C1E66" w:rsidRDefault="009B2BDC" w:rsidP="009B2BDC">
      <w:pPr>
        <w:pStyle w:val="ListParagraph"/>
        <w:numPr>
          <w:ilvl w:val="1"/>
          <w:numId w:val="48"/>
        </w:numPr>
        <w:snapToGrid w:val="0"/>
        <w:spacing w:line="259" w:lineRule="auto"/>
        <w:contextualSpacing w:val="0"/>
      </w:pPr>
      <w:r w:rsidRPr="002C1E66">
        <w:t>Y &lt;= X</w:t>
      </w:r>
    </w:p>
    <w:p w14:paraId="6C6B45B5"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Exact values of X and Y and units in which they are defined (e.g., symbols, slots), including cases where a span is longer than one slot or crosses a slot boundary. </w:t>
      </w:r>
    </w:p>
    <w:p w14:paraId="6A5E3107" w14:textId="77777777" w:rsidR="009B2BDC" w:rsidRDefault="009B2BDC" w:rsidP="009B2BDC">
      <w:pPr>
        <w:pStyle w:val="ListParagraph"/>
        <w:numPr>
          <w:ilvl w:val="1"/>
          <w:numId w:val="48"/>
        </w:numPr>
        <w:snapToGrid w:val="0"/>
        <w:spacing w:line="259" w:lineRule="auto"/>
        <w:contextualSpacing w:val="0"/>
      </w:pPr>
      <w:r w:rsidRPr="002C1E66">
        <w:t xml:space="preserve">FFS: What is a span pattern, how it is defined and whether it is supported. If it is supported, whether number of slots within which the span pattern is repeated is needed, and if needed, the value of the number of slots. </w:t>
      </w:r>
    </w:p>
    <w:p w14:paraId="3A8BD88C"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w:t>
      </w:r>
      <w:r>
        <w:t>Further definition of capabilities</w:t>
      </w:r>
    </w:p>
    <w:p w14:paraId="21FF4821" w14:textId="77777777" w:rsidR="009B2BDC" w:rsidRPr="002C1E66" w:rsidRDefault="009B2BDC" w:rsidP="009B2BDC">
      <w:pPr>
        <w:pStyle w:val="ListParagraph"/>
        <w:numPr>
          <w:ilvl w:val="0"/>
          <w:numId w:val="48"/>
        </w:numPr>
        <w:snapToGrid w:val="0"/>
        <w:spacing w:line="259" w:lineRule="auto"/>
        <w:contextualSpacing w:val="0"/>
      </w:pPr>
      <w:r w:rsidRPr="002C1E66">
        <w:lastRenderedPageBreak/>
        <w:t xml:space="preserve">Alt 3: Use a sliding window of X slots as the baseline to define the new capability. </w:t>
      </w:r>
    </w:p>
    <w:p w14:paraId="597EE896" w14:textId="77777777" w:rsidR="009B2BDC" w:rsidRPr="002C1E66" w:rsidRDefault="009B2BDC" w:rsidP="009B2BDC">
      <w:pPr>
        <w:pStyle w:val="ListParagraph"/>
        <w:numPr>
          <w:ilvl w:val="1"/>
          <w:numId w:val="48"/>
        </w:numPr>
        <w:snapToGrid w:val="0"/>
        <w:spacing w:line="259" w:lineRule="auto"/>
        <w:contextualSpacing w:val="0"/>
      </w:pPr>
      <w:r w:rsidRPr="002C1E66">
        <w:t>The capability indicates the BD/CCE budget within the sliding window</w:t>
      </w:r>
    </w:p>
    <w:p w14:paraId="74ADB115" w14:textId="77777777" w:rsidR="009B2BDC" w:rsidRPr="002C1E66" w:rsidRDefault="009B2BDC" w:rsidP="009B2BDC">
      <w:pPr>
        <w:pStyle w:val="ListParagraph"/>
        <w:numPr>
          <w:ilvl w:val="1"/>
          <w:numId w:val="48"/>
        </w:numPr>
        <w:snapToGrid w:val="0"/>
        <w:spacing w:line="259" w:lineRule="auto"/>
        <w:contextualSpacing w:val="0"/>
      </w:pPr>
      <w:r w:rsidRPr="002C1E66">
        <w:t xml:space="preserve"> The sliding unit of the sliding window is [1] slot.</w:t>
      </w:r>
    </w:p>
    <w:p w14:paraId="466F76BA" w14:textId="77777777" w:rsidR="009B2BDC" w:rsidRPr="002C1E66" w:rsidRDefault="009B2BDC" w:rsidP="009B2BDC">
      <w:pPr>
        <w:pStyle w:val="ListParagraph"/>
        <w:numPr>
          <w:ilvl w:val="1"/>
          <w:numId w:val="48"/>
        </w:numPr>
        <w:snapToGrid w:val="0"/>
        <w:spacing w:line="259" w:lineRule="auto"/>
        <w:contextualSpacing w:val="0"/>
      </w:pPr>
      <w:r w:rsidRPr="002C1E66">
        <w:t xml:space="preserve">FFS: </w:t>
      </w:r>
      <w:r>
        <w:t>Further definition of capabilities</w:t>
      </w:r>
    </w:p>
    <w:p w14:paraId="5204A19D" w14:textId="77777777" w:rsidR="00E16F16" w:rsidRDefault="00E16F16" w:rsidP="00E16F16">
      <w:pPr>
        <w:pStyle w:val="ListParagraph"/>
        <w:numPr>
          <w:ilvl w:val="0"/>
          <w:numId w:val="48"/>
        </w:numPr>
        <w:snapToGrid w:val="0"/>
        <w:spacing w:line="259" w:lineRule="auto"/>
        <w:contextualSpacing w:val="0"/>
      </w:pPr>
      <w:r>
        <w:t>Specific numbers for X, Y and N may depend on UE capability and gNB configuration</w:t>
      </w:r>
    </w:p>
    <w:p w14:paraId="67B2450F" w14:textId="37E85092" w:rsidR="00C41C39" w:rsidRDefault="00611909" w:rsidP="00DE403B">
      <w:r>
        <w:t xml:space="preserve"> </w:t>
      </w:r>
    </w:p>
    <w:p w14:paraId="33C58F1B" w14:textId="25B0495C" w:rsidR="00DE403B" w:rsidRDefault="00DE403B" w:rsidP="00DE403B">
      <w:r>
        <w:t xml:space="preserve">Alt1 provides a simple monitoring behavior within each </w:t>
      </w:r>
      <w:r w:rsidR="009B2BDC">
        <w:t xml:space="preserve">X </w:t>
      </w:r>
      <w:r>
        <w:t>slot</w:t>
      </w:r>
      <w:r w:rsidR="008A62F8">
        <w:t>s</w:t>
      </w:r>
      <w:r w:rsidR="009B2BDC">
        <w:t>/symbols</w:t>
      </w:r>
      <w:r>
        <w:t xml:space="preserve"> and achieves multi-slot monitoring by </w:t>
      </w:r>
      <w:r w:rsidR="009B2BDC">
        <w:t xml:space="preserve">conducting </w:t>
      </w:r>
      <w:r>
        <w:t xml:space="preserve">the PDCCH monitoring in a fixed and small portion of the </w:t>
      </w:r>
      <w:r w:rsidR="009B2BDC">
        <w:t>X</w:t>
      </w:r>
      <w:r>
        <w:t xml:space="preserve"> slots</w:t>
      </w:r>
      <w:r w:rsidR="009B2BDC">
        <w:t>/symbols</w:t>
      </w:r>
      <w:r>
        <w:t xml:space="preserve">. </w:t>
      </w:r>
      <w:r w:rsidR="009B2BDC">
        <w:t xml:space="preserve">Furthermore, Alt1 limits the monitoring pattern in predetermined locations. On the other hand, monitoring pattern can be more flexible in Alt2 </w:t>
      </w:r>
      <w:r w:rsidR="005362A1">
        <w:t>where</w:t>
      </w:r>
      <w:r w:rsidR="009B2BDC">
        <w:t xml:space="preserve"> </w:t>
      </w:r>
      <w:r>
        <w:t>Alt2 regulates the dur</w:t>
      </w:r>
      <w:r w:rsidR="008A62F8">
        <w:t>ation</w:t>
      </w:r>
      <w:r>
        <w:t xml:space="preserve"> of each PDCCH monitoring to be within Y unit of time and achieve</w:t>
      </w:r>
      <w:r w:rsidR="006B65AC">
        <w:t>s</w:t>
      </w:r>
      <w:r>
        <w:t xml:space="preserve"> multi-slot monitoring by configuring no PDCCH monitoring in the rest of X-Y units of time</w:t>
      </w:r>
      <w:r w:rsidR="005362A1">
        <w:t>.</w:t>
      </w:r>
      <w:r>
        <w:t xml:space="preserve"> </w:t>
      </w:r>
      <w:r w:rsidR="005362A1">
        <w:t>In fact, Alt2</w:t>
      </w:r>
      <w:r>
        <w:t xml:space="preserve"> extends the span </w:t>
      </w:r>
      <w:r w:rsidR="006B65AC">
        <w:t xml:space="preserve">notion </w:t>
      </w:r>
      <w:r>
        <w:t>defi</w:t>
      </w:r>
      <w:r w:rsidR="008A62F8">
        <w:t>ned</w:t>
      </w:r>
      <w:r>
        <w:t xml:space="preserve"> in Rel-16 URLLC.</w:t>
      </w:r>
      <w:r w:rsidR="009B2BDC">
        <w:t xml:space="preserve"> As for the Alt3, it </w:t>
      </w:r>
      <w:r w:rsidR="005362A1">
        <w:t xml:space="preserve">is </w:t>
      </w:r>
      <w:r w:rsidR="009B2BDC">
        <w:t xml:space="preserve">motivated by providing scheduling flexibility for gNB based on the UE capability </w:t>
      </w:r>
      <w:r w:rsidR="005362A1">
        <w:t>of</w:t>
      </w:r>
      <w:r w:rsidR="009B2BDC">
        <w:t xml:space="preserve"> BD/CCE limit within a moving window of time, which can resolve the back-to-back PDCCH monitoring at UE side</w:t>
      </w:r>
      <w:r w:rsidR="0016444C">
        <w:t xml:space="preserve"> from the gNB configuration</w:t>
      </w:r>
      <w:r w:rsidR="009B2BDC">
        <w:t>.</w:t>
      </w:r>
      <w:r w:rsidR="0016444C">
        <w:t xml:space="preserve"> However, during the discussion in RAN1 #104bis</w:t>
      </w:r>
      <w:r w:rsidR="00BB6824">
        <w:t>-</w:t>
      </w:r>
      <w:r w:rsidR="0016444C">
        <w:t>e meeting, it has been identified that the benefit of Alt3 on avoiding back-to-back PDCCH monitoring can</w:t>
      </w:r>
      <w:r w:rsidR="009B2BDC">
        <w:t xml:space="preserve"> </w:t>
      </w:r>
      <w:r w:rsidR="0016444C">
        <w:t xml:space="preserve">be achieved by </w:t>
      </w:r>
      <w:r w:rsidR="005362A1">
        <w:t xml:space="preserve">restricting the monitoring pattern at the beginning of each slot group and by </w:t>
      </w:r>
      <w:r w:rsidR="0016444C">
        <w:t>properly design</w:t>
      </w:r>
      <w:r w:rsidR="005362A1">
        <w:t>ing</w:t>
      </w:r>
      <w:r w:rsidR="0016444C">
        <w:t xml:space="preserve"> (X,Y) values in Alt1 and Alt2. It has also been identified that Alt3 can lead to dynamic PDCCH monitoring dropping at UE side due to the moving window of checking BD/CCE limit. Therefore, we suggest to remove Alt3 from discussion and focus on the selection from Alt1 and Alt2 for the multi-slot PDCCH monitoring framework</w:t>
      </w:r>
      <w:r w:rsidR="009B2BDC">
        <w:t xml:space="preserve">  </w:t>
      </w:r>
    </w:p>
    <w:p w14:paraId="39B22FEF" w14:textId="77777777" w:rsidR="00C41C39" w:rsidRDefault="00C41C39" w:rsidP="00E239E3"/>
    <w:p w14:paraId="4A47D6B3" w14:textId="2913C6F6" w:rsidR="0016444C" w:rsidRDefault="0016444C" w:rsidP="0016444C">
      <w:pPr>
        <w:pStyle w:val="Caption"/>
      </w:pPr>
      <w:bookmarkStart w:id="2" w:name="_Ref78902220"/>
      <w:r>
        <w:t xml:space="preserve">Proposal </w:t>
      </w:r>
      <w:fldSimple w:instr=" SEQ Proposal \* ARABIC ">
        <w:r w:rsidR="00F25AF6">
          <w:rPr>
            <w:noProof/>
          </w:rPr>
          <w:t>1</w:t>
        </w:r>
      </w:fldSimple>
      <w:r>
        <w:t xml:space="preserve">: </w:t>
      </w:r>
      <w:r w:rsidR="0085176D">
        <w:t xml:space="preserve">For </w:t>
      </w:r>
      <w:r w:rsidR="00F61D7B">
        <w:t>m</w:t>
      </w:r>
      <w:r w:rsidR="0085176D">
        <w:t xml:space="preserve">ulti-slot PDCCH monitoring capability, </w:t>
      </w:r>
      <w:r w:rsidR="005A5A40">
        <w:t>remove</w:t>
      </w:r>
      <w:r w:rsidR="0085176D">
        <w:t xml:space="preserve"> Alt</w:t>
      </w:r>
      <w:r w:rsidR="005A5A40">
        <w:t>3</w:t>
      </w:r>
      <w:r w:rsidR="0085176D">
        <w:t xml:space="preserve"> </w:t>
      </w:r>
      <w:r w:rsidR="005A5A40">
        <w:t>from the discussion</w:t>
      </w:r>
      <w:r>
        <w:t>.</w:t>
      </w:r>
      <w:bookmarkEnd w:id="2"/>
      <w:r>
        <w:t xml:space="preserve"> </w:t>
      </w:r>
    </w:p>
    <w:p w14:paraId="605CBB66" w14:textId="77777777" w:rsidR="0016444C" w:rsidRDefault="0016444C" w:rsidP="00E239E3"/>
    <w:p w14:paraId="156A9653" w14:textId="1EC3154D" w:rsidR="005D7E2B" w:rsidRDefault="005D7E2B" w:rsidP="00E239E3">
      <w:r>
        <w:t>During the discussion in RAN1 #104</w:t>
      </w:r>
      <w:r w:rsidR="00BB6824">
        <w:t>bis-</w:t>
      </w:r>
      <w:r>
        <w:t xml:space="preserve">e meeting, the unit of monitoring pattern within each alternatives was discussed without any conclusions. For Alt1, the unit of the fixed pattern can be either symbol or slot, e.g., UE </w:t>
      </w:r>
      <w:r w:rsidR="008A62F8">
        <w:t xml:space="preserve">PDCCH </w:t>
      </w:r>
      <w:r>
        <w:t>monitor</w:t>
      </w:r>
      <w:r w:rsidR="008A62F8">
        <w:t>ing is confined within</w:t>
      </w:r>
      <w:r>
        <w:t xml:space="preserve"> the first </w:t>
      </w:r>
      <w:r w:rsidR="0085176D">
        <w:t xml:space="preserve">Y </w:t>
      </w:r>
      <w:r>
        <w:t xml:space="preserve">symbols or first </w:t>
      </w:r>
      <w:r w:rsidR="0085176D">
        <w:t xml:space="preserve">Y </w:t>
      </w:r>
      <w:r>
        <w:t xml:space="preserve">slots within each </w:t>
      </w:r>
      <w:r w:rsidR="0085176D">
        <w:t xml:space="preserve">X </w:t>
      </w:r>
      <w:r>
        <w:t xml:space="preserve">slots. </w:t>
      </w:r>
      <w:r w:rsidR="00A94F0D">
        <w:t xml:space="preserve">For Alt2, the unit of (X,Y) can also be either symbol, which follows the legacy span definition in Rel-16, or slots. If the unit of symbol is adopted in Alt1 and Alt2, then PDCCH monitoring </w:t>
      </w:r>
      <w:r w:rsidR="009F1EAB">
        <w:t>might</w:t>
      </w:r>
      <w:r w:rsidR="00A94F0D">
        <w:t xml:space="preserve"> concentrat</w:t>
      </w:r>
      <w:r w:rsidR="009F1EAB">
        <w:t>e</w:t>
      </w:r>
      <w:r w:rsidR="00A94F0D">
        <w:t xml:space="preserve"> in consecutive symbols </w:t>
      </w:r>
      <w:r w:rsidR="009F1EAB">
        <w:t>within and even across slots. In this case, the</w:t>
      </w:r>
      <w:r w:rsidR="00A94F0D">
        <w:t xml:space="preserve"> associated scheduling delay can be </w:t>
      </w:r>
      <w:r w:rsidR="009F1EAB">
        <w:t>impacted</w:t>
      </w:r>
      <w:r w:rsidR="00A94F0D">
        <w:t xml:space="preserve"> depending on the ratio of fixed pattern duration </w:t>
      </w:r>
      <w:r w:rsidR="0085176D">
        <w:t xml:space="preserve">Y </w:t>
      </w:r>
      <w:r w:rsidR="00A94F0D">
        <w:t xml:space="preserve">and </w:t>
      </w:r>
      <w:r w:rsidR="0085176D">
        <w:t>X</w:t>
      </w:r>
      <w:r w:rsidR="00A94F0D">
        <w:t xml:space="preserve"> slots in Alt1 </w:t>
      </w:r>
      <w:r w:rsidR="009F1EAB">
        <w:t>and</w:t>
      </w:r>
      <w:r w:rsidR="00A94F0D">
        <w:t xml:space="preserve"> the ratio of X and Y in Alt2. </w:t>
      </w:r>
      <w:r w:rsidR="00B66CD4">
        <w:t xml:space="preserve">On the other hand, if the unit of slot is adopted in Alt1 and Alt2, </w:t>
      </w:r>
      <w:r w:rsidR="009F1EAB">
        <w:t>i.e., the fixed pattern in Alt 1 indicates the slots for PDCCH monitoring and the unit of (X,Y) in Alt2 is slot</w:t>
      </w:r>
      <w:r w:rsidR="008A62F8">
        <w:t>,</w:t>
      </w:r>
      <w:r w:rsidR="009F1EAB">
        <w:t xml:space="preserve"> </w:t>
      </w:r>
      <w:r w:rsidR="00B66CD4">
        <w:t>PDCCH monitoring can be distributed into consecutive slots and the monitoring symbol</w:t>
      </w:r>
      <w:r w:rsidR="009F1EAB">
        <w:t>s</w:t>
      </w:r>
      <w:r w:rsidR="00B66CD4">
        <w:t xml:space="preserve"> within each slot</w:t>
      </w:r>
      <w:r w:rsidR="009F1EAB">
        <w:t xml:space="preserve"> can be further specified, which </w:t>
      </w:r>
      <w:r w:rsidR="00B66CD4">
        <w:t>can provide more flexibility on scheduling.</w:t>
      </w:r>
      <w:r w:rsidR="008A62F8">
        <w:t xml:space="preserve"> In fact, a monitoring pattern specified with the unit of symbol can also be described </w:t>
      </w:r>
      <w:r w:rsidR="006B65AC">
        <w:t>by</w:t>
      </w:r>
      <w:r w:rsidR="008A62F8">
        <w:t xml:space="preserve"> a monitoring pattern specified with the unit of slot with further details on the monitoring symbols </w:t>
      </w:r>
      <w:r w:rsidR="006B65AC">
        <w:t>in</w:t>
      </w:r>
      <w:r w:rsidR="008A62F8">
        <w:t xml:space="preserve"> the slots. </w:t>
      </w:r>
    </w:p>
    <w:p w14:paraId="2AD13D2D" w14:textId="77777777" w:rsidR="00B66CD4" w:rsidRDefault="00B66CD4" w:rsidP="00E239E3"/>
    <w:p w14:paraId="7511403C" w14:textId="3D14FD05" w:rsidR="00B66CD4" w:rsidRDefault="00B66CD4" w:rsidP="00B66CD4">
      <w:pPr>
        <w:pStyle w:val="Caption"/>
      </w:pPr>
      <w:bookmarkStart w:id="3" w:name="_Ref68510857"/>
      <w:r>
        <w:t xml:space="preserve">Proposal </w:t>
      </w:r>
      <w:r w:rsidR="0095231B">
        <w:fldChar w:fldCharType="begin"/>
      </w:r>
      <w:r w:rsidR="0095231B">
        <w:instrText xml:space="preserve"> SEQ Proposal \* ARABIC </w:instrText>
      </w:r>
      <w:r w:rsidR="0095231B">
        <w:fldChar w:fldCharType="separate"/>
      </w:r>
      <w:r w:rsidR="00F25AF6">
        <w:rPr>
          <w:noProof/>
        </w:rPr>
        <w:t>2</w:t>
      </w:r>
      <w:r w:rsidR="0095231B">
        <w:rPr>
          <w:noProof/>
        </w:rPr>
        <w:fldChar w:fldCharType="end"/>
      </w:r>
      <w:r>
        <w:t xml:space="preserve">: To achieve scheduling flexibility in multi-slot </w:t>
      </w:r>
      <w:r w:rsidR="00D57412">
        <w:t xml:space="preserve">PDCCH </w:t>
      </w:r>
      <w:r>
        <w:t xml:space="preserve">monitoring, the monitoring pattern should adopt slot as the basic unit for </w:t>
      </w:r>
      <w:r w:rsidR="00BB6824">
        <w:t xml:space="preserve">(X,Y) in </w:t>
      </w:r>
      <w:r>
        <w:t xml:space="preserve">both Alt1 and Alt2. </w:t>
      </w:r>
      <w:r w:rsidR="00C8297D">
        <w:t>The monitoring symbols within the slots can be further studied.</w:t>
      </w:r>
      <w:bookmarkEnd w:id="3"/>
      <w:r>
        <w:t xml:space="preserve"> </w:t>
      </w:r>
    </w:p>
    <w:p w14:paraId="3824C11D" w14:textId="77777777" w:rsidR="00B66CD4" w:rsidRDefault="00B66CD4" w:rsidP="00E239E3"/>
    <w:p w14:paraId="4E7EC03B" w14:textId="3D5B2763" w:rsidR="008D7224" w:rsidRDefault="00821ADC" w:rsidP="00E239E3">
      <w:r>
        <w:t>Regarding the candidate values of (X,Y) in Alt1 and Alt2, there was a discussion in RAN1 #104bis</w:t>
      </w:r>
      <w:r w:rsidR="00BB6824">
        <w:t>-</w:t>
      </w:r>
      <w:r>
        <w:t>e meeting on the range of X. In particular, {1, 2, 4} were discussed for 480kHz and {1, 2, 4, 8} were discussed for 960kHz. In our view, at least X=</w:t>
      </w:r>
      <w:r w:rsidR="008D7224">
        <w:t>4</w:t>
      </w:r>
      <w:r>
        <w:t xml:space="preserve"> slots </w:t>
      </w:r>
      <w:r w:rsidR="008D7224">
        <w:t xml:space="preserve">and X=8 slots </w:t>
      </w:r>
      <w:r>
        <w:t>should be supported for</w:t>
      </w:r>
      <w:r w:rsidR="008D7224">
        <w:t xml:space="preserve"> multi-slot PDCCH monitoring in</w:t>
      </w:r>
      <w:r>
        <w:t xml:space="preserve"> 480 kHz and 960kHz</w:t>
      </w:r>
      <w:r w:rsidR="008D7224">
        <w:t>, respectively,</w:t>
      </w:r>
      <w:r>
        <w:t xml:space="preserve"> </w:t>
      </w:r>
      <w:r w:rsidR="008D7224">
        <w:t xml:space="preserve">to achieve </w:t>
      </w:r>
      <w:r w:rsidR="00A35A06">
        <w:t xml:space="preserve">PDCCH monitoring </w:t>
      </w:r>
      <w:r w:rsidR="008D7224">
        <w:t xml:space="preserve">power saving. For supporting X=8 slots in 480kHz multi-slot PDCCH monitoring, the decision should </w:t>
      </w:r>
      <w:r w:rsidR="00A35A06">
        <w:t>acknowledge</w:t>
      </w:r>
      <w:r w:rsidR="008D7224">
        <w:t xml:space="preserve"> the discussion outcome on the maximum number of scheduled PDSCHs in a single DCI under 480kHz. For the same reason of UE power saving, at least Y=1 should be supported. For other values of (X,Y), we </w:t>
      </w:r>
      <w:r w:rsidR="008D7224">
        <w:lastRenderedPageBreak/>
        <w:t xml:space="preserve">prefer to have an UE capability to address the </w:t>
      </w:r>
      <w:r w:rsidR="00A35A06">
        <w:t xml:space="preserve">trade-off between </w:t>
      </w:r>
      <w:r w:rsidR="008D7224">
        <w:t>UE implementation complexity and gNB scheduling flexibility.</w:t>
      </w:r>
    </w:p>
    <w:p w14:paraId="1E1657FE" w14:textId="77777777" w:rsidR="008D7224" w:rsidRDefault="008D7224" w:rsidP="00E239E3"/>
    <w:p w14:paraId="42460A02" w14:textId="235FADB0" w:rsidR="008D7224" w:rsidRDefault="008D7224" w:rsidP="008D7224">
      <w:pPr>
        <w:pStyle w:val="Caption"/>
      </w:pPr>
      <w:r>
        <w:t xml:space="preserve">  </w:t>
      </w:r>
      <w:bookmarkStart w:id="4" w:name="_Ref78902233"/>
      <w:r>
        <w:t xml:space="preserve">Proposal </w:t>
      </w:r>
      <w:fldSimple w:instr=" SEQ Proposal \* ARABIC ">
        <w:r w:rsidR="00F25AF6">
          <w:rPr>
            <w:noProof/>
          </w:rPr>
          <w:t>3</w:t>
        </w:r>
      </w:fldSimple>
      <w:r>
        <w:t xml:space="preserve">: To achieve UE power saving in multi-slot monitoring, at least (X=4 slots, Y=1 slot) and (X=8 slots, Y=1 slot) should be supported for multi-slot PDCCH monitoring in 480 kHz and 960kHz, respectively, </w:t>
      </w:r>
      <w:r w:rsidR="00A35A06">
        <w:t>in</w:t>
      </w:r>
      <w:r>
        <w:t xml:space="preserve"> both Alt1 and Alt2. For other pairs of (X,Y),</w:t>
      </w:r>
      <w:r w:rsidRPr="008D7224">
        <w:t xml:space="preserve"> </w:t>
      </w:r>
      <w:r>
        <w:t>if needed, optional UE capability should be introduced.</w:t>
      </w:r>
      <w:bookmarkEnd w:id="4"/>
      <w:r>
        <w:t xml:space="preserve"> </w:t>
      </w:r>
    </w:p>
    <w:p w14:paraId="2F96E1A1" w14:textId="6FA167C1" w:rsidR="00A94F0D" w:rsidRDefault="00A94F0D" w:rsidP="00E239E3"/>
    <w:p w14:paraId="1117EF95" w14:textId="77777777" w:rsidR="00821ADC" w:rsidRDefault="00821ADC" w:rsidP="00E239E3"/>
    <w:p w14:paraId="2CDF140C" w14:textId="766B707E" w:rsidR="00DC44F8" w:rsidRDefault="00C41C39" w:rsidP="00E239E3">
      <w:r>
        <w:t xml:space="preserve">Although many details are not specified yet in those alternatives, there </w:t>
      </w:r>
      <w:r w:rsidR="00484723">
        <w:t>can be</w:t>
      </w:r>
      <w:r>
        <w:t xml:space="preserve"> some shared design concepts between Alt1 and Alt2 when </w:t>
      </w:r>
      <w:r w:rsidR="00484723">
        <w:t xml:space="preserve">the fixed pattern in Alt 1 indicates the slots for PDCCH monitoring and the unit of (X,Y) in Alt2 is slot. For example, if the fixed pattern in Alt1 indicates the first </w:t>
      </w:r>
      <w:r w:rsidR="0085176D">
        <w:t xml:space="preserve">Y=1 </w:t>
      </w:r>
      <w:r w:rsidR="00484723">
        <w:t xml:space="preserve">slot within every </w:t>
      </w:r>
      <w:r w:rsidR="0085176D">
        <w:t>X</w:t>
      </w:r>
      <w:r w:rsidR="00C8297D">
        <w:t>=4</w:t>
      </w:r>
      <w:r w:rsidR="00484723">
        <w:t xml:space="preserve"> slots is </w:t>
      </w:r>
      <w:r w:rsidR="0085176D">
        <w:t xml:space="preserve">configured </w:t>
      </w:r>
      <w:r w:rsidR="00484723">
        <w:t xml:space="preserve">for PDCCH monitoring, then the resulting monitoring pattern satisfies the (X=4, Y=1) monitoring </w:t>
      </w:r>
      <w:r w:rsidR="00DC44F8">
        <w:t>constraint</w:t>
      </w:r>
      <w:r w:rsidR="00484723">
        <w:t xml:space="preserve"> in Alt2, which is illustrated in </w:t>
      </w:r>
      <w:r w:rsidR="00321A55">
        <w:fldChar w:fldCharType="begin"/>
      </w:r>
      <w:r w:rsidR="00321A55">
        <w:instrText xml:space="preserve"> REF _Ref78895058 \h </w:instrText>
      </w:r>
      <w:r w:rsidR="00321A55">
        <w:fldChar w:fldCharType="separate"/>
      </w:r>
      <w:r w:rsidR="00F25AF6">
        <w:t xml:space="preserve">Figure </w:t>
      </w:r>
      <w:r w:rsidR="00F25AF6">
        <w:rPr>
          <w:noProof/>
        </w:rPr>
        <w:t>1</w:t>
      </w:r>
      <w:r w:rsidR="00321A55">
        <w:fldChar w:fldCharType="end"/>
      </w:r>
      <w:r w:rsidR="00484723">
        <w:t>.</w:t>
      </w:r>
      <w:r w:rsidR="00BC6292">
        <w:t xml:space="preserve"> </w:t>
      </w:r>
      <w:r w:rsidR="00901A96">
        <w:t xml:space="preserve">Therefore, </w:t>
      </w:r>
      <w:r w:rsidR="00DC44F8">
        <w:t xml:space="preserve">Alt1 can be considered as a </w:t>
      </w:r>
      <w:r w:rsidR="00901A96">
        <w:t>basic configuration for multi-slot monitoring framework</w:t>
      </w:r>
      <w:r w:rsidR="00C8297D">
        <w:t>.</w:t>
      </w:r>
      <w:r w:rsidR="00901A96">
        <w:t xml:space="preserve"> </w:t>
      </w:r>
      <w:r w:rsidR="00C8297D">
        <w:t>Compared with Alt1,</w:t>
      </w:r>
      <w:r w:rsidR="00BC6292">
        <w:t xml:space="preserve"> Alt2 provides an additional degree of freedom on indicating the </w:t>
      </w:r>
      <w:r w:rsidR="00901A96">
        <w:t xml:space="preserve">locations of </w:t>
      </w:r>
      <w:r w:rsidR="00BC6292">
        <w:t xml:space="preserve">slots for PDCCH monitoring </w:t>
      </w:r>
      <w:r w:rsidR="00901A96">
        <w:t>under the</w:t>
      </w:r>
      <w:r w:rsidR="00BC6292">
        <w:t xml:space="preserve"> (X,Y) constraint, which is illustrated in</w:t>
      </w:r>
      <w:r w:rsidR="00F95D19">
        <w:t xml:space="preserve"> </w:t>
      </w:r>
      <w:r w:rsidR="00F95D19">
        <w:fldChar w:fldCharType="begin"/>
      </w:r>
      <w:r w:rsidR="00F95D19">
        <w:instrText xml:space="preserve"> REF _Ref68527571 \h </w:instrText>
      </w:r>
      <w:r w:rsidR="00F95D19">
        <w:fldChar w:fldCharType="separate"/>
      </w:r>
      <w:r w:rsidR="00F25AF6">
        <w:t xml:space="preserve">Figure </w:t>
      </w:r>
      <w:r w:rsidR="00F25AF6">
        <w:rPr>
          <w:noProof/>
        </w:rPr>
        <w:t>2</w:t>
      </w:r>
      <w:r w:rsidR="00F95D19">
        <w:fldChar w:fldCharType="end"/>
      </w:r>
      <w:r w:rsidR="00901A96">
        <w:t xml:space="preserve">. </w:t>
      </w:r>
      <w:r w:rsidR="00DC44F8">
        <w:t>However, such flexibility comes with a cost of complicating the BD/CCE limit distribution when multi-cell operation is considered. For example, it is possible that the spans in the same cell follow the (X,Y) constraint but the spans from different cells might be close to each other and violate the (X,Y) constraint in time domain, which is illustrated in</w:t>
      </w:r>
      <w:r w:rsidR="00F95D19">
        <w:t xml:space="preserve"> </w:t>
      </w:r>
      <w:r w:rsidR="00F95D19">
        <w:fldChar w:fldCharType="begin"/>
      </w:r>
      <w:r w:rsidR="00F95D19">
        <w:instrText xml:space="preserve"> REF _Ref68527611 \h </w:instrText>
      </w:r>
      <w:r w:rsidR="00F95D19">
        <w:fldChar w:fldCharType="separate"/>
      </w:r>
      <w:r w:rsidR="00F25AF6">
        <w:t xml:space="preserve">Figure </w:t>
      </w:r>
      <w:r w:rsidR="00F25AF6">
        <w:rPr>
          <w:noProof/>
        </w:rPr>
        <w:t>3</w:t>
      </w:r>
      <w:r w:rsidR="00F95D19">
        <w:fldChar w:fldCharType="end"/>
      </w:r>
      <w:r w:rsidR="00DC44F8">
        <w:t>. In this example, both CCs follow (X=4,Y=1) constraint and the BD/CCE limit assigned to Span1_2 in CC#1 and Span2_1 in CC#2 need to acknowledge UE monitoring capability on monitoring the back to back spans of slots. Therefore, to complete Alt2 design, the multi-cell monitoring capability need to be carefully specified.</w:t>
      </w:r>
      <w:r w:rsidR="00DA12A0">
        <w:t xml:space="preserve"> The same issue can also occur in Alt1 if the fixed multi-slot monitoring patterns among CCs are not aligned. Therefore, some restriction on the search space set configuration may be necessary to realize </w:t>
      </w:r>
      <w:r w:rsidR="00392ED5">
        <w:t xml:space="preserve">either </w:t>
      </w:r>
      <w:r w:rsidR="00DA12A0">
        <w:t>Alt1</w:t>
      </w:r>
      <w:r w:rsidR="00392ED5">
        <w:t xml:space="preserve"> or Alt2</w:t>
      </w:r>
      <w:r w:rsidR="00DA12A0">
        <w:t xml:space="preserve">, e.g., the supported </w:t>
      </w:r>
      <w:r w:rsidR="00DA12A0" w:rsidRPr="00B916EC">
        <w:t xml:space="preserve">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sidR="00DA12A0" w:rsidRPr="00B916EC">
        <w:t xml:space="preserve"> slots </w:t>
      </w:r>
      <w:r w:rsidR="00DA12A0">
        <w:t xml:space="preserve">and </w:t>
      </w:r>
      <w:r w:rsidR="00DA12A0" w:rsidRPr="00B916EC">
        <w:t xml:space="preserve">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rsidR="00DA12A0" w:rsidRPr="00B916EC">
        <w:t xml:space="preserve"> slots</w:t>
      </w:r>
      <w:r w:rsidR="00DA12A0">
        <w:t xml:space="preserve">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rsidR="00DA12A0">
        <w:t>)=(</w:t>
      </w:r>
      <m:oMath>
        <m:r>
          <w:rPr>
            <w:rFonts w:ascii="Cambria Math" w:hAnsi="Cambria Math"/>
          </w:rPr>
          <m:t>m×X, n×X</m:t>
        </m:r>
      </m:oMath>
      <w:r w:rsidR="00DA12A0">
        <w:t>) when a UE support</w:t>
      </w:r>
      <w:r w:rsidR="003D5B75">
        <w:t>s</w:t>
      </w:r>
      <w:r w:rsidR="00DA12A0">
        <w:t xml:space="preserve"> (X,Y) multi-slot PDCCH monitoring capability where (</w:t>
      </w:r>
      <m:oMath>
        <m:r>
          <w:rPr>
            <w:rFonts w:ascii="Cambria Math" w:hAnsi="Cambria Math"/>
          </w:rPr>
          <m:t>m, n</m:t>
        </m:r>
      </m:oMath>
      <w:r w:rsidR="00DA12A0">
        <w:t xml:space="preserve">) are non-negative integers. </w:t>
      </w:r>
    </w:p>
    <w:p w14:paraId="7D09D77B" w14:textId="77777777" w:rsidR="004D4CEF" w:rsidRDefault="004D4CEF" w:rsidP="00E239E3"/>
    <w:p w14:paraId="1F0DA991" w14:textId="12C78278" w:rsidR="00201774" w:rsidRDefault="004D4CEF" w:rsidP="005061FA">
      <w:pPr>
        <w:pStyle w:val="Caption"/>
      </w:pPr>
      <w:bookmarkStart w:id="5" w:name="_Ref78902377"/>
      <w:bookmarkStart w:id="6" w:name="_Ref68510864"/>
      <w:r>
        <w:t xml:space="preserve">Proposal </w:t>
      </w:r>
      <w:r w:rsidR="0095231B">
        <w:fldChar w:fldCharType="begin"/>
      </w:r>
      <w:r w:rsidR="0095231B">
        <w:instrText xml:space="preserve"> SEQ Proposal \* ARABIC </w:instrText>
      </w:r>
      <w:r w:rsidR="0095231B">
        <w:fldChar w:fldCharType="separate"/>
      </w:r>
      <w:r w:rsidR="00F25AF6">
        <w:rPr>
          <w:noProof/>
        </w:rPr>
        <w:t>4</w:t>
      </w:r>
      <w:r w:rsidR="0095231B">
        <w:rPr>
          <w:noProof/>
        </w:rPr>
        <w:fldChar w:fldCharType="end"/>
      </w:r>
      <w:r>
        <w:t>:</w:t>
      </w:r>
      <w:r w:rsidR="003D5B75">
        <w:t xml:space="preserve"> Adopt Alt1 as the basic multi-slot PDCCH capability</w:t>
      </w:r>
      <w:r w:rsidR="00FB6F4B">
        <w:t xml:space="preserve"> with the following aspects</w:t>
      </w:r>
      <w:r w:rsidR="003D5B75">
        <w:t>.</w:t>
      </w:r>
      <w:bookmarkEnd w:id="5"/>
      <w:r>
        <w:t xml:space="preserve"> </w:t>
      </w:r>
    </w:p>
    <w:p w14:paraId="48986EAC" w14:textId="6A2EEE0C" w:rsidR="00FB6F4B" w:rsidRDefault="00FB6F4B">
      <w:pPr>
        <w:pStyle w:val="Caption"/>
        <w:numPr>
          <w:ilvl w:val="0"/>
          <w:numId w:val="49"/>
        </w:numPr>
      </w:pPr>
      <w:r>
        <w:t>Each slot group consists of X slots</w:t>
      </w:r>
    </w:p>
    <w:p w14:paraId="1ADAA802" w14:textId="77777777" w:rsidR="00FB6F4B" w:rsidRDefault="00FB6F4B" w:rsidP="00FB6F4B">
      <w:pPr>
        <w:pStyle w:val="Caption"/>
        <w:numPr>
          <w:ilvl w:val="0"/>
          <w:numId w:val="49"/>
        </w:numPr>
      </w:pPr>
      <w:r>
        <w:t>Slot groups are consecutive and non-overlapping</w:t>
      </w:r>
    </w:p>
    <w:p w14:paraId="516C214D" w14:textId="3DCDC1D7" w:rsidR="00FB6F4B" w:rsidRDefault="00FB6F4B" w:rsidP="00FB6F4B">
      <w:pPr>
        <w:pStyle w:val="Caption"/>
        <w:numPr>
          <w:ilvl w:val="0"/>
          <w:numId w:val="49"/>
        </w:numPr>
      </w:pPr>
      <w:r>
        <w:t>The capability indicates the BD/CCE budget within Y consecutive slots in each slot group separately</w:t>
      </w:r>
    </w:p>
    <w:p w14:paraId="3C46793D" w14:textId="7AD6642B" w:rsidR="00FB6F4B" w:rsidRDefault="00FB6F4B" w:rsidP="00FB6F4B">
      <w:pPr>
        <w:pStyle w:val="Caption"/>
        <w:numPr>
          <w:ilvl w:val="0"/>
          <w:numId w:val="49"/>
        </w:numPr>
      </w:pPr>
      <w:r>
        <w:t>Support at least (X=4 slots, Y=1 slot) and (X=8 slots, Y=1 slot) for multi-slot PDCCH monitoring in 480 kHz and 960kHz, respectively</w:t>
      </w:r>
    </w:p>
    <w:p w14:paraId="5B411044" w14:textId="1FC9E672" w:rsidR="00392ED5" w:rsidRPr="005061FA" w:rsidRDefault="00392ED5" w:rsidP="005061FA">
      <w:pPr>
        <w:pStyle w:val="ListParagraph"/>
        <w:numPr>
          <w:ilvl w:val="1"/>
          <w:numId w:val="49"/>
        </w:numPr>
        <w:rPr>
          <w:b/>
        </w:rPr>
      </w:pPr>
      <w:r w:rsidRPr="005061FA">
        <w:rPr>
          <w:b/>
        </w:rPr>
        <w:t>FFS</w:t>
      </w:r>
      <w:r>
        <w:rPr>
          <w:b/>
        </w:rPr>
        <w:t xml:space="preserve"> other (X,Y) values as optional UE capability</w:t>
      </w:r>
    </w:p>
    <w:p w14:paraId="70A146C5" w14:textId="55F91FB9" w:rsidR="00F25AF6" w:rsidRPr="0052566B" w:rsidRDefault="00F25AF6" w:rsidP="005061FA">
      <w:pPr>
        <w:pStyle w:val="ListParagraph"/>
        <w:numPr>
          <w:ilvl w:val="1"/>
          <w:numId w:val="49"/>
        </w:numPr>
      </w:pPr>
      <w:r>
        <w:rPr>
          <w:b/>
        </w:rPr>
        <w:t>FFS the monitoring occasion restriction within the Y=1 slot</w:t>
      </w:r>
    </w:p>
    <w:p w14:paraId="054C15C3" w14:textId="401AB75F" w:rsidR="00FB6F4B" w:rsidRDefault="00392ED5" w:rsidP="00FB6F4B">
      <w:pPr>
        <w:pStyle w:val="Caption"/>
        <w:numPr>
          <w:ilvl w:val="0"/>
          <w:numId w:val="49"/>
        </w:numPr>
      </w:pPr>
      <w:r>
        <w:t>S</w:t>
      </w:r>
      <w:r w:rsidR="00FB6F4B">
        <w:t xml:space="preserve">upport </w:t>
      </w:r>
      <w:r w:rsidR="00FB6F4B" w:rsidRPr="00B916EC">
        <w:t xml:space="preserve">PDCCH monitoring periodicity of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s</m:t>
            </m:r>
          </m:sub>
        </m:sSub>
      </m:oMath>
      <w:r w:rsidR="00FB6F4B" w:rsidRPr="00B916EC">
        <w:t xml:space="preserve"> slots </w:t>
      </w:r>
      <w:r w:rsidR="00FB6F4B">
        <w:t xml:space="preserve">and </w:t>
      </w:r>
      <w:r w:rsidR="00FB6F4B" w:rsidRPr="00B916EC">
        <w:t xml:space="preserve">PDCCH monitoring offset of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s</m:t>
            </m:r>
          </m:sub>
        </m:sSub>
      </m:oMath>
      <w:r w:rsidR="00FB6F4B" w:rsidRPr="00B916EC">
        <w:t xml:space="preserve"> slots</w:t>
      </w:r>
      <w:r w:rsidR="00FB6F4B">
        <w:t xml:space="preserve"> </w:t>
      </w:r>
      <w:r>
        <w:t>to</w:t>
      </w:r>
      <w:r w:rsidR="00FB6F4B">
        <w:t xml:space="preserve"> be limited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00FB6F4B">
        <w:t>)=(</w:t>
      </w:r>
      <m:oMath>
        <m:r>
          <m:rPr>
            <m:sty m:val="bi"/>
          </m:rPr>
          <w:rPr>
            <w:rFonts w:ascii="Cambria Math" w:hAnsi="Cambria Math"/>
          </w:rPr>
          <m:t>m×X, n×X</m:t>
        </m:r>
      </m:oMath>
      <w:r w:rsidR="00FB6F4B">
        <w:t>) when a UE supports (X,Y) multi-slot PDCCH monitoring capability where (</w:t>
      </w:r>
      <m:oMath>
        <m:r>
          <m:rPr>
            <m:sty m:val="bi"/>
          </m:rPr>
          <w:rPr>
            <w:rFonts w:ascii="Cambria Math" w:hAnsi="Cambria Math"/>
          </w:rPr>
          <m:t>m, n</m:t>
        </m:r>
      </m:oMath>
      <w:r w:rsidR="00FB6F4B">
        <w:t xml:space="preserve">) are non-negative integers </w:t>
      </w:r>
    </w:p>
    <w:p w14:paraId="76A5F312" w14:textId="1D2CB49F" w:rsidR="00FB6F4B" w:rsidRDefault="00FB6F4B" w:rsidP="00FB6F4B">
      <w:pPr>
        <w:pStyle w:val="Caption"/>
        <w:numPr>
          <w:ilvl w:val="0"/>
          <w:numId w:val="49"/>
        </w:numPr>
      </w:pPr>
      <w:r>
        <w:t>Restrictions on location of the Y slots within a slot group</w:t>
      </w:r>
      <w:r w:rsidR="009F2ACD">
        <w:t xml:space="preserve"> </w:t>
      </w:r>
      <w:r>
        <w:t>to be the first Y slots within a slot group</w:t>
      </w:r>
    </w:p>
    <w:p w14:paraId="7A14D331" w14:textId="7C778B82" w:rsidR="004D4CEF" w:rsidRDefault="00FB6F4B" w:rsidP="005061FA">
      <w:pPr>
        <w:pStyle w:val="Caption"/>
        <w:numPr>
          <w:ilvl w:val="0"/>
          <w:numId w:val="49"/>
        </w:numPr>
      </w:pPr>
      <w:r>
        <w:t xml:space="preserve">FFS: whether to support </w:t>
      </w:r>
      <w:r w:rsidR="004D4CEF">
        <w:t>Alt2</w:t>
      </w:r>
      <w:r>
        <w:t xml:space="preserve"> as optional capability.</w:t>
      </w:r>
      <w:r w:rsidR="00F106A6">
        <w:t xml:space="preserve"> </w:t>
      </w:r>
      <w:r>
        <w:t>I</w:t>
      </w:r>
      <w:r w:rsidR="00F106A6">
        <w:t>f supported</w:t>
      </w:r>
      <w:r w:rsidR="004D4CEF">
        <w:t>, the multi-cell monitoring capability for non-aligned span</w:t>
      </w:r>
      <w:r w:rsidR="00990E3C">
        <w:t>s</w:t>
      </w:r>
      <w:r w:rsidR="004D4CEF">
        <w:t xml:space="preserve"> across CCs need to be further studied.</w:t>
      </w:r>
      <w:bookmarkEnd w:id="6"/>
      <w:r w:rsidR="004D4CEF">
        <w:t xml:space="preserve">  </w:t>
      </w:r>
    </w:p>
    <w:p w14:paraId="78EF073F" w14:textId="77777777" w:rsidR="006D407B" w:rsidRDefault="006D407B" w:rsidP="001F73DE">
      <w:pPr>
        <w:keepNext/>
      </w:pPr>
      <w:r>
        <w:rPr>
          <w:noProof/>
          <w:lang w:eastAsia="zh-TW"/>
        </w:rPr>
        <w:lastRenderedPageBreak/>
        <w:drawing>
          <wp:inline distT="0" distB="0" distL="0" distR="0" wp14:anchorId="6288B0B0" wp14:editId="60349622">
            <wp:extent cx="3943693" cy="202140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958005" cy="2028740"/>
                    </a:xfrm>
                    <a:prstGeom prst="rect">
                      <a:avLst/>
                    </a:prstGeom>
                    <a:noFill/>
                    <a:ln>
                      <a:noFill/>
                    </a:ln>
                  </pic:spPr>
                </pic:pic>
              </a:graphicData>
            </a:graphic>
          </wp:inline>
        </w:drawing>
      </w:r>
    </w:p>
    <w:p w14:paraId="7D9C8E87" w14:textId="3DA05C90" w:rsidR="004D4CEF" w:rsidRDefault="006D407B" w:rsidP="001F73DE">
      <w:pPr>
        <w:pStyle w:val="Caption"/>
      </w:pPr>
      <w:bookmarkStart w:id="7" w:name="_Ref78895058"/>
      <w:r>
        <w:t xml:space="preserve">Figure </w:t>
      </w:r>
      <w:r w:rsidR="0095231B">
        <w:fldChar w:fldCharType="begin"/>
      </w:r>
      <w:r w:rsidR="0095231B">
        <w:instrText xml:space="preserve"> SEQ Figure \* ARABIC </w:instrText>
      </w:r>
      <w:r w:rsidR="0095231B">
        <w:fldChar w:fldCharType="separate"/>
      </w:r>
      <w:r w:rsidR="00F25AF6">
        <w:rPr>
          <w:noProof/>
        </w:rPr>
        <w:t>1</w:t>
      </w:r>
      <w:r w:rsidR="0095231B">
        <w:rPr>
          <w:noProof/>
        </w:rPr>
        <w:fldChar w:fldCharType="end"/>
      </w:r>
      <w:bookmarkEnd w:id="7"/>
      <w:r>
        <w:t xml:space="preserve"> Example of Alt1 and Alt2 having the same monitoring configuration where Alt1 indicates </w:t>
      </w:r>
      <w:r w:rsidR="00E61C67">
        <w:t>the</w:t>
      </w:r>
      <w:r>
        <w:t xml:space="preserve"> monitor</w:t>
      </w:r>
      <w:r w:rsidR="00E61C67">
        <w:t>ing of</w:t>
      </w:r>
      <w:r>
        <w:t xml:space="preserve"> the </w:t>
      </w:r>
      <w:r w:rsidRPr="00834484">
        <w:t>first M=1 slot in every N=4 slots and Alt 2 follows (X=</w:t>
      </w:r>
      <w:r>
        <w:t>4,Y=1)</w:t>
      </w:r>
    </w:p>
    <w:p w14:paraId="2E75E282" w14:textId="77777777" w:rsidR="00562A66" w:rsidRDefault="00562A66" w:rsidP="001F73DE">
      <w:pPr>
        <w:keepNext/>
      </w:pPr>
      <w:r>
        <w:rPr>
          <w:noProof/>
          <w:lang w:eastAsia="zh-TW"/>
        </w:rPr>
        <w:drawing>
          <wp:inline distT="0" distB="0" distL="0" distR="0" wp14:anchorId="25BB7BFD" wp14:editId="079849B8">
            <wp:extent cx="4079704" cy="209806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00789" cy="2108909"/>
                    </a:xfrm>
                    <a:prstGeom prst="rect">
                      <a:avLst/>
                    </a:prstGeom>
                    <a:noFill/>
                    <a:ln>
                      <a:noFill/>
                    </a:ln>
                  </pic:spPr>
                </pic:pic>
              </a:graphicData>
            </a:graphic>
          </wp:inline>
        </w:drawing>
      </w:r>
    </w:p>
    <w:p w14:paraId="18846C65" w14:textId="6ADE0112" w:rsidR="00562A66" w:rsidRDefault="00562A66" w:rsidP="001F73DE">
      <w:pPr>
        <w:pStyle w:val="Caption"/>
      </w:pPr>
      <w:bookmarkStart w:id="8" w:name="_Ref68527571"/>
      <w:r>
        <w:t xml:space="preserve">Figure </w:t>
      </w:r>
      <w:r w:rsidR="0095231B">
        <w:fldChar w:fldCharType="begin"/>
      </w:r>
      <w:r w:rsidR="0095231B">
        <w:instrText xml:space="preserve"> SEQ Figure \* ARABIC </w:instrText>
      </w:r>
      <w:r w:rsidR="0095231B">
        <w:fldChar w:fldCharType="separate"/>
      </w:r>
      <w:r w:rsidR="00F25AF6">
        <w:rPr>
          <w:noProof/>
        </w:rPr>
        <w:t>2</w:t>
      </w:r>
      <w:r w:rsidR="0095231B">
        <w:rPr>
          <w:noProof/>
        </w:rPr>
        <w:fldChar w:fldCharType="end"/>
      </w:r>
      <w:bookmarkEnd w:id="8"/>
      <w:r w:rsidRPr="00562A66">
        <w:t xml:space="preserve"> </w:t>
      </w:r>
      <w:r>
        <w:t xml:space="preserve">Example of Alt1 and Alt2 having different monitoring configuration where Alt1 indicates </w:t>
      </w:r>
      <w:r w:rsidR="00E61C67">
        <w:t>the monitoring of</w:t>
      </w:r>
      <w:r>
        <w:t xml:space="preserve"> the </w:t>
      </w:r>
      <w:r w:rsidRPr="00834484">
        <w:t>first M=1 slot in every N=4 slots and Alt 2 follows (X=</w:t>
      </w:r>
      <w:r>
        <w:t>4,Y=1)</w:t>
      </w:r>
    </w:p>
    <w:p w14:paraId="23D78D55" w14:textId="77777777" w:rsidR="006E2EF2" w:rsidRDefault="006E2EF2" w:rsidP="001F73DE">
      <w:pPr>
        <w:keepNext/>
      </w:pPr>
      <w:r>
        <w:rPr>
          <w:noProof/>
          <w:lang w:eastAsia="zh-TW"/>
        </w:rPr>
        <w:drawing>
          <wp:inline distT="0" distB="0" distL="0" distR="0" wp14:anchorId="722A12F9" wp14:editId="455EDB34">
            <wp:extent cx="4108069" cy="2082965"/>
            <wp:effectExtent l="0" t="0" r="698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23874" cy="2090979"/>
                    </a:xfrm>
                    <a:prstGeom prst="rect">
                      <a:avLst/>
                    </a:prstGeom>
                    <a:noFill/>
                    <a:ln>
                      <a:noFill/>
                    </a:ln>
                  </pic:spPr>
                </pic:pic>
              </a:graphicData>
            </a:graphic>
          </wp:inline>
        </w:drawing>
      </w:r>
    </w:p>
    <w:p w14:paraId="57AB91F2" w14:textId="53EC9359" w:rsidR="006E2EF2" w:rsidRPr="00E61C67" w:rsidRDefault="006E2EF2" w:rsidP="001F73DE">
      <w:pPr>
        <w:pStyle w:val="Caption"/>
      </w:pPr>
      <w:bookmarkStart w:id="9" w:name="_Ref68527611"/>
      <w:r>
        <w:t xml:space="preserve">Figure </w:t>
      </w:r>
      <w:r w:rsidR="0095231B">
        <w:fldChar w:fldCharType="begin"/>
      </w:r>
      <w:r w:rsidR="0095231B">
        <w:instrText xml:space="preserve"> SEQ Figure \* ARABIC </w:instrText>
      </w:r>
      <w:r w:rsidR="0095231B">
        <w:fldChar w:fldCharType="separate"/>
      </w:r>
      <w:r w:rsidR="00F25AF6">
        <w:rPr>
          <w:noProof/>
        </w:rPr>
        <w:t>3</w:t>
      </w:r>
      <w:r w:rsidR="0095231B">
        <w:rPr>
          <w:noProof/>
        </w:rPr>
        <w:fldChar w:fldCharType="end"/>
      </w:r>
      <w:bookmarkEnd w:id="9"/>
      <w:r>
        <w:t xml:space="preserve"> Example of non-aligned spans across CCs in Alt2</w:t>
      </w:r>
    </w:p>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47163B29" w14:textId="67775634" w:rsidR="00FD3E20" w:rsidRDefault="00FD3E20" w:rsidP="00FD3E20">
      <w:pPr>
        <w:spacing w:afterLines="50" w:after="120"/>
      </w:pPr>
      <w:r w:rsidRPr="007D4109">
        <w:t xml:space="preserve">In summary, we have the following </w:t>
      </w:r>
      <w:r w:rsidR="00460F5C">
        <w:t>proposals</w:t>
      </w:r>
      <w:r w:rsidRPr="007D4109">
        <w:t>:</w:t>
      </w:r>
    </w:p>
    <w:p w14:paraId="51B26956" w14:textId="0A62C9C1" w:rsidR="00201774" w:rsidRPr="005061FA" w:rsidRDefault="00201774" w:rsidP="00FD3E20">
      <w:pPr>
        <w:spacing w:afterLines="50" w:after="120"/>
        <w:rPr>
          <w:b/>
        </w:rPr>
      </w:pPr>
      <w:r w:rsidRPr="005061FA">
        <w:rPr>
          <w:b/>
        </w:rPr>
        <w:fldChar w:fldCharType="begin"/>
      </w:r>
      <w:r w:rsidRPr="005061FA">
        <w:rPr>
          <w:b/>
        </w:rPr>
        <w:instrText xml:space="preserve"> REF _Ref78902220 \h </w:instrText>
      </w:r>
      <w:r w:rsidR="00D57412">
        <w:rPr>
          <w:b/>
        </w:rPr>
        <w:instrText xml:space="preserve"> \* MERGEFORMAT </w:instrText>
      </w:r>
      <w:r w:rsidRPr="005061FA">
        <w:rPr>
          <w:b/>
        </w:rPr>
      </w:r>
      <w:r w:rsidRPr="005061FA">
        <w:rPr>
          <w:b/>
        </w:rPr>
        <w:fldChar w:fldCharType="separate"/>
      </w:r>
      <w:r w:rsidR="00F25AF6" w:rsidRPr="005061FA">
        <w:rPr>
          <w:b/>
        </w:rPr>
        <w:t xml:space="preserve">Proposal </w:t>
      </w:r>
      <w:r w:rsidR="00F25AF6" w:rsidRPr="005061FA">
        <w:rPr>
          <w:b/>
          <w:noProof/>
        </w:rPr>
        <w:t>1</w:t>
      </w:r>
      <w:r w:rsidR="00F25AF6" w:rsidRPr="005061FA">
        <w:rPr>
          <w:b/>
        </w:rPr>
        <w:t>: For multi-slot PDCCH monitoring capability, remove Alt3 from the discussion.</w:t>
      </w:r>
      <w:r w:rsidRPr="005061FA">
        <w:rPr>
          <w:b/>
        </w:rPr>
        <w:fldChar w:fldCharType="end"/>
      </w:r>
    </w:p>
    <w:p w14:paraId="0E62418A" w14:textId="0AE2B17B" w:rsidR="00201774" w:rsidRPr="005061FA" w:rsidRDefault="00201774" w:rsidP="00FD3E20">
      <w:pPr>
        <w:spacing w:afterLines="50" w:after="120"/>
        <w:rPr>
          <w:b/>
        </w:rPr>
      </w:pPr>
      <w:r w:rsidRPr="005061FA">
        <w:rPr>
          <w:b/>
        </w:rPr>
        <w:fldChar w:fldCharType="begin"/>
      </w:r>
      <w:r w:rsidRPr="005061FA">
        <w:rPr>
          <w:b/>
        </w:rPr>
        <w:instrText xml:space="preserve"> REF _Ref68510857 \h </w:instrText>
      </w:r>
      <w:r w:rsidR="00D57412">
        <w:rPr>
          <w:b/>
        </w:rPr>
        <w:instrText xml:space="preserve"> \* MERGEFORMAT </w:instrText>
      </w:r>
      <w:r w:rsidRPr="005061FA">
        <w:rPr>
          <w:b/>
        </w:rPr>
      </w:r>
      <w:r w:rsidRPr="005061FA">
        <w:rPr>
          <w:b/>
        </w:rPr>
        <w:fldChar w:fldCharType="separate"/>
      </w:r>
      <w:r w:rsidR="00F25AF6" w:rsidRPr="005061FA">
        <w:rPr>
          <w:b/>
        </w:rPr>
        <w:t xml:space="preserve">Proposal </w:t>
      </w:r>
      <w:r w:rsidR="00F25AF6" w:rsidRPr="005061FA">
        <w:rPr>
          <w:b/>
          <w:noProof/>
        </w:rPr>
        <w:t>2</w:t>
      </w:r>
      <w:r w:rsidR="00F25AF6" w:rsidRPr="005061FA">
        <w:rPr>
          <w:b/>
        </w:rPr>
        <w:t>: To achieve scheduling flexibility in multi-slot PDCCH monitoring, the monitoring pattern should adopt slot as the basic unit for (X,Y) in both Alt1 and Alt2. The monitoring symbols within the slots can be further studied.</w:t>
      </w:r>
      <w:r w:rsidRPr="005061FA">
        <w:rPr>
          <w:b/>
        </w:rPr>
        <w:fldChar w:fldCharType="end"/>
      </w:r>
    </w:p>
    <w:p w14:paraId="6079CD68" w14:textId="35BF7049" w:rsidR="00201774" w:rsidRPr="005061FA" w:rsidRDefault="00201774" w:rsidP="00FD3E20">
      <w:pPr>
        <w:spacing w:afterLines="50" w:after="120"/>
        <w:rPr>
          <w:b/>
        </w:rPr>
      </w:pPr>
      <w:r w:rsidRPr="005061FA">
        <w:rPr>
          <w:b/>
        </w:rPr>
        <w:lastRenderedPageBreak/>
        <w:fldChar w:fldCharType="begin"/>
      </w:r>
      <w:r w:rsidRPr="005061FA">
        <w:rPr>
          <w:b/>
        </w:rPr>
        <w:instrText xml:space="preserve"> REF _Ref78902233 \h </w:instrText>
      </w:r>
      <w:r w:rsidR="00D57412">
        <w:rPr>
          <w:b/>
        </w:rPr>
        <w:instrText xml:space="preserve"> \* MERGEFORMAT </w:instrText>
      </w:r>
      <w:r w:rsidRPr="005061FA">
        <w:rPr>
          <w:b/>
        </w:rPr>
      </w:r>
      <w:r w:rsidRPr="005061FA">
        <w:rPr>
          <w:b/>
        </w:rPr>
        <w:fldChar w:fldCharType="separate"/>
      </w:r>
      <w:r w:rsidR="00F25AF6" w:rsidRPr="005061FA">
        <w:rPr>
          <w:b/>
        </w:rPr>
        <w:t xml:space="preserve">Proposal </w:t>
      </w:r>
      <w:r w:rsidR="00F25AF6" w:rsidRPr="005061FA">
        <w:rPr>
          <w:b/>
          <w:noProof/>
        </w:rPr>
        <w:t>3</w:t>
      </w:r>
      <w:r w:rsidR="00F25AF6" w:rsidRPr="005061FA">
        <w:rPr>
          <w:b/>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r w:rsidRPr="005061FA">
        <w:rPr>
          <w:b/>
        </w:rPr>
        <w:fldChar w:fldCharType="end"/>
      </w:r>
    </w:p>
    <w:p w14:paraId="4E5DB41E" w14:textId="0C4367A1" w:rsidR="00201774" w:rsidRPr="005061FA" w:rsidRDefault="00201774" w:rsidP="00FD3E20">
      <w:pPr>
        <w:spacing w:afterLines="50" w:after="120"/>
        <w:rPr>
          <w:b/>
        </w:rPr>
      </w:pPr>
      <w:r w:rsidRPr="005061FA">
        <w:rPr>
          <w:b/>
        </w:rPr>
        <w:fldChar w:fldCharType="begin"/>
      </w:r>
      <w:r w:rsidRPr="005061FA">
        <w:rPr>
          <w:b/>
        </w:rPr>
        <w:instrText xml:space="preserve"> REF _Ref78902377 \h </w:instrText>
      </w:r>
      <w:r w:rsidR="00D57412">
        <w:rPr>
          <w:b/>
        </w:rPr>
        <w:instrText xml:space="preserve"> \* MERGEFORMAT </w:instrText>
      </w:r>
      <w:r w:rsidRPr="005061FA">
        <w:rPr>
          <w:b/>
        </w:rPr>
      </w:r>
      <w:r w:rsidRPr="005061FA">
        <w:rPr>
          <w:b/>
        </w:rPr>
        <w:fldChar w:fldCharType="separate"/>
      </w:r>
      <w:r w:rsidR="00F25AF6" w:rsidRPr="005061FA">
        <w:rPr>
          <w:b/>
        </w:rPr>
        <w:t xml:space="preserve">Proposal </w:t>
      </w:r>
      <w:r w:rsidR="00F25AF6" w:rsidRPr="005061FA">
        <w:rPr>
          <w:b/>
          <w:noProof/>
        </w:rPr>
        <w:t>4</w:t>
      </w:r>
      <w:r w:rsidR="00F25AF6" w:rsidRPr="005061FA">
        <w:rPr>
          <w:b/>
        </w:rPr>
        <w:t>: Adopt Alt1 as the basic multi-slot PDCCH capability with the following aspects.</w:t>
      </w:r>
      <w:r w:rsidRPr="005061FA">
        <w:rPr>
          <w:b/>
        </w:rPr>
        <w:fldChar w:fldCharType="end"/>
      </w:r>
    </w:p>
    <w:p w14:paraId="328E5F1B" w14:textId="77777777" w:rsidR="00D57412" w:rsidRDefault="00D57412" w:rsidP="00D57412">
      <w:pPr>
        <w:pStyle w:val="Caption"/>
        <w:numPr>
          <w:ilvl w:val="0"/>
          <w:numId w:val="49"/>
        </w:numPr>
      </w:pPr>
      <w:r>
        <w:t>Each slot group consists of X slots</w:t>
      </w:r>
    </w:p>
    <w:p w14:paraId="1AE35DA3" w14:textId="77777777" w:rsidR="00D57412" w:rsidRDefault="00D57412" w:rsidP="00D57412">
      <w:pPr>
        <w:pStyle w:val="Caption"/>
        <w:numPr>
          <w:ilvl w:val="0"/>
          <w:numId w:val="49"/>
        </w:numPr>
      </w:pPr>
      <w:r>
        <w:t>Slot groups are consecutive and non-overlapping</w:t>
      </w:r>
    </w:p>
    <w:p w14:paraId="1F8BECFD" w14:textId="77777777" w:rsidR="00D57412" w:rsidRDefault="00D57412" w:rsidP="00D57412">
      <w:pPr>
        <w:pStyle w:val="Caption"/>
        <w:numPr>
          <w:ilvl w:val="0"/>
          <w:numId w:val="49"/>
        </w:numPr>
      </w:pPr>
      <w:r>
        <w:t>The capability indicates the BD/CCE budget within Y consecutive slots in each slot group separately</w:t>
      </w:r>
    </w:p>
    <w:p w14:paraId="560F7748" w14:textId="306CDC16" w:rsidR="00D57412" w:rsidRDefault="00D57412" w:rsidP="00D57412">
      <w:pPr>
        <w:pStyle w:val="Caption"/>
        <w:numPr>
          <w:ilvl w:val="0"/>
          <w:numId w:val="49"/>
        </w:numPr>
      </w:pPr>
      <w:r>
        <w:t>Support at least (X=4 slots, Y=1 slot) and (X=8 slots, Y=1 slot) for multi-slot PDCCH monitoring in 480 kHz and 960kHz, respectively</w:t>
      </w:r>
    </w:p>
    <w:p w14:paraId="70EEF06C" w14:textId="5A0860BC" w:rsidR="001542A6" w:rsidRPr="005061FA" w:rsidRDefault="001542A6" w:rsidP="005061FA">
      <w:pPr>
        <w:pStyle w:val="ListParagraph"/>
        <w:numPr>
          <w:ilvl w:val="1"/>
          <w:numId w:val="49"/>
        </w:numPr>
        <w:rPr>
          <w:b/>
        </w:rPr>
      </w:pPr>
      <w:r w:rsidRPr="005061FA">
        <w:rPr>
          <w:b/>
        </w:rPr>
        <w:t>FFS other (X,Y) values as optional UE capability</w:t>
      </w:r>
    </w:p>
    <w:p w14:paraId="1F8FBDA9" w14:textId="52C38777" w:rsidR="00F25AF6" w:rsidRPr="0052566B" w:rsidRDefault="00F25AF6" w:rsidP="005061FA">
      <w:pPr>
        <w:pStyle w:val="ListParagraph"/>
        <w:numPr>
          <w:ilvl w:val="1"/>
          <w:numId w:val="49"/>
        </w:numPr>
      </w:pPr>
      <w:r w:rsidRPr="005061FA">
        <w:rPr>
          <w:b/>
        </w:rPr>
        <w:t>FFS the monitoring occasion restriction within the Y=1 slot</w:t>
      </w:r>
    </w:p>
    <w:p w14:paraId="2A5FE90A" w14:textId="3CAB7A3C" w:rsidR="00D57412" w:rsidRDefault="001542A6" w:rsidP="00D57412">
      <w:pPr>
        <w:pStyle w:val="Caption"/>
        <w:numPr>
          <w:ilvl w:val="0"/>
          <w:numId w:val="49"/>
        </w:numPr>
      </w:pPr>
      <w:r>
        <w:t>S</w:t>
      </w:r>
      <w:r w:rsidR="00D57412">
        <w:t xml:space="preserve">upport </w:t>
      </w:r>
      <w:r w:rsidR="00D57412" w:rsidRPr="00B916EC">
        <w:t xml:space="preserve">PDCCH monitoring periodicity of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s</m:t>
            </m:r>
          </m:sub>
        </m:sSub>
      </m:oMath>
      <w:r w:rsidR="00D57412" w:rsidRPr="00B916EC">
        <w:t xml:space="preserve"> slots </w:t>
      </w:r>
      <w:r w:rsidR="00D57412">
        <w:t xml:space="preserve">and </w:t>
      </w:r>
      <w:r w:rsidR="00D57412" w:rsidRPr="00B916EC">
        <w:t xml:space="preserve">PDCCH monitoring offset of </w:t>
      </w:r>
      <m:oMath>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s</m:t>
            </m:r>
          </m:sub>
        </m:sSub>
      </m:oMath>
      <w:r w:rsidR="00D57412" w:rsidRPr="00B916EC">
        <w:t xml:space="preserve"> slots</w:t>
      </w:r>
      <w:r w:rsidR="00D57412">
        <w:t xml:space="preserve"> should be limited to (</w:t>
      </w:r>
      <m:oMath>
        <m:sSub>
          <m:sSubPr>
            <m:ctrlPr>
              <w:rPr>
                <w:rFonts w:ascii="Cambria Math" w:hAnsi="Cambria Math"/>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sidR="00D57412">
        <w:t>)=(</w:t>
      </w:r>
      <m:oMath>
        <m:r>
          <m:rPr>
            <m:sty m:val="bi"/>
          </m:rPr>
          <w:rPr>
            <w:rFonts w:ascii="Cambria Math" w:hAnsi="Cambria Math"/>
          </w:rPr>
          <m:t>m×X, n×X</m:t>
        </m:r>
      </m:oMath>
      <w:r w:rsidR="00D57412">
        <w:t xml:space="preserve">) when an UE supports (X,Y) multi-slot PDCCH monitoring capability where (m, n) are non-negative integers </w:t>
      </w:r>
    </w:p>
    <w:p w14:paraId="3C7BDCFB" w14:textId="77777777" w:rsidR="00D57412" w:rsidRDefault="00D57412" w:rsidP="00D57412">
      <w:pPr>
        <w:pStyle w:val="Caption"/>
        <w:numPr>
          <w:ilvl w:val="0"/>
          <w:numId w:val="49"/>
        </w:numPr>
      </w:pPr>
      <w:r>
        <w:t>Restrictions on location of the Y slots within a slot group to be the first Y slots within a slot group</w:t>
      </w:r>
    </w:p>
    <w:p w14:paraId="76D9536F" w14:textId="77777777" w:rsidR="00D57412" w:rsidRDefault="00D57412" w:rsidP="00D57412">
      <w:pPr>
        <w:pStyle w:val="Caption"/>
        <w:numPr>
          <w:ilvl w:val="0"/>
          <w:numId w:val="49"/>
        </w:numPr>
      </w:pPr>
      <w:r>
        <w:t xml:space="preserve">FFS: whether to support Alt2 as optional capability. If supported, the multi-cell monitoring capability for non-aligned spans across CCs need to be further studied.  </w:t>
      </w:r>
    </w:p>
    <w:p w14:paraId="438A7A9B" w14:textId="77777777" w:rsidR="00D57412" w:rsidRDefault="00D57412" w:rsidP="00FD3E20">
      <w:pPr>
        <w:spacing w:afterLines="50" w:after="120"/>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71F2992C" w14:textId="45671FB6" w:rsidR="000C39EA" w:rsidRDefault="00AD69D0" w:rsidP="000C39EA">
      <w:pPr>
        <w:numPr>
          <w:ilvl w:val="0"/>
          <w:numId w:val="6"/>
        </w:numPr>
        <w:spacing w:afterLines="50" w:after="120"/>
      </w:pPr>
      <w:bookmarkStart w:id="10" w:name="_Ref40359806"/>
      <w:bookmarkStart w:id="11" w:name="_Ref528680018"/>
      <w:bookmarkStart w:id="12" w:name="_Ref481596356"/>
      <w:bookmarkStart w:id="13" w:name="_Ref481781528"/>
      <w:bookmarkStart w:id="14" w:name="_Ref481782557"/>
      <w:r>
        <w:t xml:space="preserve">3GPP </w:t>
      </w:r>
      <w:r w:rsidR="007E3EFF">
        <w:t>TR 38.808</w:t>
      </w:r>
      <w:r w:rsidR="000C39EA">
        <w:t>, “</w:t>
      </w:r>
      <w:r w:rsidR="007E3EFF" w:rsidRPr="009476C7">
        <w:t>Study on supporting NR from 52.6 GHz to 71 GHz</w:t>
      </w:r>
      <w:r w:rsidR="000C39EA">
        <w:t xml:space="preserve">”,  </w:t>
      </w:r>
      <w:r w:rsidR="007E3EFF">
        <w:t>November</w:t>
      </w:r>
      <w:r w:rsidR="000C39EA" w:rsidRPr="000C39EA">
        <w:t>, 20</w:t>
      </w:r>
      <w:bookmarkEnd w:id="10"/>
      <w:r w:rsidR="007E3EFF">
        <w:t>20</w:t>
      </w:r>
    </w:p>
    <w:p w14:paraId="1A37EDAE" w14:textId="09369390" w:rsidR="001243FA" w:rsidRDefault="00AD69D0" w:rsidP="00AD69D0">
      <w:pPr>
        <w:numPr>
          <w:ilvl w:val="0"/>
          <w:numId w:val="6"/>
        </w:numPr>
        <w:spacing w:afterLines="50" w:after="120"/>
      </w:pPr>
      <w:bookmarkStart w:id="15" w:name="_Ref40449526"/>
      <w:r>
        <w:t>RP-202925</w:t>
      </w:r>
      <w:r w:rsidR="003E577B">
        <w:t>, “</w:t>
      </w:r>
      <w:r w:rsidRPr="00AD69D0">
        <w:t>Revised WID:  Extending current NR operation to 71 GHz</w:t>
      </w:r>
      <w:r w:rsidR="003E577B">
        <w:t xml:space="preserve">”, </w:t>
      </w:r>
      <w:r>
        <w:t>December</w:t>
      </w:r>
      <w:r w:rsidR="003E577B">
        <w:t>, 2020</w:t>
      </w:r>
      <w:bookmarkEnd w:id="15"/>
    </w:p>
    <w:bookmarkEnd w:id="1"/>
    <w:bookmarkEnd w:id="11"/>
    <w:bookmarkEnd w:id="12"/>
    <w:bookmarkEnd w:id="13"/>
    <w:bookmarkEnd w:id="14"/>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A31A98" w14:textId="77777777" w:rsidR="0095231B" w:rsidRDefault="0095231B">
      <w:r>
        <w:separator/>
      </w:r>
    </w:p>
  </w:endnote>
  <w:endnote w:type="continuationSeparator" w:id="0">
    <w:p w14:paraId="77CFE130" w14:textId="77777777" w:rsidR="0095231B" w:rsidRDefault="00952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altName w:val="MT Extra"/>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870593" w14:textId="77777777" w:rsidR="0095231B" w:rsidRDefault="0095231B">
      <w:r>
        <w:separator/>
      </w:r>
    </w:p>
  </w:footnote>
  <w:footnote w:type="continuationSeparator" w:id="0">
    <w:p w14:paraId="60860C9A" w14:textId="77777777" w:rsidR="0095231B" w:rsidRDefault="009523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52DB8"/>
    <w:multiLevelType w:val="hybridMultilevel"/>
    <w:tmpl w:val="59CC783E"/>
    <w:lvl w:ilvl="0" w:tplc="5EA67EC6">
      <w:start w:val="1"/>
      <w:numFmt w:val="bullet"/>
      <w:lvlText w:val="–"/>
      <w:lvlJc w:val="left"/>
      <w:pPr>
        <w:tabs>
          <w:tab w:val="num" w:pos="720"/>
        </w:tabs>
        <w:ind w:left="720" w:hanging="360"/>
      </w:pPr>
      <w:rPr>
        <w:rFonts w:ascii="Calibri Light" w:hAnsi="Calibri Light" w:hint="default"/>
      </w:rPr>
    </w:lvl>
    <w:lvl w:ilvl="1" w:tplc="09C08A72">
      <w:start w:val="1"/>
      <w:numFmt w:val="bullet"/>
      <w:lvlText w:val="–"/>
      <w:lvlJc w:val="left"/>
      <w:pPr>
        <w:tabs>
          <w:tab w:val="num" w:pos="1440"/>
        </w:tabs>
        <w:ind w:left="1440" w:hanging="360"/>
      </w:pPr>
      <w:rPr>
        <w:rFonts w:ascii="Calibri Light" w:hAnsi="Calibri Light" w:hint="default"/>
      </w:rPr>
    </w:lvl>
    <w:lvl w:ilvl="2" w:tplc="CA2C9218">
      <w:numFmt w:val="bullet"/>
      <w:lvlText w:val="-"/>
      <w:lvlJc w:val="left"/>
      <w:pPr>
        <w:tabs>
          <w:tab w:val="num" w:pos="2160"/>
        </w:tabs>
        <w:ind w:left="2160" w:hanging="360"/>
      </w:pPr>
      <w:rPr>
        <w:rFonts w:ascii="Arial" w:hAnsi="Arial" w:hint="default"/>
      </w:rPr>
    </w:lvl>
    <w:lvl w:ilvl="3" w:tplc="1A4E9DBE">
      <w:numFmt w:val="bullet"/>
      <w:lvlText w:val="•"/>
      <w:lvlJc w:val="left"/>
      <w:pPr>
        <w:tabs>
          <w:tab w:val="num" w:pos="2880"/>
        </w:tabs>
        <w:ind w:left="2880" w:hanging="360"/>
      </w:pPr>
      <w:rPr>
        <w:rFonts w:ascii="Arial" w:hAnsi="Arial" w:hint="default"/>
      </w:rPr>
    </w:lvl>
    <w:lvl w:ilvl="4" w:tplc="18DE467A" w:tentative="1">
      <w:start w:val="1"/>
      <w:numFmt w:val="bullet"/>
      <w:lvlText w:val="–"/>
      <w:lvlJc w:val="left"/>
      <w:pPr>
        <w:tabs>
          <w:tab w:val="num" w:pos="3600"/>
        </w:tabs>
        <w:ind w:left="3600" w:hanging="360"/>
      </w:pPr>
      <w:rPr>
        <w:rFonts w:ascii="Calibri Light" w:hAnsi="Calibri Light" w:hint="default"/>
      </w:rPr>
    </w:lvl>
    <w:lvl w:ilvl="5" w:tplc="0C92A332" w:tentative="1">
      <w:start w:val="1"/>
      <w:numFmt w:val="bullet"/>
      <w:lvlText w:val="–"/>
      <w:lvlJc w:val="left"/>
      <w:pPr>
        <w:tabs>
          <w:tab w:val="num" w:pos="4320"/>
        </w:tabs>
        <w:ind w:left="4320" w:hanging="360"/>
      </w:pPr>
      <w:rPr>
        <w:rFonts w:ascii="Calibri Light" w:hAnsi="Calibri Light" w:hint="default"/>
      </w:rPr>
    </w:lvl>
    <w:lvl w:ilvl="6" w:tplc="3CAAB9F6" w:tentative="1">
      <w:start w:val="1"/>
      <w:numFmt w:val="bullet"/>
      <w:lvlText w:val="–"/>
      <w:lvlJc w:val="left"/>
      <w:pPr>
        <w:tabs>
          <w:tab w:val="num" w:pos="5040"/>
        </w:tabs>
        <w:ind w:left="5040" w:hanging="360"/>
      </w:pPr>
      <w:rPr>
        <w:rFonts w:ascii="Calibri Light" w:hAnsi="Calibri Light" w:hint="default"/>
      </w:rPr>
    </w:lvl>
    <w:lvl w:ilvl="7" w:tplc="876CA10A" w:tentative="1">
      <w:start w:val="1"/>
      <w:numFmt w:val="bullet"/>
      <w:lvlText w:val="–"/>
      <w:lvlJc w:val="left"/>
      <w:pPr>
        <w:tabs>
          <w:tab w:val="num" w:pos="5760"/>
        </w:tabs>
        <w:ind w:left="5760" w:hanging="360"/>
      </w:pPr>
      <w:rPr>
        <w:rFonts w:ascii="Calibri Light" w:hAnsi="Calibri Light" w:hint="default"/>
      </w:rPr>
    </w:lvl>
    <w:lvl w:ilvl="8" w:tplc="7B60A7C8" w:tentative="1">
      <w:start w:val="1"/>
      <w:numFmt w:val="bullet"/>
      <w:lvlText w:val="–"/>
      <w:lvlJc w:val="left"/>
      <w:pPr>
        <w:tabs>
          <w:tab w:val="num" w:pos="6480"/>
        </w:tabs>
        <w:ind w:left="6480" w:hanging="360"/>
      </w:pPr>
      <w:rPr>
        <w:rFonts w:ascii="Calibri Light" w:hAnsi="Calibri Light" w:hint="default"/>
      </w:rPr>
    </w:lvl>
  </w:abstractNum>
  <w:abstractNum w:abstractNumId="1">
    <w:nsid w:val="02367948"/>
    <w:multiLevelType w:val="multilevel"/>
    <w:tmpl w:val="34EC925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A117150"/>
    <w:multiLevelType w:val="hybridMultilevel"/>
    <w:tmpl w:val="94C017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E51BA7"/>
    <w:multiLevelType w:val="hybridMultilevel"/>
    <w:tmpl w:val="64929580"/>
    <w:lvl w:ilvl="0" w:tplc="FD8EC69C">
      <w:start w:val="8"/>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5F33501"/>
    <w:multiLevelType w:val="hybridMultilevel"/>
    <w:tmpl w:val="3EB2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539A7"/>
    <w:multiLevelType w:val="hybridMultilevel"/>
    <w:tmpl w:val="E81C22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nsid w:val="1E351339"/>
    <w:multiLevelType w:val="hybridMultilevel"/>
    <w:tmpl w:val="A8124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0CF7018"/>
    <w:multiLevelType w:val="hybridMultilevel"/>
    <w:tmpl w:val="D8782CC4"/>
    <w:lvl w:ilvl="0" w:tplc="A88A25A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AB5749"/>
    <w:multiLevelType w:val="hybridMultilevel"/>
    <w:tmpl w:val="8DBE16AE"/>
    <w:lvl w:ilvl="0" w:tplc="8F0EB88A">
      <w:start w:val="1"/>
      <w:numFmt w:val="bullet"/>
      <w:lvlText w:val="•"/>
      <w:lvlJc w:val="left"/>
      <w:pPr>
        <w:tabs>
          <w:tab w:val="num" w:pos="720"/>
        </w:tabs>
        <w:ind w:left="720" w:hanging="360"/>
      </w:pPr>
      <w:rPr>
        <w:rFonts w:ascii="Arial" w:hAnsi="Arial" w:hint="default"/>
      </w:rPr>
    </w:lvl>
    <w:lvl w:ilvl="1" w:tplc="301CF732" w:tentative="1">
      <w:start w:val="1"/>
      <w:numFmt w:val="bullet"/>
      <w:lvlText w:val="•"/>
      <w:lvlJc w:val="left"/>
      <w:pPr>
        <w:tabs>
          <w:tab w:val="num" w:pos="1440"/>
        </w:tabs>
        <w:ind w:left="1440" w:hanging="360"/>
      </w:pPr>
      <w:rPr>
        <w:rFonts w:ascii="Arial" w:hAnsi="Arial" w:hint="default"/>
      </w:rPr>
    </w:lvl>
    <w:lvl w:ilvl="2" w:tplc="C2166FF4" w:tentative="1">
      <w:start w:val="1"/>
      <w:numFmt w:val="bullet"/>
      <w:lvlText w:val="•"/>
      <w:lvlJc w:val="left"/>
      <w:pPr>
        <w:tabs>
          <w:tab w:val="num" w:pos="2160"/>
        </w:tabs>
        <w:ind w:left="2160" w:hanging="360"/>
      </w:pPr>
      <w:rPr>
        <w:rFonts w:ascii="Arial" w:hAnsi="Arial" w:hint="default"/>
      </w:rPr>
    </w:lvl>
    <w:lvl w:ilvl="3" w:tplc="482AFA84" w:tentative="1">
      <w:start w:val="1"/>
      <w:numFmt w:val="bullet"/>
      <w:lvlText w:val="•"/>
      <w:lvlJc w:val="left"/>
      <w:pPr>
        <w:tabs>
          <w:tab w:val="num" w:pos="2880"/>
        </w:tabs>
        <w:ind w:left="2880" w:hanging="360"/>
      </w:pPr>
      <w:rPr>
        <w:rFonts w:ascii="Arial" w:hAnsi="Arial" w:hint="default"/>
      </w:rPr>
    </w:lvl>
    <w:lvl w:ilvl="4" w:tplc="46CED3A6" w:tentative="1">
      <w:start w:val="1"/>
      <w:numFmt w:val="bullet"/>
      <w:lvlText w:val="•"/>
      <w:lvlJc w:val="left"/>
      <w:pPr>
        <w:tabs>
          <w:tab w:val="num" w:pos="3600"/>
        </w:tabs>
        <w:ind w:left="3600" w:hanging="360"/>
      </w:pPr>
      <w:rPr>
        <w:rFonts w:ascii="Arial" w:hAnsi="Arial" w:hint="default"/>
      </w:rPr>
    </w:lvl>
    <w:lvl w:ilvl="5" w:tplc="0D74556C" w:tentative="1">
      <w:start w:val="1"/>
      <w:numFmt w:val="bullet"/>
      <w:lvlText w:val="•"/>
      <w:lvlJc w:val="left"/>
      <w:pPr>
        <w:tabs>
          <w:tab w:val="num" w:pos="4320"/>
        </w:tabs>
        <w:ind w:left="4320" w:hanging="360"/>
      </w:pPr>
      <w:rPr>
        <w:rFonts w:ascii="Arial" w:hAnsi="Arial" w:hint="default"/>
      </w:rPr>
    </w:lvl>
    <w:lvl w:ilvl="6" w:tplc="9A649C72" w:tentative="1">
      <w:start w:val="1"/>
      <w:numFmt w:val="bullet"/>
      <w:lvlText w:val="•"/>
      <w:lvlJc w:val="left"/>
      <w:pPr>
        <w:tabs>
          <w:tab w:val="num" w:pos="5040"/>
        </w:tabs>
        <w:ind w:left="5040" w:hanging="360"/>
      </w:pPr>
      <w:rPr>
        <w:rFonts w:ascii="Arial" w:hAnsi="Arial" w:hint="default"/>
      </w:rPr>
    </w:lvl>
    <w:lvl w:ilvl="7" w:tplc="353A4D58" w:tentative="1">
      <w:start w:val="1"/>
      <w:numFmt w:val="bullet"/>
      <w:lvlText w:val="•"/>
      <w:lvlJc w:val="left"/>
      <w:pPr>
        <w:tabs>
          <w:tab w:val="num" w:pos="5760"/>
        </w:tabs>
        <w:ind w:left="5760" w:hanging="360"/>
      </w:pPr>
      <w:rPr>
        <w:rFonts w:ascii="Arial" w:hAnsi="Arial" w:hint="default"/>
      </w:rPr>
    </w:lvl>
    <w:lvl w:ilvl="8" w:tplc="99BAE4CA" w:tentative="1">
      <w:start w:val="1"/>
      <w:numFmt w:val="bullet"/>
      <w:lvlText w:val="•"/>
      <w:lvlJc w:val="left"/>
      <w:pPr>
        <w:tabs>
          <w:tab w:val="num" w:pos="6480"/>
        </w:tabs>
        <w:ind w:left="6480" w:hanging="360"/>
      </w:pPr>
      <w:rPr>
        <w:rFonts w:ascii="Arial" w:hAnsi="Arial" w:hint="default"/>
      </w:rPr>
    </w:lvl>
  </w:abstractNum>
  <w:abstractNum w:abstractNumId="10">
    <w:nsid w:val="21AE42E6"/>
    <w:multiLevelType w:val="multilevel"/>
    <w:tmpl w:val="ADA2BC50"/>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2">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087E4A"/>
    <w:multiLevelType w:val="hybridMultilevel"/>
    <w:tmpl w:val="82B4BEE6"/>
    <w:lvl w:ilvl="0" w:tplc="2A5A23BE">
      <w:start w:val="1"/>
      <w:numFmt w:val="bullet"/>
      <w:lvlText w:val="•"/>
      <w:lvlJc w:val="left"/>
      <w:pPr>
        <w:tabs>
          <w:tab w:val="num" w:pos="720"/>
        </w:tabs>
        <w:ind w:left="720" w:hanging="360"/>
      </w:pPr>
      <w:rPr>
        <w:rFonts w:ascii="Arial" w:hAnsi="Arial" w:hint="default"/>
      </w:rPr>
    </w:lvl>
    <w:lvl w:ilvl="1" w:tplc="83A61C18" w:tentative="1">
      <w:start w:val="1"/>
      <w:numFmt w:val="bullet"/>
      <w:lvlText w:val="•"/>
      <w:lvlJc w:val="left"/>
      <w:pPr>
        <w:tabs>
          <w:tab w:val="num" w:pos="1440"/>
        </w:tabs>
        <w:ind w:left="1440" w:hanging="360"/>
      </w:pPr>
      <w:rPr>
        <w:rFonts w:ascii="Arial" w:hAnsi="Arial" w:hint="default"/>
      </w:rPr>
    </w:lvl>
    <w:lvl w:ilvl="2" w:tplc="0B0E558C" w:tentative="1">
      <w:start w:val="1"/>
      <w:numFmt w:val="bullet"/>
      <w:lvlText w:val="•"/>
      <w:lvlJc w:val="left"/>
      <w:pPr>
        <w:tabs>
          <w:tab w:val="num" w:pos="2160"/>
        </w:tabs>
        <w:ind w:left="2160" w:hanging="360"/>
      </w:pPr>
      <w:rPr>
        <w:rFonts w:ascii="Arial" w:hAnsi="Arial" w:hint="default"/>
      </w:rPr>
    </w:lvl>
    <w:lvl w:ilvl="3" w:tplc="6E52CDEC" w:tentative="1">
      <w:start w:val="1"/>
      <w:numFmt w:val="bullet"/>
      <w:lvlText w:val="•"/>
      <w:lvlJc w:val="left"/>
      <w:pPr>
        <w:tabs>
          <w:tab w:val="num" w:pos="2880"/>
        </w:tabs>
        <w:ind w:left="2880" w:hanging="360"/>
      </w:pPr>
      <w:rPr>
        <w:rFonts w:ascii="Arial" w:hAnsi="Arial" w:hint="default"/>
      </w:rPr>
    </w:lvl>
    <w:lvl w:ilvl="4" w:tplc="5CB02C54" w:tentative="1">
      <w:start w:val="1"/>
      <w:numFmt w:val="bullet"/>
      <w:lvlText w:val="•"/>
      <w:lvlJc w:val="left"/>
      <w:pPr>
        <w:tabs>
          <w:tab w:val="num" w:pos="3600"/>
        </w:tabs>
        <w:ind w:left="3600" w:hanging="360"/>
      </w:pPr>
      <w:rPr>
        <w:rFonts w:ascii="Arial" w:hAnsi="Arial" w:hint="default"/>
      </w:rPr>
    </w:lvl>
    <w:lvl w:ilvl="5" w:tplc="1FF2FD1E" w:tentative="1">
      <w:start w:val="1"/>
      <w:numFmt w:val="bullet"/>
      <w:lvlText w:val="•"/>
      <w:lvlJc w:val="left"/>
      <w:pPr>
        <w:tabs>
          <w:tab w:val="num" w:pos="4320"/>
        </w:tabs>
        <w:ind w:left="4320" w:hanging="360"/>
      </w:pPr>
      <w:rPr>
        <w:rFonts w:ascii="Arial" w:hAnsi="Arial" w:hint="default"/>
      </w:rPr>
    </w:lvl>
    <w:lvl w:ilvl="6" w:tplc="1A4AFA74" w:tentative="1">
      <w:start w:val="1"/>
      <w:numFmt w:val="bullet"/>
      <w:lvlText w:val="•"/>
      <w:lvlJc w:val="left"/>
      <w:pPr>
        <w:tabs>
          <w:tab w:val="num" w:pos="5040"/>
        </w:tabs>
        <w:ind w:left="5040" w:hanging="360"/>
      </w:pPr>
      <w:rPr>
        <w:rFonts w:ascii="Arial" w:hAnsi="Arial" w:hint="default"/>
      </w:rPr>
    </w:lvl>
    <w:lvl w:ilvl="7" w:tplc="F398CA50" w:tentative="1">
      <w:start w:val="1"/>
      <w:numFmt w:val="bullet"/>
      <w:lvlText w:val="•"/>
      <w:lvlJc w:val="left"/>
      <w:pPr>
        <w:tabs>
          <w:tab w:val="num" w:pos="5760"/>
        </w:tabs>
        <w:ind w:left="5760" w:hanging="360"/>
      </w:pPr>
      <w:rPr>
        <w:rFonts w:ascii="Arial" w:hAnsi="Arial" w:hint="default"/>
      </w:rPr>
    </w:lvl>
    <w:lvl w:ilvl="8" w:tplc="E1EA6AFA" w:tentative="1">
      <w:start w:val="1"/>
      <w:numFmt w:val="bullet"/>
      <w:lvlText w:val="•"/>
      <w:lvlJc w:val="left"/>
      <w:pPr>
        <w:tabs>
          <w:tab w:val="num" w:pos="6480"/>
        </w:tabs>
        <w:ind w:left="6480" w:hanging="360"/>
      </w:pPr>
      <w:rPr>
        <w:rFonts w:ascii="Arial" w:hAnsi="Arial" w:hint="default"/>
      </w:rPr>
    </w:lvl>
  </w:abstractNum>
  <w:abstractNum w:abstractNumId="14">
    <w:nsid w:val="2B7D24F0"/>
    <w:multiLevelType w:val="multilevel"/>
    <w:tmpl w:val="2B7D24F0"/>
    <w:lvl w:ilvl="0">
      <w:start w:val="1"/>
      <w:numFmt w:val="bullet"/>
      <w:lvlText w:val=""/>
      <w:lvlJc w:val="left"/>
      <w:pPr>
        <w:ind w:left="-414" w:hanging="360"/>
      </w:pPr>
      <w:rPr>
        <w:rFonts w:ascii="Symbol" w:hAnsi="Symbol" w:hint="default"/>
      </w:rPr>
    </w:lvl>
    <w:lvl w:ilvl="1">
      <w:start w:val="1"/>
      <w:numFmt w:val="bullet"/>
      <w:lvlText w:val="o"/>
      <w:lvlJc w:val="left"/>
      <w:pPr>
        <w:ind w:left="306" w:hanging="360"/>
      </w:pPr>
      <w:rPr>
        <w:rFonts w:ascii="Courier New" w:hAnsi="Courier New" w:cs="Courier New" w:hint="default"/>
      </w:rPr>
    </w:lvl>
    <w:lvl w:ilvl="2">
      <w:start w:val="1"/>
      <w:numFmt w:val="bullet"/>
      <w:lvlText w:val=""/>
      <w:lvlJc w:val="left"/>
      <w:pPr>
        <w:ind w:left="1026" w:hanging="360"/>
      </w:pPr>
      <w:rPr>
        <w:rFonts w:ascii="Wingdings" w:hAnsi="Wingdings" w:hint="default"/>
      </w:rPr>
    </w:lvl>
    <w:lvl w:ilvl="3">
      <w:start w:val="1"/>
      <w:numFmt w:val="bullet"/>
      <w:lvlText w:val=""/>
      <w:lvlJc w:val="left"/>
      <w:pPr>
        <w:ind w:left="1746" w:hanging="360"/>
      </w:pPr>
      <w:rPr>
        <w:rFonts w:ascii="Symbol" w:hAnsi="Symbol" w:hint="default"/>
      </w:rPr>
    </w:lvl>
    <w:lvl w:ilvl="4">
      <w:start w:val="1"/>
      <w:numFmt w:val="bullet"/>
      <w:lvlText w:val="o"/>
      <w:lvlJc w:val="left"/>
      <w:pPr>
        <w:ind w:left="2466" w:hanging="360"/>
      </w:pPr>
      <w:rPr>
        <w:rFonts w:ascii="Courier New" w:hAnsi="Courier New" w:cs="Courier New" w:hint="default"/>
      </w:rPr>
    </w:lvl>
    <w:lvl w:ilvl="5">
      <w:start w:val="1"/>
      <w:numFmt w:val="bullet"/>
      <w:lvlText w:val=""/>
      <w:lvlJc w:val="left"/>
      <w:pPr>
        <w:ind w:left="3186" w:hanging="360"/>
      </w:pPr>
      <w:rPr>
        <w:rFonts w:ascii="Wingdings" w:hAnsi="Wingdings" w:hint="default"/>
      </w:rPr>
    </w:lvl>
    <w:lvl w:ilvl="6">
      <w:start w:val="1"/>
      <w:numFmt w:val="bullet"/>
      <w:lvlText w:val=""/>
      <w:lvlJc w:val="left"/>
      <w:pPr>
        <w:ind w:left="3906" w:hanging="360"/>
      </w:pPr>
      <w:rPr>
        <w:rFonts w:ascii="Symbol" w:hAnsi="Symbol" w:hint="default"/>
      </w:rPr>
    </w:lvl>
    <w:lvl w:ilvl="7">
      <w:start w:val="1"/>
      <w:numFmt w:val="bullet"/>
      <w:lvlText w:val="o"/>
      <w:lvlJc w:val="left"/>
      <w:pPr>
        <w:ind w:left="4626" w:hanging="360"/>
      </w:pPr>
      <w:rPr>
        <w:rFonts w:ascii="Courier New" w:hAnsi="Courier New" w:cs="Courier New" w:hint="default"/>
      </w:rPr>
    </w:lvl>
    <w:lvl w:ilvl="8">
      <w:start w:val="1"/>
      <w:numFmt w:val="bullet"/>
      <w:lvlText w:val=""/>
      <w:lvlJc w:val="left"/>
      <w:pPr>
        <w:ind w:left="5346" w:hanging="360"/>
      </w:pPr>
      <w:rPr>
        <w:rFonts w:ascii="Wingdings" w:hAnsi="Wingdings" w:hint="default"/>
      </w:rPr>
    </w:lvl>
  </w:abstractNum>
  <w:abstractNum w:abstractNumId="15">
    <w:nsid w:val="2BBC0C76"/>
    <w:multiLevelType w:val="hybridMultilevel"/>
    <w:tmpl w:val="5E4AC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0921DCE"/>
    <w:multiLevelType w:val="hybridMultilevel"/>
    <w:tmpl w:val="F94C5E20"/>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7">
    <w:nsid w:val="30B43505"/>
    <w:multiLevelType w:val="hybridMultilevel"/>
    <w:tmpl w:val="934893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2897C8D"/>
    <w:multiLevelType w:val="hybridMultilevel"/>
    <w:tmpl w:val="13ACF4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33BD2765"/>
    <w:multiLevelType w:val="hybridMultilevel"/>
    <w:tmpl w:val="56CADC8C"/>
    <w:lvl w:ilvl="0" w:tplc="0409000F">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78063C2"/>
    <w:multiLevelType w:val="hybridMultilevel"/>
    <w:tmpl w:val="CB260D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CE2949"/>
    <w:multiLevelType w:val="hybridMultilevel"/>
    <w:tmpl w:val="1B5ACBA2"/>
    <w:lvl w:ilvl="0" w:tplc="BD448868">
      <w:start w:val="1"/>
      <w:numFmt w:val="decimal"/>
      <w:lvlText w:val="%1."/>
      <w:lvlJc w:val="left"/>
      <w:pPr>
        <w:tabs>
          <w:tab w:val="num" w:pos="720"/>
        </w:tabs>
        <w:ind w:left="720" w:hanging="360"/>
      </w:pPr>
    </w:lvl>
    <w:lvl w:ilvl="1" w:tplc="884A29EC">
      <w:numFmt w:val="bullet"/>
      <w:lvlText w:val="•"/>
      <w:lvlJc w:val="left"/>
      <w:pPr>
        <w:tabs>
          <w:tab w:val="num" w:pos="1440"/>
        </w:tabs>
        <w:ind w:left="1440" w:hanging="360"/>
      </w:pPr>
      <w:rPr>
        <w:rFonts w:ascii="Arial" w:hAnsi="Arial" w:hint="default"/>
      </w:rPr>
    </w:lvl>
    <w:lvl w:ilvl="2" w:tplc="C2024AFE">
      <w:start w:val="1"/>
      <w:numFmt w:val="decimal"/>
      <w:lvlText w:val="%3."/>
      <w:lvlJc w:val="left"/>
      <w:pPr>
        <w:tabs>
          <w:tab w:val="num" w:pos="2160"/>
        </w:tabs>
        <w:ind w:left="2160" w:hanging="360"/>
      </w:pPr>
    </w:lvl>
    <w:lvl w:ilvl="3" w:tplc="5322A102" w:tentative="1">
      <w:start w:val="1"/>
      <w:numFmt w:val="decimal"/>
      <w:lvlText w:val="%4."/>
      <w:lvlJc w:val="left"/>
      <w:pPr>
        <w:tabs>
          <w:tab w:val="num" w:pos="2880"/>
        </w:tabs>
        <w:ind w:left="2880" w:hanging="360"/>
      </w:pPr>
    </w:lvl>
    <w:lvl w:ilvl="4" w:tplc="6A20D418" w:tentative="1">
      <w:start w:val="1"/>
      <w:numFmt w:val="decimal"/>
      <w:lvlText w:val="%5."/>
      <w:lvlJc w:val="left"/>
      <w:pPr>
        <w:tabs>
          <w:tab w:val="num" w:pos="3600"/>
        </w:tabs>
        <w:ind w:left="3600" w:hanging="360"/>
      </w:pPr>
    </w:lvl>
    <w:lvl w:ilvl="5" w:tplc="5BF432E2" w:tentative="1">
      <w:start w:val="1"/>
      <w:numFmt w:val="decimal"/>
      <w:lvlText w:val="%6."/>
      <w:lvlJc w:val="left"/>
      <w:pPr>
        <w:tabs>
          <w:tab w:val="num" w:pos="4320"/>
        </w:tabs>
        <w:ind w:left="4320" w:hanging="360"/>
      </w:pPr>
    </w:lvl>
    <w:lvl w:ilvl="6" w:tplc="777E8D04" w:tentative="1">
      <w:start w:val="1"/>
      <w:numFmt w:val="decimal"/>
      <w:lvlText w:val="%7."/>
      <w:lvlJc w:val="left"/>
      <w:pPr>
        <w:tabs>
          <w:tab w:val="num" w:pos="5040"/>
        </w:tabs>
        <w:ind w:left="5040" w:hanging="360"/>
      </w:pPr>
    </w:lvl>
    <w:lvl w:ilvl="7" w:tplc="51EAE28C" w:tentative="1">
      <w:start w:val="1"/>
      <w:numFmt w:val="decimal"/>
      <w:lvlText w:val="%8."/>
      <w:lvlJc w:val="left"/>
      <w:pPr>
        <w:tabs>
          <w:tab w:val="num" w:pos="5760"/>
        </w:tabs>
        <w:ind w:left="5760" w:hanging="360"/>
      </w:pPr>
    </w:lvl>
    <w:lvl w:ilvl="8" w:tplc="C57C98C8" w:tentative="1">
      <w:start w:val="1"/>
      <w:numFmt w:val="decimal"/>
      <w:lvlText w:val="%9."/>
      <w:lvlJc w:val="left"/>
      <w:pPr>
        <w:tabs>
          <w:tab w:val="num" w:pos="6480"/>
        </w:tabs>
        <w:ind w:left="6480" w:hanging="360"/>
      </w:pPr>
    </w:lvl>
  </w:abstractNum>
  <w:abstractNum w:abstractNumId="23">
    <w:nsid w:val="3BE915F1"/>
    <w:multiLevelType w:val="hybridMultilevel"/>
    <w:tmpl w:val="1612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nsid w:val="43D61EB5"/>
    <w:multiLevelType w:val="hybridMultilevel"/>
    <w:tmpl w:val="93BC057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45115F63"/>
    <w:multiLevelType w:val="hybridMultilevel"/>
    <w:tmpl w:val="688C586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4F9428C3"/>
    <w:multiLevelType w:val="hybridMultilevel"/>
    <w:tmpl w:val="1FEC15A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30">
    <w:nsid w:val="544F1E52"/>
    <w:multiLevelType w:val="hybridMultilevel"/>
    <w:tmpl w:val="C396C2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nsid w:val="576465EE"/>
    <w:multiLevelType w:val="hybridMultilevel"/>
    <w:tmpl w:val="F5486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8870A57"/>
    <w:multiLevelType w:val="hybridMultilevel"/>
    <w:tmpl w:val="CA72EDB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BF64515"/>
    <w:multiLevelType w:val="multilevel"/>
    <w:tmpl w:val="EE0E24BC"/>
    <w:lvl w:ilvl="0">
      <w:start w:val="2"/>
      <w:numFmt w:val="decimal"/>
      <w:lvlText w:val="%1"/>
      <w:lvlJc w:val="left"/>
      <w:pPr>
        <w:ind w:left="405" w:hanging="40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nsid w:val="606A7F16"/>
    <w:multiLevelType w:val="hybridMultilevel"/>
    <w:tmpl w:val="99D4E74A"/>
    <w:lvl w:ilvl="0" w:tplc="BB649494">
      <w:start w:val="1"/>
      <w:numFmt w:val="bullet"/>
      <w:lvlText w:val="o"/>
      <w:lvlJc w:val="left"/>
      <w:pPr>
        <w:tabs>
          <w:tab w:val="num" w:pos="720"/>
        </w:tabs>
        <w:ind w:left="720" w:hanging="360"/>
      </w:pPr>
      <w:rPr>
        <w:rFonts w:ascii="Courier New" w:hAnsi="Courier New" w:hint="default"/>
      </w:rPr>
    </w:lvl>
    <w:lvl w:ilvl="1" w:tplc="6D70C608">
      <w:start w:val="1"/>
      <w:numFmt w:val="bullet"/>
      <w:lvlText w:val="o"/>
      <w:lvlJc w:val="left"/>
      <w:pPr>
        <w:tabs>
          <w:tab w:val="num" w:pos="1440"/>
        </w:tabs>
        <w:ind w:left="1440" w:hanging="360"/>
      </w:pPr>
      <w:rPr>
        <w:rFonts w:ascii="Courier New" w:hAnsi="Courier New" w:hint="default"/>
      </w:rPr>
    </w:lvl>
    <w:lvl w:ilvl="2" w:tplc="B3C63E2A" w:tentative="1">
      <w:start w:val="1"/>
      <w:numFmt w:val="bullet"/>
      <w:lvlText w:val="o"/>
      <w:lvlJc w:val="left"/>
      <w:pPr>
        <w:tabs>
          <w:tab w:val="num" w:pos="2160"/>
        </w:tabs>
        <w:ind w:left="2160" w:hanging="360"/>
      </w:pPr>
      <w:rPr>
        <w:rFonts w:ascii="Courier New" w:hAnsi="Courier New" w:hint="default"/>
      </w:rPr>
    </w:lvl>
    <w:lvl w:ilvl="3" w:tplc="35B84EE8" w:tentative="1">
      <w:start w:val="1"/>
      <w:numFmt w:val="bullet"/>
      <w:lvlText w:val="o"/>
      <w:lvlJc w:val="left"/>
      <w:pPr>
        <w:tabs>
          <w:tab w:val="num" w:pos="2880"/>
        </w:tabs>
        <w:ind w:left="2880" w:hanging="360"/>
      </w:pPr>
      <w:rPr>
        <w:rFonts w:ascii="Courier New" w:hAnsi="Courier New" w:hint="default"/>
      </w:rPr>
    </w:lvl>
    <w:lvl w:ilvl="4" w:tplc="A716A422" w:tentative="1">
      <w:start w:val="1"/>
      <w:numFmt w:val="bullet"/>
      <w:lvlText w:val="o"/>
      <w:lvlJc w:val="left"/>
      <w:pPr>
        <w:tabs>
          <w:tab w:val="num" w:pos="3600"/>
        </w:tabs>
        <w:ind w:left="3600" w:hanging="360"/>
      </w:pPr>
      <w:rPr>
        <w:rFonts w:ascii="Courier New" w:hAnsi="Courier New" w:hint="default"/>
      </w:rPr>
    </w:lvl>
    <w:lvl w:ilvl="5" w:tplc="193A1A18" w:tentative="1">
      <w:start w:val="1"/>
      <w:numFmt w:val="bullet"/>
      <w:lvlText w:val="o"/>
      <w:lvlJc w:val="left"/>
      <w:pPr>
        <w:tabs>
          <w:tab w:val="num" w:pos="4320"/>
        </w:tabs>
        <w:ind w:left="4320" w:hanging="360"/>
      </w:pPr>
      <w:rPr>
        <w:rFonts w:ascii="Courier New" w:hAnsi="Courier New" w:hint="default"/>
      </w:rPr>
    </w:lvl>
    <w:lvl w:ilvl="6" w:tplc="6FBCEE94" w:tentative="1">
      <w:start w:val="1"/>
      <w:numFmt w:val="bullet"/>
      <w:lvlText w:val="o"/>
      <w:lvlJc w:val="left"/>
      <w:pPr>
        <w:tabs>
          <w:tab w:val="num" w:pos="5040"/>
        </w:tabs>
        <w:ind w:left="5040" w:hanging="360"/>
      </w:pPr>
      <w:rPr>
        <w:rFonts w:ascii="Courier New" w:hAnsi="Courier New" w:hint="default"/>
      </w:rPr>
    </w:lvl>
    <w:lvl w:ilvl="7" w:tplc="2E3ACF72" w:tentative="1">
      <w:start w:val="1"/>
      <w:numFmt w:val="bullet"/>
      <w:lvlText w:val="o"/>
      <w:lvlJc w:val="left"/>
      <w:pPr>
        <w:tabs>
          <w:tab w:val="num" w:pos="5760"/>
        </w:tabs>
        <w:ind w:left="5760" w:hanging="360"/>
      </w:pPr>
      <w:rPr>
        <w:rFonts w:ascii="Courier New" w:hAnsi="Courier New" w:hint="default"/>
      </w:rPr>
    </w:lvl>
    <w:lvl w:ilvl="8" w:tplc="E3027272" w:tentative="1">
      <w:start w:val="1"/>
      <w:numFmt w:val="bullet"/>
      <w:lvlText w:val="o"/>
      <w:lvlJc w:val="left"/>
      <w:pPr>
        <w:tabs>
          <w:tab w:val="num" w:pos="6480"/>
        </w:tabs>
        <w:ind w:left="6480" w:hanging="360"/>
      </w:pPr>
      <w:rPr>
        <w:rFonts w:ascii="Courier New" w:hAnsi="Courier New" w:hint="default"/>
      </w:rPr>
    </w:lvl>
  </w:abstractNum>
  <w:abstractNum w:abstractNumId="36">
    <w:nsid w:val="62E23120"/>
    <w:multiLevelType w:val="hybridMultilevel"/>
    <w:tmpl w:val="D43202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8">
    <w:nsid w:val="65AD6637"/>
    <w:multiLevelType w:val="hybridMultilevel"/>
    <w:tmpl w:val="2B42CBD8"/>
    <w:lvl w:ilvl="0" w:tplc="2BC0DF16">
      <w:start w:val="1"/>
      <w:numFmt w:val="bullet"/>
      <w:lvlText w:val="-"/>
      <w:lvlJc w:val="left"/>
      <w:pPr>
        <w:ind w:left="534" w:hanging="480"/>
      </w:pPr>
      <w:rPr>
        <w:rFonts w:ascii="Times New Roman" w:hAnsi="Times New Roman" w:cs="Times New Roman" w:hint="default"/>
        <w:lang w:val="en-US"/>
      </w:rPr>
    </w:lvl>
    <w:lvl w:ilvl="1" w:tplc="04090003" w:tentative="1">
      <w:start w:val="1"/>
      <w:numFmt w:val="bullet"/>
      <w:lvlText w:val=""/>
      <w:lvlJc w:val="left"/>
      <w:pPr>
        <w:ind w:left="1014" w:hanging="480"/>
      </w:pPr>
      <w:rPr>
        <w:rFonts w:ascii="Wingdings" w:hAnsi="Wingdings" w:hint="default"/>
      </w:rPr>
    </w:lvl>
    <w:lvl w:ilvl="2" w:tplc="04090005" w:tentative="1">
      <w:start w:val="1"/>
      <w:numFmt w:val="bullet"/>
      <w:lvlText w:val=""/>
      <w:lvlJc w:val="left"/>
      <w:pPr>
        <w:ind w:left="1494" w:hanging="480"/>
      </w:pPr>
      <w:rPr>
        <w:rFonts w:ascii="Wingdings" w:hAnsi="Wingdings" w:hint="default"/>
      </w:rPr>
    </w:lvl>
    <w:lvl w:ilvl="3" w:tplc="04090001" w:tentative="1">
      <w:start w:val="1"/>
      <w:numFmt w:val="bullet"/>
      <w:lvlText w:val=""/>
      <w:lvlJc w:val="left"/>
      <w:pPr>
        <w:ind w:left="1974" w:hanging="480"/>
      </w:pPr>
      <w:rPr>
        <w:rFonts w:ascii="Wingdings" w:hAnsi="Wingdings" w:hint="default"/>
      </w:rPr>
    </w:lvl>
    <w:lvl w:ilvl="4" w:tplc="04090003" w:tentative="1">
      <w:start w:val="1"/>
      <w:numFmt w:val="bullet"/>
      <w:lvlText w:val=""/>
      <w:lvlJc w:val="left"/>
      <w:pPr>
        <w:ind w:left="2454" w:hanging="480"/>
      </w:pPr>
      <w:rPr>
        <w:rFonts w:ascii="Wingdings" w:hAnsi="Wingdings" w:hint="default"/>
      </w:rPr>
    </w:lvl>
    <w:lvl w:ilvl="5" w:tplc="04090005" w:tentative="1">
      <w:start w:val="1"/>
      <w:numFmt w:val="bullet"/>
      <w:lvlText w:val=""/>
      <w:lvlJc w:val="left"/>
      <w:pPr>
        <w:ind w:left="2934" w:hanging="480"/>
      </w:pPr>
      <w:rPr>
        <w:rFonts w:ascii="Wingdings" w:hAnsi="Wingdings" w:hint="default"/>
      </w:rPr>
    </w:lvl>
    <w:lvl w:ilvl="6" w:tplc="04090001" w:tentative="1">
      <w:start w:val="1"/>
      <w:numFmt w:val="bullet"/>
      <w:lvlText w:val=""/>
      <w:lvlJc w:val="left"/>
      <w:pPr>
        <w:ind w:left="3414" w:hanging="480"/>
      </w:pPr>
      <w:rPr>
        <w:rFonts w:ascii="Wingdings" w:hAnsi="Wingdings" w:hint="default"/>
      </w:rPr>
    </w:lvl>
    <w:lvl w:ilvl="7" w:tplc="04090003" w:tentative="1">
      <w:start w:val="1"/>
      <w:numFmt w:val="bullet"/>
      <w:lvlText w:val=""/>
      <w:lvlJc w:val="left"/>
      <w:pPr>
        <w:ind w:left="3894" w:hanging="480"/>
      </w:pPr>
      <w:rPr>
        <w:rFonts w:ascii="Wingdings" w:hAnsi="Wingdings" w:hint="default"/>
      </w:rPr>
    </w:lvl>
    <w:lvl w:ilvl="8" w:tplc="04090005" w:tentative="1">
      <w:start w:val="1"/>
      <w:numFmt w:val="bullet"/>
      <w:lvlText w:val=""/>
      <w:lvlJc w:val="left"/>
      <w:pPr>
        <w:ind w:left="4374" w:hanging="480"/>
      </w:pPr>
      <w:rPr>
        <w:rFonts w:ascii="Wingdings" w:hAnsi="Wingdings" w:hint="default"/>
      </w:rPr>
    </w:lvl>
  </w:abstractNum>
  <w:abstractNum w:abstractNumId="39">
    <w:nsid w:val="6EA33FB9"/>
    <w:multiLevelType w:val="hybridMultilevel"/>
    <w:tmpl w:val="BED451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1284AFD"/>
    <w:multiLevelType w:val="hybridMultilevel"/>
    <w:tmpl w:val="06B258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56E3E81"/>
    <w:multiLevelType w:val="hybridMultilevel"/>
    <w:tmpl w:val="43BC13C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6417629"/>
    <w:multiLevelType w:val="hybridMultilevel"/>
    <w:tmpl w:val="9DD2EF7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7683483F"/>
    <w:multiLevelType w:val="hybridMultilevel"/>
    <w:tmpl w:val="B91020CE"/>
    <w:lvl w:ilvl="0" w:tplc="04090005">
      <w:start w:val="1"/>
      <w:numFmt w:val="bullet"/>
      <w:lvlText w:val=""/>
      <w:lvlJc w:val="left"/>
      <w:pPr>
        <w:ind w:left="360" w:hanging="360"/>
      </w:pPr>
      <w:rPr>
        <w:rFonts w:ascii="Wingdings" w:hAnsi="Wingdings" w:hint="default"/>
      </w:rPr>
    </w:lvl>
    <w:lvl w:ilvl="1" w:tplc="FD8EC69C">
      <w:start w:val="8"/>
      <w:numFmt w:val="bullet"/>
      <w:lvlText w:val="-"/>
      <w:lvlJc w:val="left"/>
      <w:pPr>
        <w:ind w:left="1080" w:hanging="360"/>
      </w:pPr>
      <w:rPr>
        <w:rFonts w:ascii="Times New Roman" w:eastAsia="SimSu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6A86133"/>
    <w:multiLevelType w:val="hybridMultilevel"/>
    <w:tmpl w:val="95C29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8411581"/>
    <w:multiLevelType w:val="hybridMultilevel"/>
    <w:tmpl w:val="BAFAB0C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7C5710"/>
    <w:multiLevelType w:val="hybridMultilevel"/>
    <w:tmpl w:val="E00A9D28"/>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nsid w:val="7A8B6902"/>
    <w:multiLevelType w:val="hybridMultilevel"/>
    <w:tmpl w:val="96E68E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nsid w:val="7D9F01DB"/>
    <w:multiLevelType w:val="hybridMultilevel"/>
    <w:tmpl w:val="BBA2DA8C"/>
    <w:lvl w:ilvl="0" w:tplc="04090005">
      <w:start w:val="1"/>
      <w:numFmt w:val="bullet"/>
      <w:lvlText w:val=""/>
      <w:lvlJc w:val="left"/>
      <w:pPr>
        <w:ind w:left="1200" w:hanging="480"/>
      </w:pPr>
      <w:rPr>
        <w:rFonts w:ascii="Wingdings" w:hAnsi="Wingdings"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num w:numId="1">
    <w:abstractNumId w:val="37"/>
  </w:num>
  <w:num w:numId="2">
    <w:abstractNumId w:val="31"/>
  </w:num>
  <w:num w:numId="3">
    <w:abstractNumId w:val="24"/>
  </w:num>
  <w:num w:numId="4">
    <w:abstractNumId w:val="6"/>
  </w:num>
  <w:num w:numId="5">
    <w:abstractNumId w:val="11"/>
  </w:num>
  <w:num w:numId="6">
    <w:abstractNumId w:val="12"/>
  </w:num>
  <w:num w:numId="7">
    <w:abstractNumId w:val="7"/>
  </w:num>
  <w:num w:numId="8">
    <w:abstractNumId w:val="23"/>
  </w:num>
  <w:num w:numId="9">
    <w:abstractNumId w:val="1"/>
  </w:num>
  <w:num w:numId="10">
    <w:abstractNumId w:val="10"/>
  </w:num>
  <w:num w:numId="11">
    <w:abstractNumId w:val="34"/>
  </w:num>
  <w:num w:numId="12">
    <w:abstractNumId w:val="0"/>
  </w:num>
  <w:num w:numId="13">
    <w:abstractNumId w:val="3"/>
  </w:num>
  <w:num w:numId="14">
    <w:abstractNumId w:val="44"/>
  </w:num>
  <w:num w:numId="15">
    <w:abstractNumId w:val="46"/>
  </w:num>
  <w:num w:numId="16">
    <w:abstractNumId w:val="9"/>
  </w:num>
  <w:num w:numId="17">
    <w:abstractNumId w:val="22"/>
  </w:num>
  <w:num w:numId="18">
    <w:abstractNumId w:val="38"/>
  </w:num>
  <w:num w:numId="19">
    <w:abstractNumId w:val="29"/>
  </w:num>
  <w:num w:numId="20">
    <w:abstractNumId w:val="16"/>
  </w:num>
  <w:num w:numId="21">
    <w:abstractNumId w:val="48"/>
  </w:num>
  <w:num w:numId="22">
    <w:abstractNumId w:val="43"/>
  </w:num>
  <w:num w:numId="23">
    <w:abstractNumId w:val="4"/>
  </w:num>
  <w:num w:numId="24">
    <w:abstractNumId w:val="8"/>
  </w:num>
  <w:num w:numId="25">
    <w:abstractNumId w:val="15"/>
  </w:num>
  <w:num w:numId="26">
    <w:abstractNumId w:val="47"/>
  </w:num>
  <w:num w:numId="27">
    <w:abstractNumId w:val="13"/>
  </w:num>
  <w:num w:numId="28">
    <w:abstractNumId w:val="39"/>
  </w:num>
  <w:num w:numId="29">
    <w:abstractNumId w:val="42"/>
  </w:num>
  <w:num w:numId="30">
    <w:abstractNumId w:val="35"/>
  </w:num>
  <w:num w:numId="31">
    <w:abstractNumId w:val="41"/>
  </w:num>
  <w:num w:numId="32">
    <w:abstractNumId w:val="26"/>
  </w:num>
  <w:num w:numId="33">
    <w:abstractNumId w:val="2"/>
  </w:num>
  <w:num w:numId="34">
    <w:abstractNumId w:val="32"/>
  </w:num>
  <w:num w:numId="35">
    <w:abstractNumId w:val="19"/>
  </w:num>
  <w:num w:numId="36">
    <w:abstractNumId w:val="27"/>
  </w:num>
  <w:num w:numId="37">
    <w:abstractNumId w:val="14"/>
  </w:num>
  <w:num w:numId="38">
    <w:abstractNumId w:val="25"/>
  </w:num>
  <w:num w:numId="39">
    <w:abstractNumId w:val="5"/>
  </w:num>
  <w:num w:numId="40">
    <w:abstractNumId w:val="17"/>
  </w:num>
  <w:num w:numId="41">
    <w:abstractNumId w:val="18"/>
  </w:num>
  <w:num w:numId="42">
    <w:abstractNumId w:val="45"/>
  </w:num>
  <w:num w:numId="43">
    <w:abstractNumId w:val="33"/>
  </w:num>
  <w:num w:numId="44">
    <w:abstractNumId w:val="21"/>
  </w:num>
  <w:num w:numId="45">
    <w:abstractNumId w:val="40"/>
  </w:num>
  <w:num w:numId="46">
    <w:abstractNumId w:val="20"/>
  </w:num>
  <w:num w:numId="47">
    <w:abstractNumId w:val="30"/>
  </w:num>
  <w:num w:numId="48">
    <w:abstractNumId w:val="28"/>
  </w:num>
  <w:num w:numId="49">
    <w:abstractNumId w:val="3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1215"/>
    <w:rsid w:val="00001239"/>
    <w:rsid w:val="00001825"/>
    <w:rsid w:val="00006925"/>
    <w:rsid w:val="00006B8B"/>
    <w:rsid w:val="0000759B"/>
    <w:rsid w:val="000110AC"/>
    <w:rsid w:val="000158B4"/>
    <w:rsid w:val="00016194"/>
    <w:rsid w:val="00017715"/>
    <w:rsid w:val="00020508"/>
    <w:rsid w:val="00020FD3"/>
    <w:rsid w:val="00021CC2"/>
    <w:rsid w:val="00021EE8"/>
    <w:rsid w:val="00021FE9"/>
    <w:rsid w:val="00025A48"/>
    <w:rsid w:val="00027BA6"/>
    <w:rsid w:val="000315DA"/>
    <w:rsid w:val="00031647"/>
    <w:rsid w:val="00034199"/>
    <w:rsid w:val="00040278"/>
    <w:rsid w:val="00040981"/>
    <w:rsid w:val="00042D66"/>
    <w:rsid w:val="00045399"/>
    <w:rsid w:val="000457AE"/>
    <w:rsid w:val="00045845"/>
    <w:rsid w:val="00045C1B"/>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398"/>
    <w:rsid w:val="00063F24"/>
    <w:rsid w:val="000647C0"/>
    <w:rsid w:val="00065D70"/>
    <w:rsid w:val="00066C1A"/>
    <w:rsid w:val="00067374"/>
    <w:rsid w:val="00067A78"/>
    <w:rsid w:val="000710D3"/>
    <w:rsid w:val="00073375"/>
    <w:rsid w:val="000734C8"/>
    <w:rsid w:val="00073BC3"/>
    <w:rsid w:val="0007517C"/>
    <w:rsid w:val="00075251"/>
    <w:rsid w:val="00075540"/>
    <w:rsid w:val="000761F5"/>
    <w:rsid w:val="00076B98"/>
    <w:rsid w:val="00076E75"/>
    <w:rsid w:val="000773DA"/>
    <w:rsid w:val="000804BA"/>
    <w:rsid w:val="00080D27"/>
    <w:rsid w:val="000816D0"/>
    <w:rsid w:val="00081B12"/>
    <w:rsid w:val="0008248F"/>
    <w:rsid w:val="00082F17"/>
    <w:rsid w:val="00083027"/>
    <w:rsid w:val="0008343C"/>
    <w:rsid w:val="000834AF"/>
    <w:rsid w:val="00083D5E"/>
    <w:rsid w:val="00084A7D"/>
    <w:rsid w:val="00084E70"/>
    <w:rsid w:val="00086E32"/>
    <w:rsid w:val="000870F6"/>
    <w:rsid w:val="00087331"/>
    <w:rsid w:val="00087E96"/>
    <w:rsid w:val="00087FA3"/>
    <w:rsid w:val="0009117E"/>
    <w:rsid w:val="00091C8A"/>
    <w:rsid w:val="00093F56"/>
    <w:rsid w:val="00094A5D"/>
    <w:rsid w:val="000955C4"/>
    <w:rsid w:val="00095AD3"/>
    <w:rsid w:val="000A0327"/>
    <w:rsid w:val="000A21D8"/>
    <w:rsid w:val="000A3C08"/>
    <w:rsid w:val="000A471A"/>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D19CD"/>
    <w:rsid w:val="000D1B18"/>
    <w:rsid w:val="000D21E2"/>
    <w:rsid w:val="000D2A94"/>
    <w:rsid w:val="000D47D9"/>
    <w:rsid w:val="000D59E3"/>
    <w:rsid w:val="000D5DFA"/>
    <w:rsid w:val="000D6052"/>
    <w:rsid w:val="000D62C5"/>
    <w:rsid w:val="000E13E3"/>
    <w:rsid w:val="000E2279"/>
    <w:rsid w:val="000E3102"/>
    <w:rsid w:val="000E4BBD"/>
    <w:rsid w:val="000E4BCD"/>
    <w:rsid w:val="000E639C"/>
    <w:rsid w:val="000F0538"/>
    <w:rsid w:val="000F1E63"/>
    <w:rsid w:val="000F4B50"/>
    <w:rsid w:val="000F4C3D"/>
    <w:rsid w:val="000F5FE4"/>
    <w:rsid w:val="000F757F"/>
    <w:rsid w:val="00100ACC"/>
    <w:rsid w:val="001020DB"/>
    <w:rsid w:val="001031E2"/>
    <w:rsid w:val="001032BA"/>
    <w:rsid w:val="001036C1"/>
    <w:rsid w:val="001054D7"/>
    <w:rsid w:val="00105D24"/>
    <w:rsid w:val="00105E44"/>
    <w:rsid w:val="00110248"/>
    <w:rsid w:val="0011044A"/>
    <w:rsid w:val="00110756"/>
    <w:rsid w:val="00111E05"/>
    <w:rsid w:val="00112895"/>
    <w:rsid w:val="001136F0"/>
    <w:rsid w:val="00114BF2"/>
    <w:rsid w:val="00115BEE"/>
    <w:rsid w:val="00117C64"/>
    <w:rsid w:val="00120A67"/>
    <w:rsid w:val="00121200"/>
    <w:rsid w:val="001225B7"/>
    <w:rsid w:val="00122847"/>
    <w:rsid w:val="001236A4"/>
    <w:rsid w:val="0012372F"/>
    <w:rsid w:val="00123908"/>
    <w:rsid w:val="001243FA"/>
    <w:rsid w:val="00125716"/>
    <w:rsid w:val="00125CE8"/>
    <w:rsid w:val="00131534"/>
    <w:rsid w:val="00133D1F"/>
    <w:rsid w:val="00133FF6"/>
    <w:rsid w:val="001355BF"/>
    <w:rsid w:val="00135C00"/>
    <w:rsid w:val="00135CC2"/>
    <w:rsid w:val="00135D0C"/>
    <w:rsid w:val="00137F31"/>
    <w:rsid w:val="00137F3D"/>
    <w:rsid w:val="00137F5E"/>
    <w:rsid w:val="00140A1B"/>
    <w:rsid w:val="00140F99"/>
    <w:rsid w:val="00141C60"/>
    <w:rsid w:val="0014253C"/>
    <w:rsid w:val="0014305D"/>
    <w:rsid w:val="00146391"/>
    <w:rsid w:val="00146558"/>
    <w:rsid w:val="00146AA4"/>
    <w:rsid w:val="00147033"/>
    <w:rsid w:val="001473AD"/>
    <w:rsid w:val="00147826"/>
    <w:rsid w:val="001479BA"/>
    <w:rsid w:val="00150097"/>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5D4D"/>
    <w:rsid w:val="001667BD"/>
    <w:rsid w:val="00167084"/>
    <w:rsid w:val="00171C1F"/>
    <w:rsid w:val="001720CF"/>
    <w:rsid w:val="00173652"/>
    <w:rsid w:val="00173DFD"/>
    <w:rsid w:val="00173FA6"/>
    <w:rsid w:val="00175D3A"/>
    <w:rsid w:val="00175FE6"/>
    <w:rsid w:val="00177FC5"/>
    <w:rsid w:val="00180126"/>
    <w:rsid w:val="00180E36"/>
    <w:rsid w:val="001818C8"/>
    <w:rsid w:val="0018358E"/>
    <w:rsid w:val="001846D0"/>
    <w:rsid w:val="00190D08"/>
    <w:rsid w:val="00190DFE"/>
    <w:rsid w:val="00192F8D"/>
    <w:rsid w:val="0019328A"/>
    <w:rsid w:val="00194486"/>
    <w:rsid w:val="00194682"/>
    <w:rsid w:val="001948C2"/>
    <w:rsid w:val="0019491B"/>
    <w:rsid w:val="00195717"/>
    <w:rsid w:val="00196F20"/>
    <w:rsid w:val="00197675"/>
    <w:rsid w:val="00197CF7"/>
    <w:rsid w:val="001A0B1E"/>
    <w:rsid w:val="001A28FE"/>
    <w:rsid w:val="001A2F1C"/>
    <w:rsid w:val="001A2FF5"/>
    <w:rsid w:val="001A7B82"/>
    <w:rsid w:val="001B062D"/>
    <w:rsid w:val="001B11C8"/>
    <w:rsid w:val="001B1CB4"/>
    <w:rsid w:val="001B4281"/>
    <w:rsid w:val="001B5424"/>
    <w:rsid w:val="001B5E24"/>
    <w:rsid w:val="001C101A"/>
    <w:rsid w:val="001C15F6"/>
    <w:rsid w:val="001C17C4"/>
    <w:rsid w:val="001C2B3F"/>
    <w:rsid w:val="001C3CC4"/>
    <w:rsid w:val="001C401F"/>
    <w:rsid w:val="001C5151"/>
    <w:rsid w:val="001C5FF7"/>
    <w:rsid w:val="001C7FAE"/>
    <w:rsid w:val="001D2C74"/>
    <w:rsid w:val="001D3D7B"/>
    <w:rsid w:val="001E0B66"/>
    <w:rsid w:val="001E3EE1"/>
    <w:rsid w:val="001E6370"/>
    <w:rsid w:val="001F0231"/>
    <w:rsid w:val="001F1DE9"/>
    <w:rsid w:val="001F24B6"/>
    <w:rsid w:val="001F3EBE"/>
    <w:rsid w:val="001F4E0E"/>
    <w:rsid w:val="001F4EC9"/>
    <w:rsid w:val="001F6982"/>
    <w:rsid w:val="001F703D"/>
    <w:rsid w:val="001F73DE"/>
    <w:rsid w:val="00200E87"/>
    <w:rsid w:val="00201774"/>
    <w:rsid w:val="00201DAA"/>
    <w:rsid w:val="00202C9A"/>
    <w:rsid w:val="00202D37"/>
    <w:rsid w:val="00204F59"/>
    <w:rsid w:val="00205B9A"/>
    <w:rsid w:val="00205D8B"/>
    <w:rsid w:val="00205EAF"/>
    <w:rsid w:val="002076C2"/>
    <w:rsid w:val="00210590"/>
    <w:rsid w:val="002106ED"/>
    <w:rsid w:val="00215285"/>
    <w:rsid w:val="00215987"/>
    <w:rsid w:val="002164D8"/>
    <w:rsid w:val="00216B15"/>
    <w:rsid w:val="0021718D"/>
    <w:rsid w:val="00217F2E"/>
    <w:rsid w:val="002214BF"/>
    <w:rsid w:val="00221A15"/>
    <w:rsid w:val="00221AE6"/>
    <w:rsid w:val="00223789"/>
    <w:rsid w:val="00223F2E"/>
    <w:rsid w:val="002259D0"/>
    <w:rsid w:val="00227213"/>
    <w:rsid w:val="00230019"/>
    <w:rsid w:val="0023012B"/>
    <w:rsid w:val="002309F0"/>
    <w:rsid w:val="0023102D"/>
    <w:rsid w:val="002312A4"/>
    <w:rsid w:val="00232F53"/>
    <w:rsid w:val="00234B24"/>
    <w:rsid w:val="00235A20"/>
    <w:rsid w:val="00235FDB"/>
    <w:rsid w:val="00236AA8"/>
    <w:rsid w:val="00237B6F"/>
    <w:rsid w:val="00241112"/>
    <w:rsid w:val="00241ABA"/>
    <w:rsid w:val="00242CE2"/>
    <w:rsid w:val="00243DC2"/>
    <w:rsid w:val="0024455E"/>
    <w:rsid w:val="00246837"/>
    <w:rsid w:val="00247F87"/>
    <w:rsid w:val="002526F7"/>
    <w:rsid w:val="002538ED"/>
    <w:rsid w:val="00255F76"/>
    <w:rsid w:val="002607F3"/>
    <w:rsid w:val="00261EF6"/>
    <w:rsid w:val="00261F70"/>
    <w:rsid w:val="002621FF"/>
    <w:rsid w:val="00263EEA"/>
    <w:rsid w:val="002648D9"/>
    <w:rsid w:val="00264B95"/>
    <w:rsid w:val="002666EF"/>
    <w:rsid w:val="00267909"/>
    <w:rsid w:val="00271467"/>
    <w:rsid w:val="0027235C"/>
    <w:rsid w:val="002729C4"/>
    <w:rsid w:val="0027414C"/>
    <w:rsid w:val="00276C2C"/>
    <w:rsid w:val="00280103"/>
    <w:rsid w:val="00281EB7"/>
    <w:rsid w:val="00284421"/>
    <w:rsid w:val="002852B9"/>
    <w:rsid w:val="00286309"/>
    <w:rsid w:val="00290736"/>
    <w:rsid w:val="00290E8E"/>
    <w:rsid w:val="00290FF7"/>
    <w:rsid w:val="00291CF7"/>
    <w:rsid w:val="00292686"/>
    <w:rsid w:val="00292AB5"/>
    <w:rsid w:val="0029315B"/>
    <w:rsid w:val="002946A4"/>
    <w:rsid w:val="002952E1"/>
    <w:rsid w:val="00296E15"/>
    <w:rsid w:val="00297B83"/>
    <w:rsid w:val="002A0AD7"/>
    <w:rsid w:val="002A3DB9"/>
    <w:rsid w:val="002A6AD4"/>
    <w:rsid w:val="002A75D2"/>
    <w:rsid w:val="002A7B32"/>
    <w:rsid w:val="002B04E1"/>
    <w:rsid w:val="002B0BA9"/>
    <w:rsid w:val="002B2653"/>
    <w:rsid w:val="002B276E"/>
    <w:rsid w:val="002B364B"/>
    <w:rsid w:val="002B4D54"/>
    <w:rsid w:val="002B51AC"/>
    <w:rsid w:val="002B6BF2"/>
    <w:rsid w:val="002B71A5"/>
    <w:rsid w:val="002B7A18"/>
    <w:rsid w:val="002C041B"/>
    <w:rsid w:val="002C145E"/>
    <w:rsid w:val="002C1C5A"/>
    <w:rsid w:val="002C3C7E"/>
    <w:rsid w:val="002C4988"/>
    <w:rsid w:val="002C64F0"/>
    <w:rsid w:val="002C6E28"/>
    <w:rsid w:val="002C7BC1"/>
    <w:rsid w:val="002D0A17"/>
    <w:rsid w:val="002D182B"/>
    <w:rsid w:val="002D1B45"/>
    <w:rsid w:val="002D3847"/>
    <w:rsid w:val="002D3AFB"/>
    <w:rsid w:val="002D3D98"/>
    <w:rsid w:val="002D4E8F"/>
    <w:rsid w:val="002D76D2"/>
    <w:rsid w:val="002E0FB3"/>
    <w:rsid w:val="002E1F10"/>
    <w:rsid w:val="002E20C2"/>
    <w:rsid w:val="002E4747"/>
    <w:rsid w:val="002E78BC"/>
    <w:rsid w:val="002F0B0B"/>
    <w:rsid w:val="002F13D0"/>
    <w:rsid w:val="002F4E48"/>
    <w:rsid w:val="002F67C2"/>
    <w:rsid w:val="003027C8"/>
    <w:rsid w:val="00302A97"/>
    <w:rsid w:val="00303028"/>
    <w:rsid w:val="00303A46"/>
    <w:rsid w:val="00303C1F"/>
    <w:rsid w:val="00304298"/>
    <w:rsid w:val="00304DC0"/>
    <w:rsid w:val="00305D34"/>
    <w:rsid w:val="00307020"/>
    <w:rsid w:val="00307E56"/>
    <w:rsid w:val="00310C4A"/>
    <w:rsid w:val="00311789"/>
    <w:rsid w:val="00312D33"/>
    <w:rsid w:val="0031308F"/>
    <w:rsid w:val="00313C56"/>
    <w:rsid w:val="00313CFE"/>
    <w:rsid w:val="0031425D"/>
    <w:rsid w:val="00314490"/>
    <w:rsid w:val="00315A08"/>
    <w:rsid w:val="00317608"/>
    <w:rsid w:val="00317EB4"/>
    <w:rsid w:val="00317F48"/>
    <w:rsid w:val="003214DD"/>
    <w:rsid w:val="00321A55"/>
    <w:rsid w:val="00322050"/>
    <w:rsid w:val="00326615"/>
    <w:rsid w:val="003276BC"/>
    <w:rsid w:val="00327E72"/>
    <w:rsid w:val="00330F0B"/>
    <w:rsid w:val="00333217"/>
    <w:rsid w:val="00335660"/>
    <w:rsid w:val="00336533"/>
    <w:rsid w:val="003367E0"/>
    <w:rsid w:val="003374E0"/>
    <w:rsid w:val="00341882"/>
    <w:rsid w:val="0034247C"/>
    <w:rsid w:val="003427C0"/>
    <w:rsid w:val="0034354A"/>
    <w:rsid w:val="00343A2F"/>
    <w:rsid w:val="00345CE7"/>
    <w:rsid w:val="003460CA"/>
    <w:rsid w:val="0034687F"/>
    <w:rsid w:val="0035139C"/>
    <w:rsid w:val="0035140D"/>
    <w:rsid w:val="003521AD"/>
    <w:rsid w:val="003530DA"/>
    <w:rsid w:val="003531AC"/>
    <w:rsid w:val="00354230"/>
    <w:rsid w:val="00354E8A"/>
    <w:rsid w:val="00355A6E"/>
    <w:rsid w:val="00355D12"/>
    <w:rsid w:val="003560F8"/>
    <w:rsid w:val="003566C3"/>
    <w:rsid w:val="00357492"/>
    <w:rsid w:val="00361736"/>
    <w:rsid w:val="00363A69"/>
    <w:rsid w:val="00364844"/>
    <w:rsid w:val="003656B5"/>
    <w:rsid w:val="00366DB4"/>
    <w:rsid w:val="00366EF6"/>
    <w:rsid w:val="003672AD"/>
    <w:rsid w:val="00367D46"/>
    <w:rsid w:val="00370DD4"/>
    <w:rsid w:val="003714E2"/>
    <w:rsid w:val="003726ED"/>
    <w:rsid w:val="003733CE"/>
    <w:rsid w:val="003753D9"/>
    <w:rsid w:val="0037642B"/>
    <w:rsid w:val="0038016E"/>
    <w:rsid w:val="00381577"/>
    <w:rsid w:val="0038181F"/>
    <w:rsid w:val="00382B2A"/>
    <w:rsid w:val="00384CBA"/>
    <w:rsid w:val="003857A4"/>
    <w:rsid w:val="00385B7E"/>
    <w:rsid w:val="00386FFB"/>
    <w:rsid w:val="0039058F"/>
    <w:rsid w:val="00390BE4"/>
    <w:rsid w:val="003914B8"/>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C2E"/>
    <w:rsid w:val="003B30B2"/>
    <w:rsid w:val="003B4327"/>
    <w:rsid w:val="003B4964"/>
    <w:rsid w:val="003B4C50"/>
    <w:rsid w:val="003B665E"/>
    <w:rsid w:val="003B7160"/>
    <w:rsid w:val="003B7F0F"/>
    <w:rsid w:val="003C053B"/>
    <w:rsid w:val="003C11BB"/>
    <w:rsid w:val="003C1253"/>
    <w:rsid w:val="003C20D3"/>
    <w:rsid w:val="003C2301"/>
    <w:rsid w:val="003C26FA"/>
    <w:rsid w:val="003C2775"/>
    <w:rsid w:val="003C637E"/>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51BD"/>
    <w:rsid w:val="003D5B75"/>
    <w:rsid w:val="003D7971"/>
    <w:rsid w:val="003D7BD4"/>
    <w:rsid w:val="003E2F37"/>
    <w:rsid w:val="003E30AE"/>
    <w:rsid w:val="003E4EF1"/>
    <w:rsid w:val="003E577B"/>
    <w:rsid w:val="003E5B41"/>
    <w:rsid w:val="003F0199"/>
    <w:rsid w:val="003F10BD"/>
    <w:rsid w:val="003F17AD"/>
    <w:rsid w:val="003F1D19"/>
    <w:rsid w:val="003F1D8E"/>
    <w:rsid w:val="003F2EE5"/>
    <w:rsid w:val="003F47CB"/>
    <w:rsid w:val="003F4D51"/>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20B8"/>
    <w:rsid w:val="004141EB"/>
    <w:rsid w:val="00414ACF"/>
    <w:rsid w:val="0041604B"/>
    <w:rsid w:val="00416EEA"/>
    <w:rsid w:val="004170CE"/>
    <w:rsid w:val="004171DB"/>
    <w:rsid w:val="00421346"/>
    <w:rsid w:val="004244F2"/>
    <w:rsid w:val="00425206"/>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406C3"/>
    <w:rsid w:val="00440B68"/>
    <w:rsid w:val="004431C3"/>
    <w:rsid w:val="00444567"/>
    <w:rsid w:val="00444F89"/>
    <w:rsid w:val="00445DD0"/>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607C3"/>
    <w:rsid w:val="00460945"/>
    <w:rsid w:val="00460F5C"/>
    <w:rsid w:val="00463383"/>
    <w:rsid w:val="00463C56"/>
    <w:rsid w:val="004657D9"/>
    <w:rsid w:val="004706A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D56"/>
    <w:rsid w:val="00482252"/>
    <w:rsid w:val="004828F8"/>
    <w:rsid w:val="00483DAC"/>
    <w:rsid w:val="00484723"/>
    <w:rsid w:val="00486335"/>
    <w:rsid w:val="00490857"/>
    <w:rsid w:val="00491024"/>
    <w:rsid w:val="004912B8"/>
    <w:rsid w:val="00491813"/>
    <w:rsid w:val="0049335A"/>
    <w:rsid w:val="00494DC2"/>
    <w:rsid w:val="004963EA"/>
    <w:rsid w:val="00496643"/>
    <w:rsid w:val="004973F5"/>
    <w:rsid w:val="00497F15"/>
    <w:rsid w:val="004A0FE0"/>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C00AD"/>
    <w:rsid w:val="004C0CB8"/>
    <w:rsid w:val="004C150F"/>
    <w:rsid w:val="004C15AF"/>
    <w:rsid w:val="004C1910"/>
    <w:rsid w:val="004C2B58"/>
    <w:rsid w:val="004C33A5"/>
    <w:rsid w:val="004C3696"/>
    <w:rsid w:val="004C4198"/>
    <w:rsid w:val="004C41F5"/>
    <w:rsid w:val="004C45F5"/>
    <w:rsid w:val="004C468A"/>
    <w:rsid w:val="004C605B"/>
    <w:rsid w:val="004C60CF"/>
    <w:rsid w:val="004C6DA0"/>
    <w:rsid w:val="004D2EC3"/>
    <w:rsid w:val="004D3E46"/>
    <w:rsid w:val="004D44EA"/>
    <w:rsid w:val="004D4CEF"/>
    <w:rsid w:val="004D56D8"/>
    <w:rsid w:val="004E01EA"/>
    <w:rsid w:val="004E2D81"/>
    <w:rsid w:val="004E2EA2"/>
    <w:rsid w:val="004E2FB9"/>
    <w:rsid w:val="004E59E5"/>
    <w:rsid w:val="004E5A17"/>
    <w:rsid w:val="004F16E7"/>
    <w:rsid w:val="004F2271"/>
    <w:rsid w:val="004F354A"/>
    <w:rsid w:val="004F4BA5"/>
    <w:rsid w:val="004F6594"/>
    <w:rsid w:val="004F6810"/>
    <w:rsid w:val="004F6D51"/>
    <w:rsid w:val="004F72EE"/>
    <w:rsid w:val="004F778F"/>
    <w:rsid w:val="0050043D"/>
    <w:rsid w:val="0050174D"/>
    <w:rsid w:val="00501B78"/>
    <w:rsid w:val="00502AD7"/>
    <w:rsid w:val="00503D6B"/>
    <w:rsid w:val="005053B9"/>
    <w:rsid w:val="005061FA"/>
    <w:rsid w:val="00511BDD"/>
    <w:rsid w:val="00512A49"/>
    <w:rsid w:val="00513927"/>
    <w:rsid w:val="005140CF"/>
    <w:rsid w:val="0051580B"/>
    <w:rsid w:val="00515E0F"/>
    <w:rsid w:val="00516D9D"/>
    <w:rsid w:val="00517038"/>
    <w:rsid w:val="00517CB2"/>
    <w:rsid w:val="00522ED6"/>
    <w:rsid w:val="00524312"/>
    <w:rsid w:val="00524DCF"/>
    <w:rsid w:val="00525433"/>
    <w:rsid w:val="0052558F"/>
    <w:rsid w:val="0052566B"/>
    <w:rsid w:val="00525D28"/>
    <w:rsid w:val="005273BD"/>
    <w:rsid w:val="005306FF"/>
    <w:rsid w:val="00535C64"/>
    <w:rsid w:val="00535F46"/>
    <w:rsid w:val="005362A1"/>
    <w:rsid w:val="005365C9"/>
    <w:rsid w:val="0054126A"/>
    <w:rsid w:val="00541BFD"/>
    <w:rsid w:val="0054263A"/>
    <w:rsid w:val="00543AAF"/>
    <w:rsid w:val="0054455E"/>
    <w:rsid w:val="00544883"/>
    <w:rsid w:val="0054509E"/>
    <w:rsid w:val="00545B11"/>
    <w:rsid w:val="00550D87"/>
    <w:rsid w:val="0055114D"/>
    <w:rsid w:val="00551422"/>
    <w:rsid w:val="00552CF7"/>
    <w:rsid w:val="00552ED8"/>
    <w:rsid w:val="0055330E"/>
    <w:rsid w:val="00553CAE"/>
    <w:rsid w:val="005543B3"/>
    <w:rsid w:val="00560EF2"/>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F31"/>
    <w:rsid w:val="0058085F"/>
    <w:rsid w:val="0058357F"/>
    <w:rsid w:val="00583EB3"/>
    <w:rsid w:val="00583F03"/>
    <w:rsid w:val="00584C38"/>
    <w:rsid w:val="00585D2C"/>
    <w:rsid w:val="0058733E"/>
    <w:rsid w:val="00587DFB"/>
    <w:rsid w:val="00590229"/>
    <w:rsid w:val="00590615"/>
    <w:rsid w:val="00590F80"/>
    <w:rsid w:val="0059141C"/>
    <w:rsid w:val="00592106"/>
    <w:rsid w:val="0059237F"/>
    <w:rsid w:val="00592912"/>
    <w:rsid w:val="0059309B"/>
    <w:rsid w:val="00593806"/>
    <w:rsid w:val="00593B74"/>
    <w:rsid w:val="005945C5"/>
    <w:rsid w:val="00595970"/>
    <w:rsid w:val="00595A83"/>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149A"/>
    <w:rsid w:val="005C1686"/>
    <w:rsid w:val="005C223E"/>
    <w:rsid w:val="005C25EC"/>
    <w:rsid w:val="005C41F1"/>
    <w:rsid w:val="005C4F36"/>
    <w:rsid w:val="005C6179"/>
    <w:rsid w:val="005C6F1E"/>
    <w:rsid w:val="005C6FC6"/>
    <w:rsid w:val="005C7BC1"/>
    <w:rsid w:val="005D1527"/>
    <w:rsid w:val="005D1937"/>
    <w:rsid w:val="005D20F1"/>
    <w:rsid w:val="005D3C81"/>
    <w:rsid w:val="005D6123"/>
    <w:rsid w:val="005D687F"/>
    <w:rsid w:val="005D75E9"/>
    <w:rsid w:val="005D7E2B"/>
    <w:rsid w:val="005E00E4"/>
    <w:rsid w:val="005E0265"/>
    <w:rsid w:val="005E0D0C"/>
    <w:rsid w:val="005E10EE"/>
    <w:rsid w:val="005E117C"/>
    <w:rsid w:val="005E12CA"/>
    <w:rsid w:val="005E1EF3"/>
    <w:rsid w:val="005E22C3"/>
    <w:rsid w:val="005E29A5"/>
    <w:rsid w:val="005E44FD"/>
    <w:rsid w:val="005E5326"/>
    <w:rsid w:val="005F0197"/>
    <w:rsid w:val="005F14D8"/>
    <w:rsid w:val="005F1C7D"/>
    <w:rsid w:val="005F1DAC"/>
    <w:rsid w:val="005F2E9A"/>
    <w:rsid w:val="005F49DE"/>
    <w:rsid w:val="005F63B1"/>
    <w:rsid w:val="005F64FF"/>
    <w:rsid w:val="005F7976"/>
    <w:rsid w:val="005F79DE"/>
    <w:rsid w:val="006010E0"/>
    <w:rsid w:val="006012DC"/>
    <w:rsid w:val="00602BAE"/>
    <w:rsid w:val="00603F7B"/>
    <w:rsid w:val="006052E5"/>
    <w:rsid w:val="00605CFD"/>
    <w:rsid w:val="00605E58"/>
    <w:rsid w:val="00606BAA"/>
    <w:rsid w:val="00607302"/>
    <w:rsid w:val="00610541"/>
    <w:rsid w:val="00611909"/>
    <w:rsid w:val="0061233F"/>
    <w:rsid w:val="006166F0"/>
    <w:rsid w:val="00617343"/>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6D1E"/>
    <w:rsid w:val="00637358"/>
    <w:rsid w:val="006377D0"/>
    <w:rsid w:val="00640298"/>
    <w:rsid w:val="006407B5"/>
    <w:rsid w:val="006414B7"/>
    <w:rsid w:val="00645856"/>
    <w:rsid w:val="00645F4C"/>
    <w:rsid w:val="00646844"/>
    <w:rsid w:val="0064702E"/>
    <w:rsid w:val="00647180"/>
    <w:rsid w:val="006471B0"/>
    <w:rsid w:val="006509A7"/>
    <w:rsid w:val="006525B0"/>
    <w:rsid w:val="00654E6E"/>
    <w:rsid w:val="0065586D"/>
    <w:rsid w:val="00655B65"/>
    <w:rsid w:val="00656559"/>
    <w:rsid w:val="006573AC"/>
    <w:rsid w:val="0066201D"/>
    <w:rsid w:val="00662C60"/>
    <w:rsid w:val="00663D3E"/>
    <w:rsid w:val="00664204"/>
    <w:rsid w:val="00666E4E"/>
    <w:rsid w:val="00667C5E"/>
    <w:rsid w:val="006713F3"/>
    <w:rsid w:val="00672EDB"/>
    <w:rsid w:val="006735ED"/>
    <w:rsid w:val="00673D75"/>
    <w:rsid w:val="00674805"/>
    <w:rsid w:val="00674BBB"/>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242F"/>
    <w:rsid w:val="006A2454"/>
    <w:rsid w:val="006A2A64"/>
    <w:rsid w:val="006A3540"/>
    <w:rsid w:val="006A427B"/>
    <w:rsid w:val="006A456A"/>
    <w:rsid w:val="006A4F06"/>
    <w:rsid w:val="006A5640"/>
    <w:rsid w:val="006A5FB0"/>
    <w:rsid w:val="006A6267"/>
    <w:rsid w:val="006A7C52"/>
    <w:rsid w:val="006B0486"/>
    <w:rsid w:val="006B0507"/>
    <w:rsid w:val="006B1479"/>
    <w:rsid w:val="006B16A6"/>
    <w:rsid w:val="006B16D0"/>
    <w:rsid w:val="006B1B05"/>
    <w:rsid w:val="006B1C90"/>
    <w:rsid w:val="006B2E86"/>
    <w:rsid w:val="006B39AD"/>
    <w:rsid w:val="006B44A8"/>
    <w:rsid w:val="006B48E8"/>
    <w:rsid w:val="006B5DFA"/>
    <w:rsid w:val="006B65AC"/>
    <w:rsid w:val="006B7F53"/>
    <w:rsid w:val="006C0827"/>
    <w:rsid w:val="006C0CA7"/>
    <w:rsid w:val="006C1381"/>
    <w:rsid w:val="006C1D67"/>
    <w:rsid w:val="006C2731"/>
    <w:rsid w:val="006C2FAE"/>
    <w:rsid w:val="006C346B"/>
    <w:rsid w:val="006C3C52"/>
    <w:rsid w:val="006C6181"/>
    <w:rsid w:val="006C65D7"/>
    <w:rsid w:val="006C66AD"/>
    <w:rsid w:val="006C6861"/>
    <w:rsid w:val="006D0FDF"/>
    <w:rsid w:val="006D1CDD"/>
    <w:rsid w:val="006D407B"/>
    <w:rsid w:val="006D4C32"/>
    <w:rsid w:val="006D51F8"/>
    <w:rsid w:val="006D6280"/>
    <w:rsid w:val="006E0AB8"/>
    <w:rsid w:val="006E143C"/>
    <w:rsid w:val="006E1FBE"/>
    <w:rsid w:val="006E26DD"/>
    <w:rsid w:val="006E2EF2"/>
    <w:rsid w:val="006E31ED"/>
    <w:rsid w:val="006E4BA2"/>
    <w:rsid w:val="006E6392"/>
    <w:rsid w:val="006E7A57"/>
    <w:rsid w:val="006F36CB"/>
    <w:rsid w:val="006F3968"/>
    <w:rsid w:val="006F54EA"/>
    <w:rsid w:val="006F57F1"/>
    <w:rsid w:val="006F614A"/>
    <w:rsid w:val="006F7B83"/>
    <w:rsid w:val="00701078"/>
    <w:rsid w:val="00702C58"/>
    <w:rsid w:val="00703BAC"/>
    <w:rsid w:val="007057C9"/>
    <w:rsid w:val="007057F3"/>
    <w:rsid w:val="007067CD"/>
    <w:rsid w:val="00706EEA"/>
    <w:rsid w:val="00710EC2"/>
    <w:rsid w:val="00710F30"/>
    <w:rsid w:val="0071236A"/>
    <w:rsid w:val="00712516"/>
    <w:rsid w:val="00714F11"/>
    <w:rsid w:val="007151BC"/>
    <w:rsid w:val="007166F9"/>
    <w:rsid w:val="0071713B"/>
    <w:rsid w:val="00717340"/>
    <w:rsid w:val="007177D7"/>
    <w:rsid w:val="00720036"/>
    <w:rsid w:val="007208DC"/>
    <w:rsid w:val="00720AEA"/>
    <w:rsid w:val="0072205D"/>
    <w:rsid w:val="0072212C"/>
    <w:rsid w:val="00723CBA"/>
    <w:rsid w:val="007310DB"/>
    <w:rsid w:val="00735673"/>
    <w:rsid w:val="007358BD"/>
    <w:rsid w:val="007364B4"/>
    <w:rsid w:val="007371B6"/>
    <w:rsid w:val="00741B34"/>
    <w:rsid w:val="00742CAF"/>
    <w:rsid w:val="00743177"/>
    <w:rsid w:val="00743460"/>
    <w:rsid w:val="0074456C"/>
    <w:rsid w:val="007458D6"/>
    <w:rsid w:val="00746FF0"/>
    <w:rsid w:val="00747DDC"/>
    <w:rsid w:val="0075095F"/>
    <w:rsid w:val="0075123C"/>
    <w:rsid w:val="00751498"/>
    <w:rsid w:val="00753021"/>
    <w:rsid w:val="007531A2"/>
    <w:rsid w:val="00753F2B"/>
    <w:rsid w:val="0075633B"/>
    <w:rsid w:val="0075740A"/>
    <w:rsid w:val="00757E72"/>
    <w:rsid w:val="00760782"/>
    <w:rsid w:val="007626E5"/>
    <w:rsid w:val="00762743"/>
    <w:rsid w:val="007667C1"/>
    <w:rsid w:val="00766B89"/>
    <w:rsid w:val="0076746E"/>
    <w:rsid w:val="007675FE"/>
    <w:rsid w:val="007705B1"/>
    <w:rsid w:val="00771323"/>
    <w:rsid w:val="007729A6"/>
    <w:rsid w:val="00772E36"/>
    <w:rsid w:val="00772F24"/>
    <w:rsid w:val="00773AA3"/>
    <w:rsid w:val="00775AEE"/>
    <w:rsid w:val="00776F34"/>
    <w:rsid w:val="007773A5"/>
    <w:rsid w:val="007773CA"/>
    <w:rsid w:val="007775E1"/>
    <w:rsid w:val="00781432"/>
    <w:rsid w:val="007815A3"/>
    <w:rsid w:val="00783E63"/>
    <w:rsid w:val="00785C38"/>
    <w:rsid w:val="00786DA7"/>
    <w:rsid w:val="0078701F"/>
    <w:rsid w:val="00787ED2"/>
    <w:rsid w:val="00790B4C"/>
    <w:rsid w:val="00791FCE"/>
    <w:rsid w:val="00792718"/>
    <w:rsid w:val="00794443"/>
    <w:rsid w:val="007956A3"/>
    <w:rsid w:val="007971E2"/>
    <w:rsid w:val="007A19F3"/>
    <w:rsid w:val="007A1CC4"/>
    <w:rsid w:val="007A41F6"/>
    <w:rsid w:val="007A4749"/>
    <w:rsid w:val="007A4D83"/>
    <w:rsid w:val="007A5761"/>
    <w:rsid w:val="007A5E04"/>
    <w:rsid w:val="007A5EB6"/>
    <w:rsid w:val="007A622C"/>
    <w:rsid w:val="007A6BD3"/>
    <w:rsid w:val="007A7564"/>
    <w:rsid w:val="007A7595"/>
    <w:rsid w:val="007A78FD"/>
    <w:rsid w:val="007B1B06"/>
    <w:rsid w:val="007B46E7"/>
    <w:rsid w:val="007B4F4C"/>
    <w:rsid w:val="007B5B43"/>
    <w:rsid w:val="007B5E9F"/>
    <w:rsid w:val="007B6DA3"/>
    <w:rsid w:val="007B6FFB"/>
    <w:rsid w:val="007C04E7"/>
    <w:rsid w:val="007C21A5"/>
    <w:rsid w:val="007C246A"/>
    <w:rsid w:val="007C3D15"/>
    <w:rsid w:val="007C3E52"/>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AAC"/>
    <w:rsid w:val="007D6BAE"/>
    <w:rsid w:val="007D7432"/>
    <w:rsid w:val="007D7A33"/>
    <w:rsid w:val="007E04F4"/>
    <w:rsid w:val="007E0F32"/>
    <w:rsid w:val="007E21EA"/>
    <w:rsid w:val="007E36DB"/>
    <w:rsid w:val="007E3EFF"/>
    <w:rsid w:val="007E40DA"/>
    <w:rsid w:val="007E52E1"/>
    <w:rsid w:val="007E5AAE"/>
    <w:rsid w:val="007E6677"/>
    <w:rsid w:val="007E6A07"/>
    <w:rsid w:val="007E762A"/>
    <w:rsid w:val="007F1623"/>
    <w:rsid w:val="007F16B7"/>
    <w:rsid w:val="007F1DB8"/>
    <w:rsid w:val="007F206A"/>
    <w:rsid w:val="007F20C0"/>
    <w:rsid w:val="007F2DC3"/>
    <w:rsid w:val="007F3315"/>
    <w:rsid w:val="007F33F5"/>
    <w:rsid w:val="007F4BB0"/>
    <w:rsid w:val="008003E3"/>
    <w:rsid w:val="00801BB7"/>
    <w:rsid w:val="008026F7"/>
    <w:rsid w:val="00802BAD"/>
    <w:rsid w:val="00803B9C"/>
    <w:rsid w:val="00806378"/>
    <w:rsid w:val="00810A3A"/>
    <w:rsid w:val="00812A1D"/>
    <w:rsid w:val="008132F0"/>
    <w:rsid w:val="0081386B"/>
    <w:rsid w:val="0081483F"/>
    <w:rsid w:val="00815506"/>
    <w:rsid w:val="00815850"/>
    <w:rsid w:val="00816D90"/>
    <w:rsid w:val="00821311"/>
    <w:rsid w:val="00821ADC"/>
    <w:rsid w:val="008233F0"/>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E0A"/>
    <w:rsid w:val="00837A66"/>
    <w:rsid w:val="00841883"/>
    <w:rsid w:val="00843CAB"/>
    <w:rsid w:val="00844775"/>
    <w:rsid w:val="008454A6"/>
    <w:rsid w:val="00845F42"/>
    <w:rsid w:val="008504A1"/>
    <w:rsid w:val="00851664"/>
    <w:rsid w:val="0085176D"/>
    <w:rsid w:val="00851E57"/>
    <w:rsid w:val="0085257C"/>
    <w:rsid w:val="00852894"/>
    <w:rsid w:val="00852C56"/>
    <w:rsid w:val="0085402E"/>
    <w:rsid w:val="0085438A"/>
    <w:rsid w:val="00854FB3"/>
    <w:rsid w:val="0085517F"/>
    <w:rsid w:val="00855942"/>
    <w:rsid w:val="00855953"/>
    <w:rsid w:val="00855A87"/>
    <w:rsid w:val="00856670"/>
    <w:rsid w:val="00857B0E"/>
    <w:rsid w:val="00863EFD"/>
    <w:rsid w:val="008640D4"/>
    <w:rsid w:val="00864E4A"/>
    <w:rsid w:val="008655A7"/>
    <w:rsid w:val="00866459"/>
    <w:rsid w:val="00867B4C"/>
    <w:rsid w:val="00867C8A"/>
    <w:rsid w:val="008715DA"/>
    <w:rsid w:val="00871CC7"/>
    <w:rsid w:val="00872FD5"/>
    <w:rsid w:val="008732C5"/>
    <w:rsid w:val="00873F88"/>
    <w:rsid w:val="0087537B"/>
    <w:rsid w:val="00877A8E"/>
    <w:rsid w:val="00881C58"/>
    <w:rsid w:val="00881DDA"/>
    <w:rsid w:val="00882846"/>
    <w:rsid w:val="00883380"/>
    <w:rsid w:val="00884482"/>
    <w:rsid w:val="00886D7C"/>
    <w:rsid w:val="008909B3"/>
    <w:rsid w:val="008913BD"/>
    <w:rsid w:val="0089260E"/>
    <w:rsid w:val="00892E43"/>
    <w:rsid w:val="00892EF1"/>
    <w:rsid w:val="00893B6A"/>
    <w:rsid w:val="008940FE"/>
    <w:rsid w:val="00894C8F"/>
    <w:rsid w:val="00894FD8"/>
    <w:rsid w:val="00895F04"/>
    <w:rsid w:val="00896264"/>
    <w:rsid w:val="008969FF"/>
    <w:rsid w:val="00896EEB"/>
    <w:rsid w:val="008A2437"/>
    <w:rsid w:val="008A3C16"/>
    <w:rsid w:val="008A5849"/>
    <w:rsid w:val="008A5C74"/>
    <w:rsid w:val="008A62F8"/>
    <w:rsid w:val="008A66EA"/>
    <w:rsid w:val="008A74E8"/>
    <w:rsid w:val="008B08BB"/>
    <w:rsid w:val="008B3735"/>
    <w:rsid w:val="008B5576"/>
    <w:rsid w:val="008B5A17"/>
    <w:rsid w:val="008B6786"/>
    <w:rsid w:val="008B6CB9"/>
    <w:rsid w:val="008C18F6"/>
    <w:rsid w:val="008C4247"/>
    <w:rsid w:val="008C5852"/>
    <w:rsid w:val="008D05C7"/>
    <w:rsid w:val="008D0C16"/>
    <w:rsid w:val="008D0E94"/>
    <w:rsid w:val="008D118F"/>
    <w:rsid w:val="008D318C"/>
    <w:rsid w:val="008D52F9"/>
    <w:rsid w:val="008D539A"/>
    <w:rsid w:val="008D61F1"/>
    <w:rsid w:val="008D6930"/>
    <w:rsid w:val="008D7224"/>
    <w:rsid w:val="008D7FE3"/>
    <w:rsid w:val="008E08A3"/>
    <w:rsid w:val="008E20AD"/>
    <w:rsid w:val="008E2E28"/>
    <w:rsid w:val="008E3116"/>
    <w:rsid w:val="008E7348"/>
    <w:rsid w:val="008E7957"/>
    <w:rsid w:val="008E79C4"/>
    <w:rsid w:val="008F06D9"/>
    <w:rsid w:val="008F0808"/>
    <w:rsid w:val="008F2727"/>
    <w:rsid w:val="008F300C"/>
    <w:rsid w:val="008F5767"/>
    <w:rsid w:val="008F57BA"/>
    <w:rsid w:val="008F5E05"/>
    <w:rsid w:val="008F7A9D"/>
    <w:rsid w:val="00900B4D"/>
    <w:rsid w:val="00900E9F"/>
    <w:rsid w:val="0090194F"/>
    <w:rsid w:val="00901A96"/>
    <w:rsid w:val="00901EFB"/>
    <w:rsid w:val="009025D4"/>
    <w:rsid w:val="00904ADE"/>
    <w:rsid w:val="00905793"/>
    <w:rsid w:val="00905796"/>
    <w:rsid w:val="00905BFC"/>
    <w:rsid w:val="00905E97"/>
    <w:rsid w:val="00906CF5"/>
    <w:rsid w:val="00906F53"/>
    <w:rsid w:val="009078BD"/>
    <w:rsid w:val="00910EA4"/>
    <w:rsid w:val="009115AB"/>
    <w:rsid w:val="009128CE"/>
    <w:rsid w:val="00912AEB"/>
    <w:rsid w:val="00914820"/>
    <w:rsid w:val="009158B5"/>
    <w:rsid w:val="00916D1C"/>
    <w:rsid w:val="009179FE"/>
    <w:rsid w:val="0092083F"/>
    <w:rsid w:val="00926D0A"/>
    <w:rsid w:val="00930042"/>
    <w:rsid w:val="00930DE8"/>
    <w:rsid w:val="009313EC"/>
    <w:rsid w:val="0093219C"/>
    <w:rsid w:val="00933B8B"/>
    <w:rsid w:val="0093428B"/>
    <w:rsid w:val="00934F3C"/>
    <w:rsid w:val="0093637F"/>
    <w:rsid w:val="00936E6E"/>
    <w:rsid w:val="00937D5D"/>
    <w:rsid w:val="00940D5A"/>
    <w:rsid w:val="00942E74"/>
    <w:rsid w:val="009434B9"/>
    <w:rsid w:val="00943A1D"/>
    <w:rsid w:val="00945913"/>
    <w:rsid w:val="009461C2"/>
    <w:rsid w:val="0094708D"/>
    <w:rsid w:val="009474F5"/>
    <w:rsid w:val="009506E5"/>
    <w:rsid w:val="0095231B"/>
    <w:rsid w:val="00952DF2"/>
    <w:rsid w:val="009532AD"/>
    <w:rsid w:val="0095542F"/>
    <w:rsid w:val="0095565F"/>
    <w:rsid w:val="009613D3"/>
    <w:rsid w:val="009656D2"/>
    <w:rsid w:val="009657AF"/>
    <w:rsid w:val="00966D1A"/>
    <w:rsid w:val="00971C1A"/>
    <w:rsid w:val="00971C49"/>
    <w:rsid w:val="009720D8"/>
    <w:rsid w:val="00972138"/>
    <w:rsid w:val="009722BA"/>
    <w:rsid w:val="0097391E"/>
    <w:rsid w:val="00973D7F"/>
    <w:rsid w:val="00973FCA"/>
    <w:rsid w:val="0097447C"/>
    <w:rsid w:val="00976AB9"/>
    <w:rsid w:val="00976F0C"/>
    <w:rsid w:val="00981FB1"/>
    <w:rsid w:val="00982A90"/>
    <w:rsid w:val="00984CF2"/>
    <w:rsid w:val="00986608"/>
    <w:rsid w:val="00986F47"/>
    <w:rsid w:val="00990E3C"/>
    <w:rsid w:val="00993FE7"/>
    <w:rsid w:val="0099522A"/>
    <w:rsid w:val="0099523E"/>
    <w:rsid w:val="009959D8"/>
    <w:rsid w:val="009964F3"/>
    <w:rsid w:val="0099739A"/>
    <w:rsid w:val="009A0866"/>
    <w:rsid w:val="009A1744"/>
    <w:rsid w:val="009A1DFF"/>
    <w:rsid w:val="009A213D"/>
    <w:rsid w:val="009A2478"/>
    <w:rsid w:val="009A3F89"/>
    <w:rsid w:val="009A4445"/>
    <w:rsid w:val="009A47BD"/>
    <w:rsid w:val="009A4A76"/>
    <w:rsid w:val="009A56DC"/>
    <w:rsid w:val="009A6428"/>
    <w:rsid w:val="009A7308"/>
    <w:rsid w:val="009A7497"/>
    <w:rsid w:val="009B06B4"/>
    <w:rsid w:val="009B09F4"/>
    <w:rsid w:val="009B1BD9"/>
    <w:rsid w:val="009B2BDC"/>
    <w:rsid w:val="009B4AB8"/>
    <w:rsid w:val="009B67BA"/>
    <w:rsid w:val="009C1424"/>
    <w:rsid w:val="009C165C"/>
    <w:rsid w:val="009C1A77"/>
    <w:rsid w:val="009C3870"/>
    <w:rsid w:val="009C3D95"/>
    <w:rsid w:val="009C3FA8"/>
    <w:rsid w:val="009C54CF"/>
    <w:rsid w:val="009C59A8"/>
    <w:rsid w:val="009C5F3F"/>
    <w:rsid w:val="009C63A4"/>
    <w:rsid w:val="009C6E4E"/>
    <w:rsid w:val="009D0BC0"/>
    <w:rsid w:val="009D2519"/>
    <w:rsid w:val="009D348B"/>
    <w:rsid w:val="009D350D"/>
    <w:rsid w:val="009D57D0"/>
    <w:rsid w:val="009D5A26"/>
    <w:rsid w:val="009D5B55"/>
    <w:rsid w:val="009D5F23"/>
    <w:rsid w:val="009D77FF"/>
    <w:rsid w:val="009E0B86"/>
    <w:rsid w:val="009E2369"/>
    <w:rsid w:val="009E250B"/>
    <w:rsid w:val="009E2919"/>
    <w:rsid w:val="009E3882"/>
    <w:rsid w:val="009E4645"/>
    <w:rsid w:val="009E5534"/>
    <w:rsid w:val="009E699D"/>
    <w:rsid w:val="009E6BE5"/>
    <w:rsid w:val="009E7222"/>
    <w:rsid w:val="009F00E5"/>
    <w:rsid w:val="009F09EC"/>
    <w:rsid w:val="009F0F77"/>
    <w:rsid w:val="009F1EAB"/>
    <w:rsid w:val="009F2ACD"/>
    <w:rsid w:val="009F33E5"/>
    <w:rsid w:val="009F4E11"/>
    <w:rsid w:val="009F5C15"/>
    <w:rsid w:val="009F6EFF"/>
    <w:rsid w:val="00A002C9"/>
    <w:rsid w:val="00A01276"/>
    <w:rsid w:val="00A01EC7"/>
    <w:rsid w:val="00A020F2"/>
    <w:rsid w:val="00A027CA"/>
    <w:rsid w:val="00A04B72"/>
    <w:rsid w:val="00A06305"/>
    <w:rsid w:val="00A06610"/>
    <w:rsid w:val="00A0695F"/>
    <w:rsid w:val="00A076CE"/>
    <w:rsid w:val="00A07AB7"/>
    <w:rsid w:val="00A11E6E"/>
    <w:rsid w:val="00A12141"/>
    <w:rsid w:val="00A145AC"/>
    <w:rsid w:val="00A14AC1"/>
    <w:rsid w:val="00A14B16"/>
    <w:rsid w:val="00A152C7"/>
    <w:rsid w:val="00A15989"/>
    <w:rsid w:val="00A1698C"/>
    <w:rsid w:val="00A16FE9"/>
    <w:rsid w:val="00A17456"/>
    <w:rsid w:val="00A208DA"/>
    <w:rsid w:val="00A20927"/>
    <w:rsid w:val="00A20BFD"/>
    <w:rsid w:val="00A21221"/>
    <w:rsid w:val="00A2129F"/>
    <w:rsid w:val="00A2163F"/>
    <w:rsid w:val="00A21D4A"/>
    <w:rsid w:val="00A2217B"/>
    <w:rsid w:val="00A24C5D"/>
    <w:rsid w:val="00A251BF"/>
    <w:rsid w:val="00A25453"/>
    <w:rsid w:val="00A25759"/>
    <w:rsid w:val="00A25A7C"/>
    <w:rsid w:val="00A279F2"/>
    <w:rsid w:val="00A27D25"/>
    <w:rsid w:val="00A322AE"/>
    <w:rsid w:val="00A330E3"/>
    <w:rsid w:val="00A337B5"/>
    <w:rsid w:val="00A3537F"/>
    <w:rsid w:val="00A35A06"/>
    <w:rsid w:val="00A361F7"/>
    <w:rsid w:val="00A3735C"/>
    <w:rsid w:val="00A3743A"/>
    <w:rsid w:val="00A375EE"/>
    <w:rsid w:val="00A4056E"/>
    <w:rsid w:val="00A40F6D"/>
    <w:rsid w:val="00A4119E"/>
    <w:rsid w:val="00A4161E"/>
    <w:rsid w:val="00A42F3A"/>
    <w:rsid w:val="00A43B56"/>
    <w:rsid w:val="00A440DC"/>
    <w:rsid w:val="00A443D7"/>
    <w:rsid w:val="00A455B5"/>
    <w:rsid w:val="00A461B2"/>
    <w:rsid w:val="00A4672B"/>
    <w:rsid w:val="00A46EF7"/>
    <w:rsid w:val="00A47012"/>
    <w:rsid w:val="00A47700"/>
    <w:rsid w:val="00A47A7A"/>
    <w:rsid w:val="00A52A70"/>
    <w:rsid w:val="00A55B67"/>
    <w:rsid w:val="00A55C93"/>
    <w:rsid w:val="00A56873"/>
    <w:rsid w:val="00A57B71"/>
    <w:rsid w:val="00A60016"/>
    <w:rsid w:val="00A6031C"/>
    <w:rsid w:val="00A60A64"/>
    <w:rsid w:val="00A62CE6"/>
    <w:rsid w:val="00A62F0A"/>
    <w:rsid w:val="00A635CC"/>
    <w:rsid w:val="00A63812"/>
    <w:rsid w:val="00A6542B"/>
    <w:rsid w:val="00A65B0C"/>
    <w:rsid w:val="00A66934"/>
    <w:rsid w:val="00A66BB2"/>
    <w:rsid w:val="00A677FA"/>
    <w:rsid w:val="00A710B0"/>
    <w:rsid w:val="00A7184D"/>
    <w:rsid w:val="00A7463D"/>
    <w:rsid w:val="00A76F86"/>
    <w:rsid w:val="00A778E5"/>
    <w:rsid w:val="00A80E3B"/>
    <w:rsid w:val="00A81FFD"/>
    <w:rsid w:val="00A842F8"/>
    <w:rsid w:val="00A86F97"/>
    <w:rsid w:val="00A906EE"/>
    <w:rsid w:val="00A90CAC"/>
    <w:rsid w:val="00A918CD"/>
    <w:rsid w:val="00A91A49"/>
    <w:rsid w:val="00A94F0D"/>
    <w:rsid w:val="00A9739D"/>
    <w:rsid w:val="00AA253F"/>
    <w:rsid w:val="00AA39BD"/>
    <w:rsid w:val="00AA3E26"/>
    <w:rsid w:val="00AA46A3"/>
    <w:rsid w:val="00AA4F98"/>
    <w:rsid w:val="00AA572D"/>
    <w:rsid w:val="00AA5E5F"/>
    <w:rsid w:val="00AA6932"/>
    <w:rsid w:val="00AA735F"/>
    <w:rsid w:val="00AB065D"/>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4A7"/>
    <w:rsid w:val="00AD457D"/>
    <w:rsid w:val="00AD562B"/>
    <w:rsid w:val="00AD69D0"/>
    <w:rsid w:val="00AD7618"/>
    <w:rsid w:val="00AD7E85"/>
    <w:rsid w:val="00AE1B95"/>
    <w:rsid w:val="00AE23C8"/>
    <w:rsid w:val="00AE245E"/>
    <w:rsid w:val="00AE4161"/>
    <w:rsid w:val="00AE6ADA"/>
    <w:rsid w:val="00AE7EA7"/>
    <w:rsid w:val="00AF050C"/>
    <w:rsid w:val="00AF05D1"/>
    <w:rsid w:val="00AF53D1"/>
    <w:rsid w:val="00AF7D55"/>
    <w:rsid w:val="00B0107B"/>
    <w:rsid w:val="00B018E0"/>
    <w:rsid w:val="00B02135"/>
    <w:rsid w:val="00B04F85"/>
    <w:rsid w:val="00B05314"/>
    <w:rsid w:val="00B05597"/>
    <w:rsid w:val="00B068A9"/>
    <w:rsid w:val="00B07019"/>
    <w:rsid w:val="00B07169"/>
    <w:rsid w:val="00B079C8"/>
    <w:rsid w:val="00B10652"/>
    <w:rsid w:val="00B10F46"/>
    <w:rsid w:val="00B11E57"/>
    <w:rsid w:val="00B12BF5"/>
    <w:rsid w:val="00B1307E"/>
    <w:rsid w:val="00B130AC"/>
    <w:rsid w:val="00B133B6"/>
    <w:rsid w:val="00B15770"/>
    <w:rsid w:val="00B179B8"/>
    <w:rsid w:val="00B17EA9"/>
    <w:rsid w:val="00B17F9C"/>
    <w:rsid w:val="00B20B4A"/>
    <w:rsid w:val="00B2242E"/>
    <w:rsid w:val="00B2316C"/>
    <w:rsid w:val="00B24298"/>
    <w:rsid w:val="00B24C67"/>
    <w:rsid w:val="00B24DA7"/>
    <w:rsid w:val="00B2662F"/>
    <w:rsid w:val="00B30931"/>
    <w:rsid w:val="00B31096"/>
    <w:rsid w:val="00B31B90"/>
    <w:rsid w:val="00B31F66"/>
    <w:rsid w:val="00B32A2A"/>
    <w:rsid w:val="00B332C0"/>
    <w:rsid w:val="00B3393D"/>
    <w:rsid w:val="00B3460C"/>
    <w:rsid w:val="00B34D9F"/>
    <w:rsid w:val="00B363F9"/>
    <w:rsid w:val="00B367AA"/>
    <w:rsid w:val="00B36A67"/>
    <w:rsid w:val="00B36C33"/>
    <w:rsid w:val="00B3714D"/>
    <w:rsid w:val="00B374C0"/>
    <w:rsid w:val="00B37A45"/>
    <w:rsid w:val="00B40521"/>
    <w:rsid w:val="00B406F6"/>
    <w:rsid w:val="00B412FC"/>
    <w:rsid w:val="00B41743"/>
    <w:rsid w:val="00B41FD4"/>
    <w:rsid w:val="00B442C8"/>
    <w:rsid w:val="00B458E5"/>
    <w:rsid w:val="00B461F1"/>
    <w:rsid w:val="00B475D1"/>
    <w:rsid w:val="00B47ACC"/>
    <w:rsid w:val="00B52E20"/>
    <w:rsid w:val="00B53AEC"/>
    <w:rsid w:val="00B60171"/>
    <w:rsid w:val="00B60667"/>
    <w:rsid w:val="00B60F19"/>
    <w:rsid w:val="00B61385"/>
    <w:rsid w:val="00B6298D"/>
    <w:rsid w:val="00B63F66"/>
    <w:rsid w:val="00B652AB"/>
    <w:rsid w:val="00B66CD4"/>
    <w:rsid w:val="00B67093"/>
    <w:rsid w:val="00B7034B"/>
    <w:rsid w:val="00B70D6A"/>
    <w:rsid w:val="00B71DE1"/>
    <w:rsid w:val="00B72EEA"/>
    <w:rsid w:val="00B733D1"/>
    <w:rsid w:val="00B73DD8"/>
    <w:rsid w:val="00B74A2F"/>
    <w:rsid w:val="00B7627B"/>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A10A3"/>
    <w:rsid w:val="00BA1B76"/>
    <w:rsid w:val="00BA34B1"/>
    <w:rsid w:val="00BA4CE0"/>
    <w:rsid w:val="00BA4E15"/>
    <w:rsid w:val="00BA57C0"/>
    <w:rsid w:val="00BA6430"/>
    <w:rsid w:val="00BA7FCC"/>
    <w:rsid w:val="00BB00DE"/>
    <w:rsid w:val="00BB04AB"/>
    <w:rsid w:val="00BB2346"/>
    <w:rsid w:val="00BB274A"/>
    <w:rsid w:val="00BB31E5"/>
    <w:rsid w:val="00BB39AE"/>
    <w:rsid w:val="00BB4078"/>
    <w:rsid w:val="00BB51C3"/>
    <w:rsid w:val="00BB5767"/>
    <w:rsid w:val="00BB6824"/>
    <w:rsid w:val="00BB70D8"/>
    <w:rsid w:val="00BB710A"/>
    <w:rsid w:val="00BB71D3"/>
    <w:rsid w:val="00BC11F1"/>
    <w:rsid w:val="00BC2E32"/>
    <w:rsid w:val="00BC2EBF"/>
    <w:rsid w:val="00BC45E3"/>
    <w:rsid w:val="00BC46E3"/>
    <w:rsid w:val="00BC482C"/>
    <w:rsid w:val="00BC544A"/>
    <w:rsid w:val="00BC60F0"/>
    <w:rsid w:val="00BC6292"/>
    <w:rsid w:val="00BC6D0D"/>
    <w:rsid w:val="00BC728A"/>
    <w:rsid w:val="00BD0E56"/>
    <w:rsid w:val="00BD2120"/>
    <w:rsid w:val="00BD431A"/>
    <w:rsid w:val="00BD43EE"/>
    <w:rsid w:val="00BD46FD"/>
    <w:rsid w:val="00BD4D84"/>
    <w:rsid w:val="00BD52AE"/>
    <w:rsid w:val="00BD753B"/>
    <w:rsid w:val="00BD7BBB"/>
    <w:rsid w:val="00BE05CB"/>
    <w:rsid w:val="00BE0AB3"/>
    <w:rsid w:val="00BE2681"/>
    <w:rsid w:val="00BE2BE3"/>
    <w:rsid w:val="00BE4428"/>
    <w:rsid w:val="00BE6D62"/>
    <w:rsid w:val="00BE6F56"/>
    <w:rsid w:val="00BE7406"/>
    <w:rsid w:val="00BE796E"/>
    <w:rsid w:val="00BF01C0"/>
    <w:rsid w:val="00BF0828"/>
    <w:rsid w:val="00BF0EC1"/>
    <w:rsid w:val="00BF191E"/>
    <w:rsid w:val="00BF5766"/>
    <w:rsid w:val="00BF5A89"/>
    <w:rsid w:val="00C003B8"/>
    <w:rsid w:val="00C007A7"/>
    <w:rsid w:val="00C0242D"/>
    <w:rsid w:val="00C02BD2"/>
    <w:rsid w:val="00C03A02"/>
    <w:rsid w:val="00C064DF"/>
    <w:rsid w:val="00C0684E"/>
    <w:rsid w:val="00C07867"/>
    <w:rsid w:val="00C079F6"/>
    <w:rsid w:val="00C10410"/>
    <w:rsid w:val="00C11634"/>
    <w:rsid w:val="00C131A2"/>
    <w:rsid w:val="00C13777"/>
    <w:rsid w:val="00C13AAA"/>
    <w:rsid w:val="00C13EE8"/>
    <w:rsid w:val="00C14424"/>
    <w:rsid w:val="00C14E11"/>
    <w:rsid w:val="00C15E97"/>
    <w:rsid w:val="00C2031B"/>
    <w:rsid w:val="00C2068C"/>
    <w:rsid w:val="00C2294C"/>
    <w:rsid w:val="00C22A63"/>
    <w:rsid w:val="00C2325B"/>
    <w:rsid w:val="00C2521A"/>
    <w:rsid w:val="00C2677C"/>
    <w:rsid w:val="00C273A7"/>
    <w:rsid w:val="00C27A4F"/>
    <w:rsid w:val="00C30115"/>
    <w:rsid w:val="00C30201"/>
    <w:rsid w:val="00C30EA7"/>
    <w:rsid w:val="00C313A4"/>
    <w:rsid w:val="00C31F06"/>
    <w:rsid w:val="00C31F55"/>
    <w:rsid w:val="00C31FFF"/>
    <w:rsid w:val="00C32C31"/>
    <w:rsid w:val="00C32D3E"/>
    <w:rsid w:val="00C32F15"/>
    <w:rsid w:val="00C33509"/>
    <w:rsid w:val="00C3372D"/>
    <w:rsid w:val="00C340E5"/>
    <w:rsid w:val="00C34B21"/>
    <w:rsid w:val="00C35959"/>
    <w:rsid w:val="00C419A3"/>
    <w:rsid w:val="00C41C39"/>
    <w:rsid w:val="00C42068"/>
    <w:rsid w:val="00C42C45"/>
    <w:rsid w:val="00C43381"/>
    <w:rsid w:val="00C44742"/>
    <w:rsid w:val="00C46206"/>
    <w:rsid w:val="00C46570"/>
    <w:rsid w:val="00C4696E"/>
    <w:rsid w:val="00C474CB"/>
    <w:rsid w:val="00C47932"/>
    <w:rsid w:val="00C52152"/>
    <w:rsid w:val="00C54284"/>
    <w:rsid w:val="00C548CB"/>
    <w:rsid w:val="00C54EF2"/>
    <w:rsid w:val="00C56966"/>
    <w:rsid w:val="00C56B56"/>
    <w:rsid w:val="00C57F07"/>
    <w:rsid w:val="00C61275"/>
    <w:rsid w:val="00C61324"/>
    <w:rsid w:val="00C62A2F"/>
    <w:rsid w:val="00C6413D"/>
    <w:rsid w:val="00C64278"/>
    <w:rsid w:val="00C65BF5"/>
    <w:rsid w:val="00C676FF"/>
    <w:rsid w:val="00C707F4"/>
    <w:rsid w:val="00C711CA"/>
    <w:rsid w:val="00C7183E"/>
    <w:rsid w:val="00C751B0"/>
    <w:rsid w:val="00C753E0"/>
    <w:rsid w:val="00C77178"/>
    <w:rsid w:val="00C77940"/>
    <w:rsid w:val="00C811F5"/>
    <w:rsid w:val="00C8271B"/>
    <w:rsid w:val="00C8297D"/>
    <w:rsid w:val="00C84390"/>
    <w:rsid w:val="00C84A21"/>
    <w:rsid w:val="00C87F13"/>
    <w:rsid w:val="00C87FEB"/>
    <w:rsid w:val="00C91077"/>
    <w:rsid w:val="00C915BC"/>
    <w:rsid w:val="00C915F3"/>
    <w:rsid w:val="00C920BE"/>
    <w:rsid w:val="00C92937"/>
    <w:rsid w:val="00C93576"/>
    <w:rsid w:val="00C94D69"/>
    <w:rsid w:val="00CA0854"/>
    <w:rsid w:val="00CA097A"/>
    <w:rsid w:val="00CA0B3A"/>
    <w:rsid w:val="00CA1E59"/>
    <w:rsid w:val="00CA38EF"/>
    <w:rsid w:val="00CA5C25"/>
    <w:rsid w:val="00CB077B"/>
    <w:rsid w:val="00CB088F"/>
    <w:rsid w:val="00CB0918"/>
    <w:rsid w:val="00CB0F16"/>
    <w:rsid w:val="00CB0F45"/>
    <w:rsid w:val="00CB175E"/>
    <w:rsid w:val="00CB218C"/>
    <w:rsid w:val="00CB241A"/>
    <w:rsid w:val="00CB3A30"/>
    <w:rsid w:val="00CB4FD5"/>
    <w:rsid w:val="00CB530F"/>
    <w:rsid w:val="00CB5B3E"/>
    <w:rsid w:val="00CB6236"/>
    <w:rsid w:val="00CB6C40"/>
    <w:rsid w:val="00CB731B"/>
    <w:rsid w:val="00CB7892"/>
    <w:rsid w:val="00CB7E36"/>
    <w:rsid w:val="00CC3682"/>
    <w:rsid w:val="00CC39A0"/>
    <w:rsid w:val="00CC3F20"/>
    <w:rsid w:val="00CC40AD"/>
    <w:rsid w:val="00CC6A99"/>
    <w:rsid w:val="00CC7624"/>
    <w:rsid w:val="00CD7644"/>
    <w:rsid w:val="00CD7D5F"/>
    <w:rsid w:val="00CE05BC"/>
    <w:rsid w:val="00CE2A7D"/>
    <w:rsid w:val="00CE510B"/>
    <w:rsid w:val="00CE67D7"/>
    <w:rsid w:val="00CE7774"/>
    <w:rsid w:val="00CE7DBA"/>
    <w:rsid w:val="00CF1DFC"/>
    <w:rsid w:val="00CF3DF8"/>
    <w:rsid w:val="00CF443F"/>
    <w:rsid w:val="00CF4571"/>
    <w:rsid w:val="00CF65DA"/>
    <w:rsid w:val="00CF6EF5"/>
    <w:rsid w:val="00D0229D"/>
    <w:rsid w:val="00D03376"/>
    <w:rsid w:val="00D03619"/>
    <w:rsid w:val="00D0637B"/>
    <w:rsid w:val="00D06695"/>
    <w:rsid w:val="00D0768D"/>
    <w:rsid w:val="00D106F1"/>
    <w:rsid w:val="00D10BE1"/>
    <w:rsid w:val="00D15404"/>
    <w:rsid w:val="00D16619"/>
    <w:rsid w:val="00D20392"/>
    <w:rsid w:val="00D20570"/>
    <w:rsid w:val="00D2211E"/>
    <w:rsid w:val="00D2272A"/>
    <w:rsid w:val="00D2311C"/>
    <w:rsid w:val="00D25D52"/>
    <w:rsid w:val="00D261B0"/>
    <w:rsid w:val="00D261DB"/>
    <w:rsid w:val="00D265A5"/>
    <w:rsid w:val="00D268F5"/>
    <w:rsid w:val="00D26BA5"/>
    <w:rsid w:val="00D27804"/>
    <w:rsid w:val="00D31F18"/>
    <w:rsid w:val="00D33196"/>
    <w:rsid w:val="00D33A14"/>
    <w:rsid w:val="00D33E32"/>
    <w:rsid w:val="00D35868"/>
    <w:rsid w:val="00D373A6"/>
    <w:rsid w:val="00D4075D"/>
    <w:rsid w:val="00D4192D"/>
    <w:rsid w:val="00D43236"/>
    <w:rsid w:val="00D43E7F"/>
    <w:rsid w:val="00D44351"/>
    <w:rsid w:val="00D44911"/>
    <w:rsid w:val="00D46A8B"/>
    <w:rsid w:val="00D4734E"/>
    <w:rsid w:val="00D50E5B"/>
    <w:rsid w:val="00D512E0"/>
    <w:rsid w:val="00D51C82"/>
    <w:rsid w:val="00D52B35"/>
    <w:rsid w:val="00D5403D"/>
    <w:rsid w:val="00D54B45"/>
    <w:rsid w:val="00D57412"/>
    <w:rsid w:val="00D602CE"/>
    <w:rsid w:val="00D603CE"/>
    <w:rsid w:val="00D60605"/>
    <w:rsid w:val="00D60D3F"/>
    <w:rsid w:val="00D615FE"/>
    <w:rsid w:val="00D636F8"/>
    <w:rsid w:val="00D64029"/>
    <w:rsid w:val="00D64474"/>
    <w:rsid w:val="00D64A46"/>
    <w:rsid w:val="00D64DCE"/>
    <w:rsid w:val="00D64E61"/>
    <w:rsid w:val="00D64E99"/>
    <w:rsid w:val="00D66219"/>
    <w:rsid w:val="00D662CC"/>
    <w:rsid w:val="00D676BE"/>
    <w:rsid w:val="00D67D2D"/>
    <w:rsid w:val="00D67F0E"/>
    <w:rsid w:val="00D703C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C8C"/>
    <w:rsid w:val="00D851E0"/>
    <w:rsid w:val="00D85EFD"/>
    <w:rsid w:val="00D864CD"/>
    <w:rsid w:val="00D87D18"/>
    <w:rsid w:val="00D9018C"/>
    <w:rsid w:val="00D901FB"/>
    <w:rsid w:val="00D9132E"/>
    <w:rsid w:val="00D91BFD"/>
    <w:rsid w:val="00D9757E"/>
    <w:rsid w:val="00D97A89"/>
    <w:rsid w:val="00DA0244"/>
    <w:rsid w:val="00DA0303"/>
    <w:rsid w:val="00DA0B74"/>
    <w:rsid w:val="00DA0C09"/>
    <w:rsid w:val="00DA12A0"/>
    <w:rsid w:val="00DA1881"/>
    <w:rsid w:val="00DA34D6"/>
    <w:rsid w:val="00DA3647"/>
    <w:rsid w:val="00DA38F6"/>
    <w:rsid w:val="00DA3D0E"/>
    <w:rsid w:val="00DA41AA"/>
    <w:rsid w:val="00DA4395"/>
    <w:rsid w:val="00DA506C"/>
    <w:rsid w:val="00DA5D4A"/>
    <w:rsid w:val="00DA7294"/>
    <w:rsid w:val="00DB36EF"/>
    <w:rsid w:val="00DB6CCD"/>
    <w:rsid w:val="00DB750E"/>
    <w:rsid w:val="00DC20BE"/>
    <w:rsid w:val="00DC2D6B"/>
    <w:rsid w:val="00DC37A0"/>
    <w:rsid w:val="00DC384E"/>
    <w:rsid w:val="00DC393B"/>
    <w:rsid w:val="00DC3A8B"/>
    <w:rsid w:val="00DC44F8"/>
    <w:rsid w:val="00DC4812"/>
    <w:rsid w:val="00DC692C"/>
    <w:rsid w:val="00DC6F2B"/>
    <w:rsid w:val="00DD1669"/>
    <w:rsid w:val="00DD17AC"/>
    <w:rsid w:val="00DD2B3A"/>
    <w:rsid w:val="00DD4406"/>
    <w:rsid w:val="00DD454B"/>
    <w:rsid w:val="00DD47E9"/>
    <w:rsid w:val="00DD4A2A"/>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F0656"/>
    <w:rsid w:val="00DF0F21"/>
    <w:rsid w:val="00DF2742"/>
    <w:rsid w:val="00DF27EE"/>
    <w:rsid w:val="00DF3AB5"/>
    <w:rsid w:val="00DF4466"/>
    <w:rsid w:val="00DF5053"/>
    <w:rsid w:val="00DF55C4"/>
    <w:rsid w:val="00DF5FBC"/>
    <w:rsid w:val="00DF6A3C"/>
    <w:rsid w:val="00DF758E"/>
    <w:rsid w:val="00DF7AC0"/>
    <w:rsid w:val="00E00E89"/>
    <w:rsid w:val="00E029E7"/>
    <w:rsid w:val="00E02D92"/>
    <w:rsid w:val="00E03053"/>
    <w:rsid w:val="00E03240"/>
    <w:rsid w:val="00E04988"/>
    <w:rsid w:val="00E05762"/>
    <w:rsid w:val="00E059AC"/>
    <w:rsid w:val="00E05DF5"/>
    <w:rsid w:val="00E069E3"/>
    <w:rsid w:val="00E11798"/>
    <w:rsid w:val="00E11E19"/>
    <w:rsid w:val="00E12FA8"/>
    <w:rsid w:val="00E1379E"/>
    <w:rsid w:val="00E1584E"/>
    <w:rsid w:val="00E15AE7"/>
    <w:rsid w:val="00E16EE4"/>
    <w:rsid w:val="00E16F16"/>
    <w:rsid w:val="00E17314"/>
    <w:rsid w:val="00E17839"/>
    <w:rsid w:val="00E2001A"/>
    <w:rsid w:val="00E20051"/>
    <w:rsid w:val="00E209EB"/>
    <w:rsid w:val="00E22B0D"/>
    <w:rsid w:val="00E23776"/>
    <w:rsid w:val="00E239E3"/>
    <w:rsid w:val="00E24DA7"/>
    <w:rsid w:val="00E30A24"/>
    <w:rsid w:val="00E31617"/>
    <w:rsid w:val="00E31DF3"/>
    <w:rsid w:val="00E31EF6"/>
    <w:rsid w:val="00E32F65"/>
    <w:rsid w:val="00E34399"/>
    <w:rsid w:val="00E3770B"/>
    <w:rsid w:val="00E403FC"/>
    <w:rsid w:val="00E4133A"/>
    <w:rsid w:val="00E4161B"/>
    <w:rsid w:val="00E41A19"/>
    <w:rsid w:val="00E42445"/>
    <w:rsid w:val="00E437E7"/>
    <w:rsid w:val="00E4434F"/>
    <w:rsid w:val="00E450DB"/>
    <w:rsid w:val="00E457EC"/>
    <w:rsid w:val="00E47B2A"/>
    <w:rsid w:val="00E50392"/>
    <w:rsid w:val="00E50CE8"/>
    <w:rsid w:val="00E5147F"/>
    <w:rsid w:val="00E51C64"/>
    <w:rsid w:val="00E525E0"/>
    <w:rsid w:val="00E5439C"/>
    <w:rsid w:val="00E54928"/>
    <w:rsid w:val="00E552F2"/>
    <w:rsid w:val="00E5617F"/>
    <w:rsid w:val="00E61C67"/>
    <w:rsid w:val="00E62048"/>
    <w:rsid w:val="00E64B2F"/>
    <w:rsid w:val="00E65951"/>
    <w:rsid w:val="00E6785A"/>
    <w:rsid w:val="00E67880"/>
    <w:rsid w:val="00E7111A"/>
    <w:rsid w:val="00E71D9A"/>
    <w:rsid w:val="00E73323"/>
    <w:rsid w:val="00E74330"/>
    <w:rsid w:val="00E748E5"/>
    <w:rsid w:val="00E7491B"/>
    <w:rsid w:val="00E75AEB"/>
    <w:rsid w:val="00E775E1"/>
    <w:rsid w:val="00E77F50"/>
    <w:rsid w:val="00E81647"/>
    <w:rsid w:val="00E828A9"/>
    <w:rsid w:val="00E82A03"/>
    <w:rsid w:val="00E83001"/>
    <w:rsid w:val="00E85D5E"/>
    <w:rsid w:val="00E860BD"/>
    <w:rsid w:val="00E8623F"/>
    <w:rsid w:val="00E8646A"/>
    <w:rsid w:val="00E86F26"/>
    <w:rsid w:val="00E9353F"/>
    <w:rsid w:val="00E94DEF"/>
    <w:rsid w:val="00E95A52"/>
    <w:rsid w:val="00E96155"/>
    <w:rsid w:val="00E969B9"/>
    <w:rsid w:val="00E97874"/>
    <w:rsid w:val="00E97CB2"/>
    <w:rsid w:val="00E97E6E"/>
    <w:rsid w:val="00EA18AF"/>
    <w:rsid w:val="00EA3ECD"/>
    <w:rsid w:val="00EA4496"/>
    <w:rsid w:val="00EA59C7"/>
    <w:rsid w:val="00EA5E2E"/>
    <w:rsid w:val="00EA608A"/>
    <w:rsid w:val="00EA664C"/>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C07BE"/>
    <w:rsid w:val="00EC23C7"/>
    <w:rsid w:val="00EC308A"/>
    <w:rsid w:val="00EC5EF1"/>
    <w:rsid w:val="00EC640E"/>
    <w:rsid w:val="00EC6B84"/>
    <w:rsid w:val="00EC7509"/>
    <w:rsid w:val="00EC7CAA"/>
    <w:rsid w:val="00EC7DBD"/>
    <w:rsid w:val="00EC7E5B"/>
    <w:rsid w:val="00EC7F2E"/>
    <w:rsid w:val="00ED15F7"/>
    <w:rsid w:val="00ED22ED"/>
    <w:rsid w:val="00ED3371"/>
    <w:rsid w:val="00ED39A8"/>
    <w:rsid w:val="00ED46BB"/>
    <w:rsid w:val="00ED4842"/>
    <w:rsid w:val="00ED4F29"/>
    <w:rsid w:val="00ED5C52"/>
    <w:rsid w:val="00ED5FCC"/>
    <w:rsid w:val="00ED72B8"/>
    <w:rsid w:val="00ED78C0"/>
    <w:rsid w:val="00EE0981"/>
    <w:rsid w:val="00EE0F5D"/>
    <w:rsid w:val="00EE0F74"/>
    <w:rsid w:val="00EE2D71"/>
    <w:rsid w:val="00EE2FD4"/>
    <w:rsid w:val="00EE3B83"/>
    <w:rsid w:val="00EE5AD4"/>
    <w:rsid w:val="00EE694F"/>
    <w:rsid w:val="00EE72F2"/>
    <w:rsid w:val="00EF0CD7"/>
    <w:rsid w:val="00EF28FD"/>
    <w:rsid w:val="00EF29A0"/>
    <w:rsid w:val="00EF501A"/>
    <w:rsid w:val="00EF5314"/>
    <w:rsid w:val="00EF6EAD"/>
    <w:rsid w:val="00EF7C8D"/>
    <w:rsid w:val="00F006C2"/>
    <w:rsid w:val="00F0112D"/>
    <w:rsid w:val="00F0211C"/>
    <w:rsid w:val="00F0230A"/>
    <w:rsid w:val="00F02375"/>
    <w:rsid w:val="00F02C8B"/>
    <w:rsid w:val="00F02CBF"/>
    <w:rsid w:val="00F03B13"/>
    <w:rsid w:val="00F05BE6"/>
    <w:rsid w:val="00F06485"/>
    <w:rsid w:val="00F106A6"/>
    <w:rsid w:val="00F1269D"/>
    <w:rsid w:val="00F12C12"/>
    <w:rsid w:val="00F132BB"/>
    <w:rsid w:val="00F14579"/>
    <w:rsid w:val="00F152CB"/>
    <w:rsid w:val="00F15A00"/>
    <w:rsid w:val="00F15B6D"/>
    <w:rsid w:val="00F15E0C"/>
    <w:rsid w:val="00F15F9B"/>
    <w:rsid w:val="00F17B82"/>
    <w:rsid w:val="00F2038C"/>
    <w:rsid w:val="00F2045B"/>
    <w:rsid w:val="00F2068D"/>
    <w:rsid w:val="00F20869"/>
    <w:rsid w:val="00F2195C"/>
    <w:rsid w:val="00F23C10"/>
    <w:rsid w:val="00F251D8"/>
    <w:rsid w:val="00F25AF6"/>
    <w:rsid w:val="00F267B6"/>
    <w:rsid w:val="00F268AC"/>
    <w:rsid w:val="00F30805"/>
    <w:rsid w:val="00F34040"/>
    <w:rsid w:val="00F35369"/>
    <w:rsid w:val="00F3608D"/>
    <w:rsid w:val="00F36132"/>
    <w:rsid w:val="00F36F47"/>
    <w:rsid w:val="00F41427"/>
    <w:rsid w:val="00F41FD5"/>
    <w:rsid w:val="00F42CF5"/>
    <w:rsid w:val="00F43723"/>
    <w:rsid w:val="00F43826"/>
    <w:rsid w:val="00F45A22"/>
    <w:rsid w:val="00F45C95"/>
    <w:rsid w:val="00F45FA3"/>
    <w:rsid w:val="00F4785D"/>
    <w:rsid w:val="00F50030"/>
    <w:rsid w:val="00F5113D"/>
    <w:rsid w:val="00F51365"/>
    <w:rsid w:val="00F527E9"/>
    <w:rsid w:val="00F528D9"/>
    <w:rsid w:val="00F52928"/>
    <w:rsid w:val="00F53004"/>
    <w:rsid w:val="00F5417F"/>
    <w:rsid w:val="00F5550E"/>
    <w:rsid w:val="00F55589"/>
    <w:rsid w:val="00F55A6C"/>
    <w:rsid w:val="00F5648C"/>
    <w:rsid w:val="00F564BC"/>
    <w:rsid w:val="00F5676C"/>
    <w:rsid w:val="00F57747"/>
    <w:rsid w:val="00F60928"/>
    <w:rsid w:val="00F60D04"/>
    <w:rsid w:val="00F61D7B"/>
    <w:rsid w:val="00F628FE"/>
    <w:rsid w:val="00F63176"/>
    <w:rsid w:val="00F658BC"/>
    <w:rsid w:val="00F701B7"/>
    <w:rsid w:val="00F71084"/>
    <w:rsid w:val="00F719DD"/>
    <w:rsid w:val="00F72A1C"/>
    <w:rsid w:val="00F73D2B"/>
    <w:rsid w:val="00F7656A"/>
    <w:rsid w:val="00F8001F"/>
    <w:rsid w:val="00F80EAC"/>
    <w:rsid w:val="00F815AF"/>
    <w:rsid w:val="00F82816"/>
    <w:rsid w:val="00F8348A"/>
    <w:rsid w:val="00F8399D"/>
    <w:rsid w:val="00F84430"/>
    <w:rsid w:val="00F84FE7"/>
    <w:rsid w:val="00F850AB"/>
    <w:rsid w:val="00F853B3"/>
    <w:rsid w:val="00F86617"/>
    <w:rsid w:val="00F86D83"/>
    <w:rsid w:val="00F910C7"/>
    <w:rsid w:val="00F920E0"/>
    <w:rsid w:val="00F92466"/>
    <w:rsid w:val="00F92C62"/>
    <w:rsid w:val="00F944C7"/>
    <w:rsid w:val="00F94C30"/>
    <w:rsid w:val="00F95D19"/>
    <w:rsid w:val="00F95DA0"/>
    <w:rsid w:val="00F960CA"/>
    <w:rsid w:val="00F960E7"/>
    <w:rsid w:val="00F96B1A"/>
    <w:rsid w:val="00FA16E6"/>
    <w:rsid w:val="00FA29F6"/>
    <w:rsid w:val="00FA2A19"/>
    <w:rsid w:val="00FA2FD6"/>
    <w:rsid w:val="00FA36B9"/>
    <w:rsid w:val="00FA3999"/>
    <w:rsid w:val="00FA3DA1"/>
    <w:rsid w:val="00FA721C"/>
    <w:rsid w:val="00FA7CE7"/>
    <w:rsid w:val="00FB061F"/>
    <w:rsid w:val="00FB1380"/>
    <w:rsid w:val="00FB1663"/>
    <w:rsid w:val="00FB1718"/>
    <w:rsid w:val="00FB514B"/>
    <w:rsid w:val="00FB6575"/>
    <w:rsid w:val="00FB6F4B"/>
    <w:rsid w:val="00FC054B"/>
    <w:rsid w:val="00FC25CF"/>
    <w:rsid w:val="00FC4920"/>
    <w:rsid w:val="00FC590E"/>
    <w:rsid w:val="00FC5B86"/>
    <w:rsid w:val="00FC61DB"/>
    <w:rsid w:val="00FC6693"/>
    <w:rsid w:val="00FC7F1E"/>
    <w:rsid w:val="00FD044C"/>
    <w:rsid w:val="00FD13F9"/>
    <w:rsid w:val="00FD29DA"/>
    <w:rsid w:val="00FD3E20"/>
    <w:rsid w:val="00FD42F0"/>
    <w:rsid w:val="00FD5337"/>
    <w:rsid w:val="00FD60B5"/>
    <w:rsid w:val="00FE0166"/>
    <w:rsid w:val="00FE0B35"/>
    <w:rsid w:val="00FE273A"/>
    <w:rsid w:val="00FE2B69"/>
    <w:rsid w:val="00FE38DC"/>
    <w:rsid w:val="00FE5998"/>
    <w:rsid w:val="00FE71E5"/>
    <w:rsid w:val="00FE7D28"/>
    <w:rsid w:val="00FE7D4F"/>
    <w:rsid w:val="00FF08FB"/>
    <w:rsid w:val="00FF303C"/>
    <w:rsid w:val="00FF34A1"/>
    <w:rsid w:val="00FF38CE"/>
    <w:rsid w:val="00FF3C32"/>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F7D6F"/>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Ind w:w="0" w:type="dxa"/>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CellMar>
        <w:top w:w="0" w:type="dxa"/>
        <w:left w:w="108" w:type="dxa"/>
        <w:bottom w:w="0" w:type="dxa"/>
        <w:right w:w="108" w:type="dxa"/>
      </w:tblCellMar>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Ind w:w="0" w:type="dxa"/>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Ind w:w="0" w:type="dxa"/>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CellMar>
        <w:top w:w="0" w:type="dxa"/>
        <w:left w:w="108" w:type="dxa"/>
        <w:bottom w:w="0" w:type="dxa"/>
        <w:right w:w="108" w:type="dxa"/>
      </w:tblCellMar>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2354E87B-1E55-49E9-A436-1A43C0980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1931</Words>
  <Characters>11011</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12917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3</cp:revision>
  <cp:lastPrinted>2018-01-12T00:47:00Z</cp:lastPrinted>
  <dcterms:created xsi:type="dcterms:W3CDTF">2021-08-06T21:42:00Z</dcterms:created>
  <dcterms:modified xsi:type="dcterms:W3CDTF">2021-08-06T22:04:00Z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_AdHocReviewCycleID">
    <vt:i4>880721493</vt:i4>
  </property>
  <property fmtid="{D5CDD505-2E9C-101B-9397-08002B2CF9AE}" pid="9" name="_EmailSubject">
    <vt:lpwstr>TDoc for 8.2.1</vt:lpwstr>
  </property>
  <property fmtid="{D5CDD505-2E9C-101B-9397-08002B2CF9AE}" pid="10" name="_AuthorEmail">
    <vt:lpwstr>Chun-Hsuan.Kuo@mediatek.com</vt:lpwstr>
  </property>
  <property fmtid="{D5CDD505-2E9C-101B-9397-08002B2CF9AE}" pid="11" name="_AuthorEmailDisplayName">
    <vt:lpwstr>Chun-Hsuan Kuo</vt:lpwstr>
  </property>
  <property fmtid="{D5CDD505-2E9C-101B-9397-08002B2CF9AE}" pid="12" name="_ReviewingToolsShownOnce">
    <vt:lpwstr/>
  </property>
</Properties>
</file>