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6E1A6" w14:textId="2F83910B" w:rsidR="00095B6A" w:rsidRPr="00DA12F7" w:rsidRDefault="00095B6A" w:rsidP="00095B6A">
      <w:pPr>
        <w:tabs>
          <w:tab w:val="right" w:pos="9630"/>
        </w:tabs>
        <w:spacing w:after="0"/>
      </w:pPr>
      <w:r w:rsidRPr="00DA12F7">
        <w:rPr>
          <w:rFonts w:ascii="Arial" w:hAnsi="Arial" w:cs="Arial"/>
          <w:b/>
          <w:sz w:val="24"/>
        </w:rPr>
        <w:t xml:space="preserve">3GPP TSG RAN WG1 </w:t>
      </w:r>
      <w:r>
        <w:rPr>
          <w:rFonts w:ascii="Arial" w:hAnsi="Arial" w:cs="Arial"/>
          <w:b/>
          <w:sz w:val="24"/>
        </w:rPr>
        <w:t>Meeting #10</w:t>
      </w:r>
      <w:r w:rsidR="00CF4D18">
        <w:rPr>
          <w:rFonts w:ascii="Arial" w:hAnsi="Arial" w:cs="Arial"/>
          <w:b/>
          <w:sz w:val="24"/>
        </w:rPr>
        <w:t>6</w:t>
      </w:r>
      <w:r>
        <w:rPr>
          <w:rFonts w:ascii="Arial" w:hAnsi="Arial" w:cs="Arial"/>
          <w:b/>
          <w:sz w:val="24"/>
        </w:rPr>
        <w:t>-e</w:t>
      </w:r>
      <w:r w:rsidRPr="00DA12F7">
        <w:rPr>
          <w:rFonts w:ascii="Arial" w:hAnsi="Arial" w:cs="Arial"/>
          <w:b/>
          <w:sz w:val="24"/>
        </w:rPr>
        <w:tab/>
      </w:r>
      <w:r w:rsidR="00D52FAC" w:rsidRPr="00D52FAC">
        <w:rPr>
          <w:rFonts w:ascii="Arial" w:hAnsi="Arial" w:cs="Arial"/>
          <w:b/>
          <w:sz w:val="24"/>
        </w:rPr>
        <w:t>R1-210</w:t>
      </w:r>
      <w:r w:rsidR="00CF4D18">
        <w:rPr>
          <w:rFonts w:ascii="Arial" w:hAnsi="Arial" w:cs="Arial"/>
          <w:b/>
          <w:sz w:val="24"/>
        </w:rPr>
        <w:t>7188</w:t>
      </w:r>
    </w:p>
    <w:p w14:paraId="1131045E" w14:textId="0A6A83DA" w:rsidR="00E307C5" w:rsidRPr="00DA12F7" w:rsidRDefault="00095B6A" w:rsidP="00095B6A">
      <w:pPr>
        <w:tabs>
          <w:tab w:val="right" w:pos="9630"/>
        </w:tabs>
        <w:spacing w:after="0"/>
        <w:rPr>
          <w:rFonts w:ascii="Arial" w:hAnsi="Arial" w:cs="Arial"/>
          <w:b/>
          <w:sz w:val="24"/>
          <w:szCs w:val="24"/>
        </w:rPr>
      </w:pPr>
      <w:r>
        <w:rPr>
          <w:rFonts w:ascii="Arial" w:hAnsi="Arial" w:cs="Arial"/>
          <w:b/>
          <w:sz w:val="24"/>
          <w:szCs w:val="24"/>
        </w:rPr>
        <w:t xml:space="preserve">e-Meeting, </w:t>
      </w:r>
      <w:r w:rsidR="00CF4D18">
        <w:rPr>
          <w:rFonts w:ascii="Arial" w:hAnsi="Arial" w:cs="Arial"/>
          <w:b/>
          <w:sz w:val="24"/>
          <w:szCs w:val="24"/>
        </w:rPr>
        <w:t>August</w:t>
      </w:r>
      <w:r>
        <w:rPr>
          <w:rFonts w:ascii="Arial" w:hAnsi="Arial" w:cs="Arial"/>
          <w:b/>
          <w:sz w:val="24"/>
          <w:szCs w:val="24"/>
        </w:rPr>
        <w:t xml:space="preserve"> </w:t>
      </w:r>
      <w:r w:rsidR="00713665">
        <w:rPr>
          <w:rFonts w:ascii="Arial" w:hAnsi="Arial" w:cs="Arial"/>
          <w:b/>
          <w:sz w:val="24"/>
          <w:szCs w:val="24"/>
        </w:rPr>
        <w:t>1</w:t>
      </w:r>
      <w:r w:rsidR="00CF4D18">
        <w:rPr>
          <w:rFonts w:ascii="Arial" w:hAnsi="Arial" w:cs="Arial"/>
          <w:b/>
          <w:sz w:val="24"/>
          <w:szCs w:val="24"/>
        </w:rPr>
        <w:t>6</w:t>
      </w:r>
      <w:r w:rsidRPr="00116328">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 </w:t>
      </w:r>
      <w:r w:rsidR="00713665">
        <w:rPr>
          <w:rFonts w:ascii="Arial" w:hAnsi="Arial" w:cs="Arial"/>
          <w:b/>
          <w:sz w:val="24"/>
          <w:szCs w:val="24"/>
        </w:rPr>
        <w:t>2</w:t>
      </w:r>
      <w:r w:rsidR="00D52FAC">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2021</w:t>
      </w:r>
    </w:p>
    <w:p w14:paraId="20814AD0"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1B1FDE0A" w14:textId="7777777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6E610E">
        <w:rPr>
          <w:rFonts w:ascii="Arial" w:hAnsi="Arial"/>
          <w:sz w:val="24"/>
        </w:rPr>
        <w:t>8.10.</w:t>
      </w:r>
      <w:r w:rsidR="0050242A">
        <w:rPr>
          <w:rFonts w:ascii="Arial" w:hAnsi="Arial"/>
          <w:sz w:val="24"/>
        </w:rPr>
        <w:t>1</w:t>
      </w:r>
    </w:p>
    <w:p w14:paraId="3095DC42" w14:textId="43EBC68A" w:rsidR="0068226B" w:rsidRPr="006E610E" w:rsidRDefault="0068226B" w:rsidP="00382B96">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006E610E" w:rsidRPr="00B92189">
        <w:rPr>
          <w:rFonts w:ascii="Arial" w:hAnsi="Arial"/>
          <w:sz w:val="24"/>
          <w:szCs w:val="24"/>
        </w:rPr>
        <w:t>Lenovo</w:t>
      </w:r>
      <w:r w:rsidR="00DE67B4" w:rsidRPr="00B92189">
        <w:rPr>
          <w:rFonts w:ascii="Arial" w:hAnsi="Arial"/>
          <w:sz w:val="24"/>
          <w:szCs w:val="24"/>
        </w:rPr>
        <w:t>, Motorola Mobility</w:t>
      </w:r>
    </w:p>
    <w:p w14:paraId="002F936B" w14:textId="26A05006"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rPr>
        <w:tab/>
      </w:r>
      <w:r w:rsidR="005412C8">
        <w:rPr>
          <w:rFonts w:ascii="Arial" w:hAnsi="Arial"/>
          <w:sz w:val="24"/>
          <w:szCs w:val="24"/>
        </w:rPr>
        <w:t>Resource multiplexing in enhanced IAB systems</w:t>
      </w:r>
    </w:p>
    <w:p w14:paraId="3C370F44"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491EEE">
      <w:pPr>
        <w:pStyle w:val="Heading1"/>
      </w:pPr>
      <w:r w:rsidRPr="00CC27F5">
        <w:tab/>
      </w:r>
      <w:r w:rsidR="00B209B5" w:rsidRPr="00CC27F5">
        <w:t>Introduction</w:t>
      </w:r>
    </w:p>
    <w:p w14:paraId="2B43573C" w14:textId="3CBC3817" w:rsidR="00164961" w:rsidRPr="00B64FBD" w:rsidRDefault="00384735" w:rsidP="00FF498A">
      <w:r w:rsidRPr="00DD2221">
        <w:t xml:space="preserve">In </w:t>
      </w:r>
      <w:r w:rsidR="00155593" w:rsidRPr="00DD2221">
        <w:t>this paper,</w:t>
      </w:r>
      <w:r w:rsidRPr="00DD2221">
        <w:t xml:space="preserve"> we provide our views on specification of </w:t>
      </w:r>
      <w:r w:rsidR="00286426" w:rsidRPr="00DD2221">
        <w:t xml:space="preserve">resource multiplexing enhancements </w:t>
      </w:r>
      <w:r w:rsidR="00DD2221" w:rsidRPr="00DD2221">
        <w:t xml:space="preserve">for simultaneous IAB-MT/IAB-DU operations </w:t>
      </w:r>
      <w:r w:rsidR="00286426" w:rsidRPr="00DD2221">
        <w:t>in eIAB systems</w:t>
      </w:r>
      <w:r w:rsidR="00155593" w:rsidRPr="00DD2221">
        <w:t>.</w:t>
      </w:r>
      <w:r w:rsidR="00FF498A" w:rsidRPr="00FF498A">
        <w:t xml:space="preserve"> </w:t>
      </w:r>
      <w:r w:rsidR="00FF498A">
        <w:t>Then, in a companion paper</w:t>
      </w:r>
      <w:r w:rsidR="00813B25">
        <w:t xml:space="preserve"> </w:t>
      </w:r>
      <w:r w:rsidR="00813B25">
        <w:fldChar w:fldCharType="begin"/>
      </w:r>
      <w:r w:rsidR="00813B25">
        <w:instrText xml:space="preserve"> REF _Ref54187073 \r \h </w:instrText>
      </w:r>
      <w:r w:rsidR="00813B25">
        <w:fldChar w:fldCharType="separate"/>
      </w:r>
      <w:r w:rsidR="00813B25">
        <w:rPr>
          <w:cs/>
        </w:rPr>
        <w:t>‎</w:t>
      </w:r>
      <w:r w:rsidR="00813B25">
        <w:t>[1]</w:t>
      </w:r>
      <w:r w:rsidR="00813B25">
        <w:fldChar w:fldCharType="end"/>
      </w:r>
      <w:r w:rsidR="00FF498A">
        <w:t>, we provide our views on specification of timing modes, power control, and interference management related to the enhancements.</w:t>
      </w:r>
    </w:p>
    <w:p w14:paraId="0AB8F4C6" w14:textId="2DCE7F60" w:rsidR="00B1741F" w:rsidRDefault="00B1741F" w:rsidP="003D3577">
      <w:pPr>
        <w:pStyle w:val="Heading1"/>
      </w:pPr>
      <w:bookmarkStart w:id="2" w:name="_Ref30491904"/>
      <w:bookmarkStart w:id="3" w:name="_Ref30492156"/>
      <w:bookmarkStart w:id="4" w:name="_Ref30491838"/>
      <w:r>
        <w:t>Discussion</w:t>
      </w:r>
    </w:p>
    <w:p w14:paraId="65F946C3" w14:textId="1E72E98E" w:rsidR="007842F0" w:rsidRPr="007842F0" w:rsidRDefault="00064E31" w:rsidP="007842F0">
      <w:pPr>
        <w:pStyle w:val="Heading2"/>
      </w:pPr>
      <w:r>
        <w:t>Frequency domain</w:t>
      </w:r>
    </w:p>
    <w:p w14:paraId="113A7552" w14:textId="49F7C6B1" w:rsidR="00D9193D" w:rsidRDefault="00950890" w:rsidP="00780316">
      <w:r>
        <w:t>D</w:t>
      </w:r>
      <w:r w:rsidR="00D9193D">
        <w:t xml:space="preserve">iscussion </w:t>
      </w:r>
      <w:r>
        <w:t xml:space="preserve">on resource multiplexing enhancements </w:t>
      </w:r>
      <w:r w:rsidR="00D9193D">
        <w:t>continued in RAN1#</w:t>
      </w:r>
      <w:r w:rsidR="0039732D">
        <w:t>105</w:t>
      </w:r>
      <w:r w:rsidR="00AC2520">
        <w:t xml:space="preserve">-e </w:t>
      </w:r>
      <w:r w:rsidR="00D9193D">
        <w:t>and the following was agreed</w:t>
      </w:r>
      <w:r>
        <w:t xml:space="preserve"> on FDM</w:t>
      </w:r>
      <w:r w:rsidR="00943951">
        <w:t xml:space="preserve"> </w:t>
      </w:r>
      <w:r w:rsidR="00943951">
        <w:fldChar w:fldCharType="begin"/>
      </w:r>
      <w:r w:rsidR="00943951">
        <w:instrText xml:space="preserve"> REF _Ref79129427 \r \h </w:instrText>
      </w:r>
      <w:r w:rsidR="00943951">
        <w:fldChar w:fldCharType="separate"/>
      </w:r>
      <w:r w:rsidR="00943951">
        <w:rPr>
          <w:cs/>
        </w:rPr>
        <w:t>‎</w:t>
      </w:r>
      <w:r w:rsidR="00943951">
        <w:t>[2]</w:t>
      </w:r>
      <w:r w:rsidR="00943951">
        <w:fldChar w:fldCharType="end"/>
      </w:r>
      <w:r w:rsidR="00D9193D">
        <w:t>:</w:t>
      </w:r>
    </w:p>
    <w:p w14:paraId="4D6E696D" w14:textId="77777777" w:rsidR="0039732D" w:rsidRPr="0039732D" w:rsidRDefault="0039732D" w:rsidP="0039732D">
      <w:pPr>
        <w:ind w:left="1260" w:hanging="1260"/>
        <w:contextualSpacing/>
        <w:jc w:val="both"/>
        <w:rPr>
          <w:rFonts w:cs="Times"/>
          <w:b/>
          <w:i/>
          <w:iCs/>
          <w:szCs w:val="20"/>
          <w:highlight w:val="green"/>
        </w:rPr>
      </w:pPr>
      <w:r w:rsidRPr="0039732D">
        <w:rPr>
          <w:rFonts w:cs="Times"/>
          <w:b/>
          <w:i/>
          <w:iCs/>
          <w:szCs w:val="20"/>
          <w:highlight w:val="green"/>
        </w:rPr>
        <w:t>Agreement</w:t>
      </w:r>
    </w:p>
    <w:p w14:paraId="1FCF5590" w14:textId="77777777" w:rsidR="0039732D" w:rsidRPr="0039732D" w:rsidRDefault="0039732D" w:rsidP="0039732D">
      <w:pPr>
        <w:contextualSpacing/>
        <w:jc w:val="both"/>
        <w:rPr>
          <w:rFonts w:cs="Times"/>
          <w:bCs/>
          <w:i/>
          <w:iCs/>
          <w:szCs w:val="20"/>
        </w:rPr>
      </w:pPr>
      <w:r w:rsidRPr="0039732D">
        <w:rPr>
          <w:rFonts w:cs="Times"/>
          <w:bCs/>
          <w:i/>
          <w:iCs/>
          <w:szCs w:val="20"/>
        </w:rPr>
        <w:t>For frequency domain multiplexing, H/S/NA configurations for an IAB-node are provided separately in addition to the Rel-16 H/S/NA</w:t>
      </w:r>
    </w:p>
    <w:p w14:paraId="54A62E66" w14:textId="77777777" w:rsidR="0039732D" w:rsidRPr="0039732D" w:rsidRDefault="0039732D" w:rsidP="00C477CC">
      <w:pPr>
        <w:pStyle w:val="BodyText"/>
        <w:spacing w:after="0"/>
        <w:rPr>
          <w:rFonts w:cs="Times"/>
          <w:b/>
          <w:i/>
          <w:iCs/>
          <w:szCs w:val="20"/>
          <w:highlight w:val="green"/>
        </w:rPr>
      </w:pPr>
    </w:p>
    <w:p w14:paraId="06A4BD2D" w14:textId="25309A8F" w:rsidR="0039732D" w:rsidRPr="0039732D" w:rsidRDefault="0039732D" w:rsidP="0039732D">
      <w:pPr>
        <w:ind w:left="1260" w:hanging="1260"/>
        <w:contextualSpacing/>
        <w:jc w:val="both"/>
        <w:rPr>
          <w:rFonts w:cs="Times"/>
          <w:b/>
          <w:i/>
          <w:iCs/>
          <w:szCs w:val="20"/>
          <w:highlight w:val="green"/>
        </w:rPr>
      </w:pPr>
      <w:r w:rsidRPr="0039732D">
        <w:rPr>
          <w:rFonts w:cs="Times"/>
          <w:b/>
          <w:i/>
          <w:iCs/>
          <w:szCs w:val="20"/>
          <w:highlight w:val="green"/>
        </w:rPr>
        <w:t>Agreement</w:t>
      </w:r>
    </w:p>
    <w:p w14:paraId="78FA14D3" w14:textId="77777777" w:rsidR="0039732D" w:rsidRPr="0039732D" w:rsidDel="00352486" w:rsidRDefault="0039732D" w:rsidP="0039732D">
      <w:pPr>
        <w:ind w:left="1260" w:hanging="1260"/>
        <w:contextualSpacing/>
        <w:jc w:val="both"/>
        <w:rPr>
          <w:rFonts w:cs="Times"/>
          <w:bCs/>
          <w:i/>
          <w:iCs/>
          <w:szCs w:val="20"/>
        </w:rPr>
      </w:pPr>
      <w:r w:rsidRPr="0039732D">
        <w:rPr>
          <w:rFonts w:cs="Times"/>
          <w:bCs/>
          <w:i/>
          <w:iCs/>
          <w:szCs w:val="20"/>
        </w:rPr>
        <w:t>DCI Format 2_5 is reused to support soft resource availability indications for frequency-domain resources</w:t>
      </w:r>
    </w:p>
    <w:p w14:paraId="2CFDECAC" w14:textId="77777777" w:rsidR="0039732D" w:rsidRPr="0039732D" w:rsidRDefault="0039732D" w:rsidP="0039732D">
      <w:pPr>
        <w:pStyle w:val="ListParagraph"/>
        <w:numPr>
          <w:ilvl w:val="0"/>
          <w:numId w:val="17"/>
        </w:numPr>
        <w:overflowPunct w:val="0"/>
        <w:autoSpaceDE w:val="0"/>
        <w:autoSpaceDN w:val="0"/>
        <w:adjustRightInd w:val="0"/>
        <w:spacing w:before="0" w:after="0" w:line="240" w:lineRule="auto"/>
        <w:jc w:val="both"/>
        <w:textAlignment w:val="baseline"/>
        <w:rPr>
          <w:rFonts w:cs="Times"/>
          <w:bCs/>
          <w:i/>
          <w:iCs/>
          <w:szCs w:val="20"/>
        </w:rPr>
      </w:pPr>
      <w:r w:rsidRPr="0039732D">
        <w:rPr>
          <w:rFonts w:cs="Times"/>
          <w:bCs/>
          <w:i/>
          <w:iCs/>
          <w:szCs w:val="20"/>
        </w:rPr>
        <w:t>FFS: If additional enhancements are necessary</w:t>
      </w:r>
    </w:p>
    <w:p w14:paraId="45BB06F8" w14:textId="77777777" w:rsidR="0039732D" w:rsidRPr="0039732D" w:rsidRDefault="0039732D" w:rsidP="00C477CC">
      <w:pPr>
        <w:pStyle w:val="BodyText"/>
        <w:spacing w:after="0"/>
        <w:rPr>
          <w:rFonts w:eastAsia="Calibri" w:cs="Times"/>
          <w:b/>
          <w:bCs/>
          <w:i/>
          <w:iCs/>
          <w:szCs w:val="20"/>
          <w:highlight w:val="green"/>
        </w:rPr>
      </w:pPr>
    </w:p>
    <w:p w14:paraId="26855B43" w14:textId="77777777" w:rsidR="0039732D" w:rsidRPr="0039732D" w:rsidRDefault="0039732D" w:rsidP="0039732D">
      <w:pPr>
        <w:jc w:val="both"/>
        <w:rPr>
          <w:rFonts w:eastAsia="SimSun" w:cs="Times"/>
          <w:i/>
          <w:iCs/>
        </w:rPr>
      </w:pPr>
      <w:r w:rsidRPr="0039732D">
        <w:rPr>
          <w:rFonts w:cs="Times"/>
          <w:b/>
          <w:bCs/>
          <w:i/>
          <w:iCs/>
          <w:color w:val="000000"/>
          <w:highlight w:val="green"/>
          <w:shd w:val="clear" w:color="auto" w:fill="FFFF00"/>
        </w:rPr>
        <w:t>Agreement</w:t>
      </w:r>
    </w:p>
    <w:p w14:paraId="650AE218" w14:textId="77777777" w:rsidR="0039732D" w:rsidRPr="0039732D" w:rsidRDefault="0039732D" w:rsidP="0039732D">
      <w:pPr>
        <w:jc w:val="both"/>
        <w:rPr>
          <w:rFonts w:eastAsia="SimSun" w:cs="Times"/>
          <w:i/>
          <w:iCs/>
        </w:rPr>
      </w:pPr>
      <w:r w:rsidRPr="0039732D">
        <w:rPr>
          <w:rFonts w:cs="Times"/>
          <w:bCs/>
          <w:i/>
          <w:iCs/>
        </w:rPr>
        <w:t>If an IAB node is configured with a frequency-domain H/S/NA configuration down select between the following options:</w:t>
      </w:r>
    </w:p>
    <w:p w14:paraId="6D909ADE" w14:textId="77777777" w:rsidR="0039732D" w:rsidRPr="0039732D" w:rsidRDefault="0039732D" w:rsidP="0039732D">
      <w:pPr>
        <w:numPr>
          <w:ilvl w:val="0"/>
          <w:numId w:val="18"/>
        </w:numPr>
        <w:shd w:val="clear" w:color="auto" w:fill="FFFFFF"/>
        <w:spacing w:after="0" w:line="240" w:lineRule="auto"/>
        <w:jc w:val="both"/>
        <w:rPr>
          <w:rFonts w:eastAsia="Times New Roman" w:cs="Times"/>
          <w:bCs/>
          <w:i/>
          <w:iCs/>
          <w:color w:val="000000"/>
        </w:rPr>
      </w:pPr>
      <w:r w:rsidRPr="0039732D">
        <w:rPr>
          <w:rFonts w:eastAsia="Times New Roman" w:cs="Times"/>
          <w:bCs/>
          <w:i/>
          <w:iCs/>
          <w:color w:val="000000"/>
        </w:rPr>
        <w:t>Alt. 1 Either the Rel-16 H/S/NA configuration or frequency domain configuration is applied for a given resource</w:t>
      </w:r>
    </w:p>
    <w:p w14:paraId="5F9222EB" w14:textId="77777777" w:rsidR="0039732D" w:rsidRPr="0039732D" w:rsidRDefault="0039732D" w:rsidP="0039732D">
      <w:pPr>
        <w:numPr>
          <w:ilvl w:val="1"/>
          <w:numId w:val="18"/>
        </w:numPr>
        <w:shd w:val="clear" w:color="auto" w:fill="FFFFFF"/>
        <w:spacing w:after="0" w:line="240" w:lineRule="auto"/>
        <w:jc w:val="both"/>
        <w:rPr>
          <w:rFonts w:eastAsia="Times New Roman" w:cs="Times"/>
          <w:bCs/>
          <w:i/>
          <w:iCs/>
          <w:color w:val="000000"/>
        </w:rPr>
      </w:pPr>
      <w:r w:rsidRPr="0039732D">
        <w:rPr>
          <w:rFonts w:eastAsia="Times New Roman" w:cs="Times"/>
          <w:bCs/>
          <w:i/>
          <w:iCs/>
          <w:color w:val="000000"/>
        </w:rPr>
        <w:t>FFS: Whether configurations are switched with per-slot, per-resource type within a slot, or per-symbol granularity</w:t>
      </w:r>
    </w:p>
    <w:p w14:paraId="04527D59" w14:textId="77777777" w:rsidR="0039732D" w:rsidRPr="0039732D" w:rsidRDefault="0039732D" w:rsidP="0039732D">
      <w:pPr>
        <w:numPr>
          <w:ilvl w:val="0"/>
          <w:numId w:val="18"/>
        </w:numPr>
        <w:shd w:val="clear" w:color="auto" w:fill="FFFFFF"/>
        <w:spacing w:after="0" w:line="240" w:lineRule="auto"/>
        <w:jc w:val="both"/>
        <w:rPr>
          <w:rFonts w:eastAsia="Times New Roman" w:cs="Times"/>
          <w:bCs/>
          <w:i/>
          <w:iCs/>
          <w:color w:val="000000"/>
        </w:rPr>
      </w:pPr>
      <w:r w:rsidRPr="0039732D">
        <w:rPr>
          <w:rFonts w:eastAsia="Times New Roman" w:cs="Times"/>
          <w:bCs/>
          <w:i/>
          <w:iCs/>
          <w:color w:val="000000"/>
        </w:rPr>
        <w:t>Alt. 2 The Rel-16 H/S/NA configuration and frequency domain configuration are jointly applied</w:t>
      </w:r>
    </w:p>
    <w:p w14:paraId="6B9F68FD" w14:textId="77777777" w:rsidR="0039732D" w:rsidRPr="0039732D" w:rsidRDefault="0039732D" w:rsidP="0039732D">
      <w:pPr>
        <w:pStyle w:val="BodyText"/>
        <w:spacing w:after="0"/>
        <w:rPr>
          <w:rFonts w:eastAsia="Malgun Gothic" w:cs="Times"/>
          <w:i/>
          <w:iCs/>
          <w:sz w:val="18"/>
          <w:szCs w:val="22"/>
        </w:rPr>
      </w:pPr>
      <w:r w:rsidRPr="0039732D">
        <w:rPr>
          <w:rFonts w:cs="Times"/>
          <w:b/>
          <w:bCs/>
          <w:i/>
          <w:iCs/>
        </w:rPr>
        <w:t> </w:t>
      </w:r>
    </w:p>
    <w:p w14:paraId="5D8BB1D0" w14:textId="77777777" w:rsidR="0039732D" w:rsidRPr="0039732D" w:rsidRDefault="0039732D" w:rsidP="0039732D">
      <w:pPr>
        <w:jc w:val="both"/>
        <w:rPr>
          <w:rFonts w:eastAsia="SimSun" w:cs="Times"/>
          <w:i/>
          <w:iCs/>
        </w:rPr>
      </w:pPr>
      <w:r w:rsidRPr="0039732D">
        <w:rPr>
          <w:rFonts w:cs="Times"/>
          <w:b/>
          <w:bCs/>
          <w:i/>
          <w:iCs/>
          <w:color w:val="000000"/>
          <w:highlight w:val="green"/>
          <w:shd w:val="clear" w:color="auto" w:fill="FFFF00"/>
        </w:rPr>
        <w:t>Agreement</w:t>
      </w:r>
    </w:p>
    <w:p w14:paraId="533154CC" w14:textId="77777777" w:rsidR="0039732D" w:rsidRPr="0039732D" w:rsidRDefault="0039732D" w:rsidP="0039732D">
      <w:pPr>
        <w:rPr>
          <w:rFonts w:eastAsia="SimSun" w:cs="Times"/>
          <w:i/>
          <w:iCs/>
        </w:rPr>
      </w:pPr>
      <w:r w:rsidRPr="0039732D">
        <w:rPr>
          <w:rFonts w:cs="Times"/>
          <w:bCs/>
          <w:i/>
          <w:iCs/>
        </w:rPr>
        <w:t>The minimum resource size for configuring the frequency domain granularity is a set of N RBs:</w:t>
      </w:r>
    </w:p>
    <w:p w14:paraId="268F06F4" w14:textId="77777777" w:rsidR="0039732D" w:rsidRPr="0039732D" w:rsidRDefault="0039732D" w:rsidP="0039732D">
      <w:pPr>
        <w:numPr>
          <w:ilvl w:val="0"/>
          <w:numId w:val="18"/>
        </w:numPr>
        <w:shd w:val="clear" w:color="auto" w:fill="FFFFFF"/>
        <w:spacing w:after="0" w:line="240" w:lineRule="auto"/>
        <w:jc w:val="both"/>
        <w:rPr>
          <w:rFonts w:eastAsia="Times New Roman" w:cs="Times"/>
          <w:bCs/>
          <w:i/>
          <w:iCs/>
          <w:color w:val="000000"/>
        </w:rPr>
      </w:pPr>
      <w:r w:rsidRPr="0039732D">
        <w:rPr>
          <w:rFonts w:eastAsia="Times New Roman" w:cs="Times"/>
          <w:bCs/>
          <w:i/>
          <w:iCs/>
          <w:color w:val="000000"/>
        </w:rPr>
        <w:t>Candidate values for N: {4, 8, 16, other values TBD}</w:t>
      </w:r>
    </w:p>
    <w:p w14:paraId="580A873F" w14:textId="77777777" w:rsidR="0039732D" w:rsidRPr="0039732D" w:rsidRDefault="0039732D" w:rsidP="0039732D">
      <w:pPr>
        <w:numPr>
          <w:ilvl w:val="0"/>
          <w:numId w:val="18"/>
        </w:numPr>
        <w:shd w:val="clear" w:color="auto" w:fill="FFFFFF"/>
        <w:spacing w:after="0" w:line="240" w:lineRule="auto"/>
        <w:jc w:val="both"/>
        <w:rPr>
          <w:rFonts w:eastAsia="Times New Roman" w:cs="Times"/>
          <w:bCs/>
          <w:i/>
          <w:iCs/>
          <w:color w:val="000000"/>
        </w:rPr>
      </w:pPr>
      <w:r w:rsidRPr="0039732D">
        <w:rPr>
          <w:rFonts w:eastAsia="Times New Roman" w:cs="Times"/>
          <w:bCs/>
          <w:i/>
          <w:iCs/>
          <w:color w:val="000000"/>
        </w:rPr>
        <w:t>N is</w:t>
      </w:r>
      <w:r w:rsidRPr="0039732D">
        <w:rPr>
          <w:rFonts w:eastAsia="Times New Roman" w:cs="Times"/>
          <w:i/>
          <w:iCs/>
          <w:color w:val="000000"/>
          <w:sz w:val="16"/>
        </w:rPr>
        <w:t> </w:t>
      </w:r>
      <w:r w:rsidRPr="0039732D">
        <w:rPr>
          <w:rFonts w:eastAsia="Times New Roman" w:cs="Times"/>
          <w:bCs/>
          <w:i/>
          <w:iCs/>
          <w:color w:val="000000"/>
        </w:rPr>
        <w:t>at least the # PRBs that are corresponding to the MT’s # PRBs of an RBG).</w:t>
      </w:r>
    </w:p>
    <w:p w14:paraId="26F3561A" w14:textId="77777777" w:rsidR="0039732D" w:rsidRPr="0039732D" w:rsidRDefault="0039732D" w:rsidP="0039732D">
      <w:pPr>
        <w:numPr>
          <w:ilvl w:val="0"/>
          <w:numId w:val="18"/>
        </w:numPr>
        <w:shd w:val="clear" w:color="auto" w:fill="FFFFFF"/>
        <w:spacing w:after="0" w:line="240" w:lineRule="auto"/>
        <w:jc w:val="both"/>
        <w:rPr>
          <w:rFonts w:eastAsia="Times New Roman" w:cs="Times"/>
          <w:bCs/>
          <w:i/>
          <w:iCs/>
          <w:color w:val="000000"/>
        </w:rPr>
      </w:pPr>
      <w:r w:rsidRPr="0039732D">
        <w:rPr>
          <w:rFonts w:eastAsia="Times New Roman" w:cs="Times"/>
          <w:bCs/>
          <w:i/>
          <w:iCs/>
          <w:color w:val="000000"/>
        </w:rPr>
        <w:t>FFS: Scaling or configuration of N based on system BW or size of IAB-MT BWP</w:t>
      </w:r>
    </w:p>
    <w:p w14:paraId="54EF1601" w14:textId="3312FB75" w:rsidR="00780316" w:rsidRPr="00BA50DD" w:rsidRDefault="00D41E9F" w:rsidP="00902EF7">
      <w:pPr>
        <w:rPr>
          <w:lang w:val="en-GB"/>
        </w:rPr>
      </w:pPr>
      <w:r w:rsidRPr="00BA50DD">
        <w:rPr>
          <w:lang w:val="en-GB"/>
        </w:rPr>
        <w:t xml:space="preserve">It was </w:t>
      </w:r>
      <w:r>
        <w:rPr>
          <w:lang w:val="en-GB"/>
        </w:rPr>
        <w:t xml:space="preserve">agreed in the previous meeting to provide separate H/S/NA </w:t>
      </w:r>
      <w:r w:rsidRPr="00D41E9F">
        <w:rPr>
          <w:i/>
          <w:iCs/>
          <w:lang w:val="en-GB"/>
        </w:rPr>
        <w:t>configurations</w:t>
      </w:r>
      <w:r>
        <w:rPr>
          <w:lang w:val="en-GB"/>
        </w:rPr>
        <w:t xml:space="preserve"> for the frequency domain. This choice improves backward compatibility.</w:t>
      </w:r>
      <w:r w:rsidR="00902EF7">
        <w:rPr>
          <w:lang w:val="en-GB"/>
        </w:rPr>
        <w:t xml:space="preserve"> </w:t>
      </w:r>
      <w:r w:rsidR="00BF72DF" w:rsidRPr="00BA50DD">
        <w:rPr>
          <w:lang w:val="en-GB"/>
        </w:rPr>
        <w:t xml:space="preserve">The two approaches are illustrated in the schematic </w:t>
      </w:r>
      <w:r w:rsidR="00C5027B" w:rsidRPr="00BA50DD">
        <w:rPr>
          <w:lang w:val="en-GB"/>
        </w:rPr>
        <w:t>below</w:t>
      </w:r>
      <w:r w:rsidR="00BF72DF" w:rsidRPr="00BA50DD">
        <w:rPr>
          <w:lang w:val="en-GB"/>
        </w:rPr>
        <w:t>.</w:t>
      </w:r>
    </w:p>
    <w:p w14:paraId="43B16ABA" w14:textId="5D3167BB" w:rsidR="00E92D92" w:rsidRPr="00BA50DD" w:rsidRDefault="00D41E9F" w:rsidP="00D41E9F">
      <w:pPr>
        <w:pStyle w:val="Figure"/>
      </w:pPr>
      <w:r w:rsidRPr="00D41E9F">
        <w:rPr>
          <w:noProof/>
        </w:rPr>
        <w:lastRenderedPageBreak/>
        <w:drawing>
          <wp:inline distT="0" distB="0" distL="0" distR="0" wp14:anchorId="2492A39A" wp14:editId="5EC585F7">
            <wp:extent cx="5212080" cy="20482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2080" cy="2048256"/>
                    </a:xfrm>
                    <a:prstGeom prst="rect">
                      <a:avLst/>
                    </a:prstGeom>
                    <a:noFill/>
                    <a:ln>
                      <a:noFill/>
                    </a:ln>
                  </pic:spPr>
                </pic:pic>
              </a:graphicData>
            </a:graphic>
          </wp:inline>
        </w:drawing>
      </w:r>
    </w:p>
    <w:p w14:paraId="7C324B9F" w14:textId="6FA594E3" w:rsidR="00E92D92" w:rsidRPr="00BA50DD" w:rsidRDefault="001E095A" w:rsidP="00E92D92">
      <w:pPr>
        <w:pStyle w:val="Caption"/>
      </w:pPr>
      <w:r w:rsidRPr="00BA50DD">
        <w:t xml:space="preserve">. Joint vs. separate configuration and </w:t>
      </w:r>
      <w:r w:rsidR="00164961" w:rsidRPr="00BA50DD">
        <w:t>signalling</w:t>
      </w:r>
    </w:p>
    <w:p w14:paraId="0D1CDB37" w14:textId="357AC8E7" w:rsidR="00837D50" w:rsidRDefault="00C5027B" w:rsidP="00434364">
      <w:pPr>
        <w:rPr>
          <w:lang w:val="en-GB"/>
        </w:rPr>
      </w:pPr>
      <w:r w:rsidRPr="00D41E9F">
        <w:rPr>
          <w:lang w:val="en-GB"/>
        </w:rPr>
        <w:t>Th</w:t>
      </w:r>
      <w:r w:rsidR="00D41E9F">
        <w:rPr>
          <w:lang w:val="en-GB"/>
        </w:rPr>
        <w:t>e</w:t>
      </w:r>
      <w:r w:rsidRPr="00D41E9F">
        <w:rPr>
          <w:lang w:val="en-GB"/>
        </w:rPr>
        <w:t xml:space="preserve"> separate-versus-joint matter is </w:t>
      </w:r>
      <w:r w:rsidR="00D41E9F">
        <w:rPr>
          <w:lang w:val="en-GB"/>
        </w:rPr>
        <w:t xml:space="preserve">also applicable </w:t>
      </w:r>
      <w:r w:rsidR="006C1AD5" w:rsidRPr="00D41E9F">
        <w:rPr>
          <w:lang w:val="en-GB"/>
        </w:rPr>
        <w:t>to</w:t>
      </w:r>
      <w:r w:rsidRPr="00D41E9F">
        <w:rPr>
          <w:lang w:val="en-GB"/>
        </w:rPr>
        <w:t xml:space="preserve"> the </w:t>
      </w:r>
      <w:r w:rsidR="00837D50" w:rsidRPr="00D41E9F">
        <w:rPr>
          <w:lang w:val="en-GB"/>
        </w:rPr>
        <w:t xml:space="preserve">IAB node’s </w:t>
      </w:r>
      <w:r w:rsidRPr="00D41E9F">
        <w:rPr>
          <w:lang w:val="en-GB"/>
        </w:rPr>
        <w:t xml:space="preserve">method </w:t>
      </w:r>
      <w:r w:rsidR="006C1AD5" w:rsidRPr="00D41E9F">
        <w:rPr>
          <w:lang w:val="en-GB"/>
        </w:rPr>
        <w:t>for</w:t>
      </w:r>
      <w:r w:rsidRPr="00D41E9F">
        <w:rPr>
          <w:lang w:val="en-GB"/>
        </w:rPr>
        <w:t xml:space="preserve"> </w:t>
      </w:r>
      <w:r w:rsidR="00902EF7" w:rsidRPr="00902EF7">
        <w:rPr>
          <w:i/>
          <w:iCs/>
          <w:lang w:val="en-GB"/>
        </w:rPr>
        <w:t>applying</w:t>
      </w:r>
      <w:r w:rsidRPr="00D41E9F">
        <w:rPr>
          <w:lang w:val="en-GB"/>
        </w:rPr>
        <w:t xml:space="preserve"> </w:t>
      </w:r>
      <w:r w:rsidR="00D41E9F">
        <w:rPr>
          <w:lang w:val="en-GB"/>
        </w:rPr>
        <w:t>H/S/NA</w:t>
      </w:r>
      <w:r w:rsidRPr="00D41E9F">
        <w:rPr>
          <w:lang w:val="en-GB"/>
        </w:rPr>
        <w:t xml:space="preserve"> attributes of resources in the time-frequency grid, which is not necessarily tied to the choice for </w:t>
      </w:r>
      <w:r w:rsidR="001A2438" w:rsidRPr="00D41E9F">
        <w:rPr>
          <w:lang w:val="en-GB"/>
        </w:rPr>
        <w:t>signalling</w:t>
      </w:r>
      <w:r w:rsidR="009B629D" w:rsidRPr="00D41E9F">
        <w:rPr>
          <w:lang w:val="en-GB"/>
        </w:rPr>
        <w:t xml:space="preserve"> </w:t>
      </w:r>
      <w:r w:rsidR="001A2438" w:rsidRPr="00D41E9F">
        <w:rPr>
          <w:lang w:val="en-GB"/>
        </w:rPr>
        <w:t>format</w:t>
      </w:r>
      <w:r w:rsidR="00D41E9F">
        <w:rPr>
          <w:lang w:val="en-GB"/>
        </w:rPr>
        <w:t>. Indeed, while</w:t>
      </w:r>
      <w:r w:rsidR="009215FA" w:rsidRPr="00D41E9F">
        <w:rPr>
          <w:lang w:val="en-GB"/>
        </w:rPr>
        <w:t xml:space="preserve"> the IAB node is configured with </w:t>
      </w:r>
      <w:r w:rsidR="00D41E9F">
        <w:rPr>
          <w:lang w:val="en-GB"/>
        </w:rPr>
        <w:t>H/S</w:t>
      </w:r>
      <w:r w:rsidRPr="00D41E9F">
        <w:rPr>
          <w:lang w:val="en-GB"/>
        </w:rPr>
        <w:t xml:space="preserve">/NA attributes </w:t>
      </w:r>
      <w:r w:rsidR="00D41E9F">
        <w:rPr>
          <w:lang w:val="en-GB"/>
        </w:rPr>
        <w:t>in the</w:t>
      </w:r>
      <w:r w:rsidR="009215FA" w:rsidRPr="00D41E9F">
        <w:rPr>
          <w:lang w:val="en-GB"/>
        </w:rPr>
        <w:t xml:space="preserve"> time </w:t>
      </w:r>
      <w:r w:rsidR="00D41E9F">
        <w:rPr>
          <w:lang w:val="en-GB"/>
        </w:rPr>
        <w:t xml:space="preserve">domain </w:t>
      </w:r>
      <w:r w:rsidR="009215FA" w:rsidRPr="00D41E9F">
        <w:rPr>
          <w:lang w:val="en-GB"/>
        </w:rPr>
        <w:t xml:space="preserve">and </w:t>
      </w:r>
      <w:r w:rsidR="00D41E9F">
        <w:rPr>
          <w:lang w:val="en-GB"/>
        </w:rPr>
        <w:t xml:space="preserve">the </w:t>
      </w:r>
      <w:r w:rsidR="009215FA" w:rsidRPr="00D41E9F">
        <w:rPr>
          <w:lang w:val="en-GB"/>
        </w:rPr>
        <w:t xml:space="preserve">frequency </w:t>
      </w:r>
      <w:r w:rsidR="00D41E9F">
        <w:rPr>
          <w:lang w:val="en-GB"/>
        </w:rPr>
        <w:t xml:space="preserve">domain </w:t>
      </w:r>
      <w:r w:rsidR="009215FA" w:rsidRPr="00D41E9F">
        <w:rPr>
          <w:lang w:val="en-GB"/>
        </w:rPr>
        <w:t xml:space="preserve">separately, </w:t>
      </w:r>
      <w:r w:rsidR="00D41E9F">
        <w:rPr>
          <w:lang w:val="en-GB"/>
        </w:rPr>
        <w:t>it</w:t>
      </w:r>
      <w:r w:rsidR="009215FA" w:rsidRPr="00D41E9F">
        <w:rPr>
          <w:lang w:val="en-GB"/>
        </w:rPr>
        <w:t xml:space="preserve"> </w:t>
      </w:r>
      <w:r w:rsidR="00902EF7">
        <w:rPr>
          <w:lang w:val="en-GB"/>
        </w:rPr>
        <w:t xml:space="preserve">is </w:t>
      </w:r>
      <w:r w:rsidR="009215FA" w:rsidRPr="00D41E9F">
        <w:rPr>
          <w:lang w:val="en-GB"/>
        </w:rPr>
        <w:t xml:space="preserve">still </w:t>
      </w:r>
      <w:r w:rsidR="00D41E9F">
        <w:rPr>
          <w:lang w:val="en-GB"/>
        </w:rPr>
        <w:t>benefi</w:t>
      </w:r>
      <w:r w:rsidR="00902EF7">
        <w:rPr>
          <w:lang w:val="en-GB"/>
        </w:rPr>
        <w:t>cial</w:t>
      </w:r>
      <w:r w:rsidR="00D41E9F">
        <w:rPr>
          <w:lang w:val="en-GB"/>
        </w:rPr>
        <w:t xml:space="preserve"> </w:t>
      </w:r>
      <w:r w:rsidR="00902EF7">
        <w:rPr>
          <w:lang w:val="en-GB"/>
        </w:rPr>
        <w:t>to apply</w:t>
      </w:r>
      <w:r w:rsidR="00D41E9F">
        <w:rPr>
          <w:lang w:val="en-GB"/>
        </w:rPr>
        <w:t xml:space="preserve"> the</w:t>
      </w:r>
      <w:r w:rsidR="00837D50" w:rsidRPr="00D41E9F">
        <w:rPr>
          <w:lang w:val="en-GB"/>
        </w:rPr>
        <w:t xml:space="preserve"> attribute</w:t>
      </w:r>
      <w:r w:rsidR="00D41E9F">
        <w:rPr>
          <w:lang w:val="en-GB"/>
        </w:rPr>
        <w:t>s jointly</w:t>
      </w:r>
      <w:r w:rsidR="00837D50" w:rsidRPr="00D41E9F">
        <w:rPr>
          <w:lang w:val="en-GB"/>
        </w:rPr>
        <w:t>.</w:t>
      </w:r>
    </w:p>
    <w:p w14:paraId="4BAED1CD" w14:textId="721FF97A" w:rsidR="00D41E9F" w:rsidRDefault="00453FE0" w:rsidP="00434364">
      <w:pPr>
        <w:rPr>
          <w:lang w:val="en-GB"/>
        </w:rPr>
      </w:pPr>
      <w:r>
        <w:rPr>
          <w:lang w:val="en-GB"/>
        </w:rPr>
        <w:t xml:space="preserve">A main benefit for joint </w:t>
      </w:r>
      <w:r w:rsidRPr="00D04718">
        <w:rPr>
          <w:lang w:val="en-GB"/>
        </w:rPr>
        <w:t>application</w:t>
      </w:r>
      <w:r>
        <w:rPr>
          <w:lang w:val="en-GB"/>
        </w:rPr>
        <w:t xml:space="preserve"> of time- and frequency-domain H/S/NA attributes is flexibility for a TDM fallback mode. If the H/S/NA configurations are applied separately, that will require the IAB-CU to dedicate non-overlapping resources, such as slots or subframes, to either TDM or FDM. Then, each slot may be used for either of the multiplexing modes, but not both. As a result, if the IAB node is not capable of performing FDM for a period of time, it does not have the option of using FDM slots as TDM, which may result in wasting all or a part of the bandwidth on those slots.</w:t>
      </w:r>
      <w:r w:rsidR="00D272FD">
        <w:rPr>
          <w:lang w:val="en-GB"/>
        </w:rPr>
        <w:t xml:space="preserve"> This issue is illustrated in </w:t>
      </w:r>
      <w:r w:rsidR="00D272FD">
        <w:rPr>
          <w:lang w:val="en-GB"/>
        </w:rPr>
        <w:fldChar w:fldCharType="begin"/>
      </w:r>
      <w:r w:rsidR="00D272FD">
        <w:rPr>
          <w:lang w:val="en-GB"/>
        </w:rPr>
        <w:instrText xml:space="preserve"> REF _Ref79137937 \r \h </w:instrText>
      </w:r>
      <w:r w:rsidR="00D272FD">
        <w:rPr>
          <w:lang w:val="en-GB"/>
        </w:rPr>
      </w:r>
      <w:r w:rsidR="00D272FD">
        <w:rPr>
          <w:lang w:val="en-GB"/>
        </w:rPr>
        <w:fldChar w:fldCharType="separate"/>
      </w:r>
      <w:r w:rsidR="00D272FD">
        <w:rPr>
          <w:cs/>
          <w:lang w:val="en-GB"/>
        </w:rPr>
        <w:t>‎</w:t>
      </w:r>
      <w:r w:rsidR="00D272FD">
        <w:rPr>
          <w:lang w:val="en-GB"/>
        </w:rPr>
        <w:t>Figure 2</w:t>
      </w:r>
      <w:r w:rsidR="00D272FD">
        <w:rPr>
          <w:lang w:val="en-GB"/>
        </w:rPr>
        <w:fldChar w:fldCharType="end"/>
      </w:r>
      <w:r w:rsidR="00D272FD">
        <w:rPr>
          <w:lang w:val="en-GB"/>
        </w:rPr>
        <w:t xml:space="preserve"> (a).</w:t>
      </w:r>
    </w:p>
    <w:p w14:paraId="67BEFB93" w14:textId="4CA3B921" w:rsidR="00C95B1E" w:rsidRDefault="00453FE0" w:rsidP="00453FE0">
      <w:pPr>
        <w:rPr>
          <w:lang w:val="en-GB"/>
        </w:rPr>
      </w:pPr>
      <w:r>
        <w:rPr>
          <w:lang w:val="en-GB"/>
        </w:rPr>
        <w:t xml:space="preserve">Conversely, joint application of time- and frequency-domain attributes will allow the IAB-CU to send configurations for overlapping resources, hence allowing a higher flexibility and improving resource efficiency in the presence of </w:t>
      </w:r>
      <w:r w:rsidR="00D04718">
        <w:rPr>
          <w:lang w:val="en-GB"/>
        </w:rPr>
        <w:t xml:space="preserve">intermittent </w:t>
      </w:r>
      <w:r>
        <w:rPr>
          <w:lang w:val="en-GB"/>
        </w:rPr>
        <w:t xml:space="preserve">constraints </w:t>
      </w:r>
      <w:r w:rsidR="00D04718">
        <w:rPr>
          <w:lang w:val="en-GB"/>
        </w:rPr>
        <w:t xml:space="preserve">on </w:t>
      </w:r>
      <w:r>
        <w:rPr>
          <w:lang w:val="en-GB"/>
        </w:rPr>
        <w:t>perform</w:t>
      </w:r>
      <w:r w:rsidR="00D04718">
        <w:rPr>
          <w:lang w:val="en-GB"/>
        </w:rPr>
        <w:t>ing</w:t>
      </w:r>
      <w:r>
        <w:rPr>
          <w:lang w:val="en-GB"/>
        </w:rPr>
        <w:t xml:space="preserve"> non-TDM multiplexing. This significant benefit comes at the small cost of defining rules to obtain T-F attributes jointly based on separate </w:t>
      </w:r>
      <w:r w:rsidRPr="00453FE0">
        <w:rPr>
          <w:lang w:val="en-GB"/>
        </w:rPr>
        <w:t>configurations.</w:t>
      </w:r>
    </w:p>
    <w:p w14:paraId="21B88347" w14:textId="50930780" w:rsidR="001E095A" w:rsidRPr="00453FE0" w:rsidRDefault="00453FE0" w:rsidP="00453FE0">
      <w:pPr>
        <w:rPr>
          <w:lang w:val="en-GB"/>
        </w:rPr>
      </w:pPr>
      <w:r w:rsidRPr="00453FE0">
        <w:rPr>
          <w:lang w:val="en-GB"/>
        </w:rPr>
        <w:t>The following are examples for rules</w:t>
      </w:r>
      <w:r w:rsidR="00C95B1E">
        <w:rPr>
          <w:lang w:val="en-GB"/>
        </w:rPr>
        <w:t xml:space="preserve"> to determine an attribute for a resource jointly based on separate </w:t>
      </w:r>
      <w:r w:rsidR="00D04718">
        <w:rPr>
          <w:lang w:val="en-GB"/>
        </w:rPr>
        <w:t xml:space="preserve">T-F </w:t>
      </w:r>
      <w:r w:rsidR="00C95B1E">
        <w:rPr>
          <w:lang w:val="en-GB"/>
        </w:rPr>
        <w:t>configurations</w:t>
      </w:r>
      <w:r w:rsidR="0076015E" w:rsidRPr="00453FE0">
        <w:rPr>
          <w:lang w:val="en-GB"/>
        </w:rPr>
        <w:t>.</w:t>
      </w:r>
    </w:p>
    <w:p w14:paraId="1EDC023E" w14:textId="219E4437" w:rsidR="0076015E" w:rsidRPr="00453FE0" w:rsidRDefault="0076015E" w:rsidP="0076015E">
      <w:pPr>
        <w:rPr>
          <w:lang w:val="en-GB"/>
        </w:rPr>
      </w:pPr>
      <w:r w:rsidRPr="00453FE0">
        <w:rPr>
          <w:b/>
          <w:bCs/>
          <w:lang w:val="en-GB"/>
        </w:rPr>
        <w:t>Alt-1</w:t>
      </w:r>
      <w:r w:rsidRPr="00453FE0">
        <w:rPr>
          <w:lang w:val="en-GB"/>
        </w:rPr>
        <w:t>: If the resource is indicated NA in at least one of time and frequency domains, the resource is considered NA. Otherwise, if a resource is indicated soft in at least one domain, the resource is considered soft. Finally, the resource is considered hard if indicated hard in both domains.</w:t>
      </w:r>
    </w:p>
    <w:tbl>
      <w:tblPr>
        <w:tblStyle w:val="TableGrid"/>
        <w:tblW w:w="0" w:type="auto"/>
        <w:jc w:val="center"/>
        <w:tblLook w:val="04A0" w:firstRow="1" w:lastRow="0" w:firstColumn="1" w:lastColumn="0" w:noHBand="0" w:noVBand="1"/>
      </w:tblPr>
      <w:tblGrid>
        <w:gridCol w:w="1844"/>
        <w:gridCol w:w="1878"/>
        <w:gridCol w:w="1766"/>
        <w:gridCol w:w="1711"/>
      </w:tblGrid>
      <w:tr w:rsidR="00A0196A" w:rsidRPr="00453FE0" w14:paraId="564229B0" w14:textId="77777777" w:rsidTr="00A0196A">
        <w:trPr>
          <w:trHeight w:val="422"/>
          <w:jc w:val="center"/>
        </w:trPr>
        <w:tc>
          <w:tcPr>
            <w:tcW w:w="0" w:type="auto"/>
            <w:vAlign w:val="center"/>
          </w:tcPr>
          <w:p w14:paraId="09D442DB" w14:textId="77777777" w:rsidR="00A0196A" w:rsidRPr="00453FE0" w:rsidRDefault="00A0196A" w:rsidP="00A0196A">
            <w:pPr>
              <w:jc w:val="center"/>
              <w:rPr>
                <w:b/>
                <w:bCs/>
                <w:lang w:val="en-GB"/>
              </w:rPr>
            </w:pPr>
          </w:p>
        </w:tc>
        <w:tc>
          <w:tcPr>
            <w:tcW w:w="0" w:type="auto"/>
            <w:vAlign w:val="center"/>
          </w:tcPr>
          <w:p w14:paraId="2F15773E" w14:textId="2A966241" w:rsidR="00A0196A" w:rsidRPr="00453FE0" w:rsidRDefault="00A0196A" w:rsidP="00A0196A">
            <w:pPr>
              <w:jc w:val="center"/>
              <w:rPr>
                <w:b/>
                <w:bCs/>
                <w:lang w:val="en-GB"/>
              </w:rPr>
            </w:pPr>
            <w:r w:rsidRPr="00453FE0">
              <w:rPr>
                <w:b/>
                <w:bCs/>
                <w:lang w:val="en-GB"/>
              </w:rPr>
              <w:t xml:space="preserve">Time-domain </w:t>
            </w:r>
            <w:r w:rsidR="00034CFE" w:rsidRPr="00453FE0">
              <w:rPr>
                <w:b/>
                <w:bCs/>
                <w:lang w:val="en-GB"/>
              </w:rPr>
              <w:t>H</w:t>
            </w:r>
            <w:r w:rsidRPr="00453FE0">
              <w:rPr>
                <w:b/>
                <w:bCs/>
                <w:lang w:val="en-GB"/>
              </w:rPr>
              <w:t>ard</w:t>
            </w:r>
          </w:p>
        </w:tc>
        <w:tc>
          <w:tcPr>
            <w:tcW w:w="0" w:type="auto"/>
            <w:vAlign w:val="center"/>
          </w:tcPr>
          <w:p w14:paraId="658C5B64" w14:textId="5F046E97" w:rsidR="00A0196A" w:rsidRPr="00453FE0" w:rsidRDefault="00A0196A" w:rsidP="00A0196A">
            <w:pPr>
              <w:jc w:val="center"/>
              <w:rPr>
                <w:b/>
                <w:bCs/>
                <w:lang w:val="en-GB"/>
              </w:rPr>
            </w:pPr>
            <w:r w:rsidRPr="00453FE0">
              <w:rPr>
                <w:b/>
                <w:bCs/>
                <w:lang w:val="en-GB"/>
              </w:rPr>
              <w:t xml:space="preserve">Time-domain </w:t>
            </w:r>
            <w:r w:rsidR="00034CFE" w:rsidRPr="00453FE0">
              <w:rPr>
                <w:b/>
                <w:bCs/>
                <w:lang w:val="en-GB"/>
              </w:rPr>
              <w:t>S</w:t>
            </w:r>
            <w:r w:rsidRPr="00453FE0">
              <w:rPr>
                <w:b/>
                <w:bCs/>
                <w:lang w:val="en-GB"/>
              </w:rPr>
              <w:t>oft</w:t>
            </w:r>
          </w:p>
        </w:tc>
        <w:tc>
          <w:tcPr>
            <w:tcW w:w="0" w:type="auto"/>
            <w:vAlign w:val="center"/>
          </w:tcPr>
          <w:p w14:paraId="549AEB4F" w14:textId="20C61C90" w:rsidR="00A0196A" w:rsidRPr="00453FE0" w:rsidRDefault="00A0196A" w:rsidP="00A0196A">
            <w:pPr>
              <w:jc w:val="center"/>
              <w:rPr>
                <w:b/>
                <w:bCs/>
                <w:lang w:val="en-GB"/>
              </w:rPr>
            </w:pPr>
            <w:r w:rsidRPr="00453FE0">
              <w:rPr>
                <w:b/>
                <w:bCs/>
                <w:lang w:val="en-GB"/>
              </w:rPr>
              <w:t>Time-domain NA</w:t>
            </w:r>
          </w:p>
        </w:tc>
      </w:tr>
      <w:tr w:rsidR="00A0196A" w:rsidRPr="00453FE0" w14:paraId="0925C5FC" w14:textId="77777777" w:rsidTr="00A0196A">
        <w:trPr>
          <w:jc w:val="center"/>
        </w:trPr>
        <w:tc>
          <w:tcPr>
            <w:tcW w:w="0" w:type="auto"/>
            <w:vAlign w:val="center"/>
          </w:tcPr>
          <w:p w14:paraId="434625AC" w14:textId="19A8862E" w:rsidR="00A0196A" w:rsidRPr="00453FE0" w:rsidRDefault="00A0196A" w:rsidP="00A0196A">
            <w:pPr>
              <w:jc w:val="center"/>
              <w:rPr>
                <w:b/>
                <w:bCs/>
                <w:lang w:val="en-GB"/>
              </w:rPr>
            </w:pPr>
            <w:r w:rsidRPr="00453FE0">
              <w:rPr>
                <w:b/>
                <w:bCs/>
                <w:lang w:val="en-GB"/>
              </w:rPr>
              <w:t xml:space="preserve">Freq-domain </w:t>
            </w:r>
            <w:r w:rsidR="00034CFE" w:rsidRPr="00453FE0">
              <w:rPr>
                <w:b/>
                <w:bCs/>
                <w:lang w:val="en-GB"/>
              </w:rPr>
              <w:t>H</w:t>
            </w:r>
            <w:r w:rsidRPr="00453FE0">
              <w:rPr>
                <w:b/>
                <w:bCs/>
                <w:lang w:val="en-GB"/>
              </w:rPr>
              <w:t>ard</w:t>
            </w:r>
          </w:p>
        </w:tc>
        <w:tc>
          <w:tcPr>
            <w:tcW w:w="0" w:type="auto"/>
            <w:vAlign w:val="center"/>
          </w:tcPr>
          <w:p w14:paraId="751FFE10" w14:textId="5EF6D5D0" w:rsidR="00A0196A" w:rsidRPr="00453FE0" w:rsidRDefault="00201ACB" w:rsidP="00A0196A">
            <w:pPr>
              <w:jc w:val="center"/>
              <w:rPr>
                <w:lang w:val="en-GB"/>
              </w:rPr>
            </w:pPr>
            <w:r w:rsidRPr="00453FE0">
              <w:rPr>
                <w:lang w:val="en-GB"/>
              </w:rPr>
              <w:t>Hard</w:t>
            </w:r>
          </w:p>
        </w:tc>
        <w:tc>
          <w:tcPr>
            <w:tcW w:w="0" w:type="auto"/>
            <w:vAlign w:val="center"/>
          </w:tcPr>
          <w:p w14:paraId="6762B00F" w14:textId="6F90F29F" w:rsidR="00A0196A" w:rsidRPr="00453FE0" w:rsidRDefault="00201ACB" w:rsidP="00A0196A">
            <w:pPr>
              <w:jc w:val="center"/>
              <w:rPr>
                <w:lang w:val="en-GB"/>
              </w:rPr>
            </w:pPr>
            <w:r w:rsidRPr="00453FE0">
              <w:rPr>
                <w:lang w:val="en-GB"/>
              </w:rPr>
              <w:t>Soft</w:t>
            </w:r>
          </w:p>
        </w:tc>
        <w:tc>
          <w:tcPr>
            <w:tcW w:w="0" w:type="auto"/>
            <w:vAlign w:val="center"/>
          </w:tcPr>
          <w:p w14:paraId="50092037" w14:textId="200E5996" w:rsidR="00A0196A" w:rsidRPr="00453FE0" w:rsidRDefault="00201ACB" w:rsidP="00A0196A">
            <w:pPr>
              <w:jc w:val="center"/>
              <w:rPr>
                <w:lang w:val="en-GB"/>
              </w:rPr>
            </w:pPr>
            <w:r w:rsidRPr="00453FE0">
              <w:rPr>
                <w:lang w:val="en-GB"/>
              </w:rPr>
              <w:t>NA</w:t>
            </w:r>
          </w:p>
        </w:tc>
      </w:tr>
      <w:tr w:rsidR="00A0196A" w:rsidRPr="00453FE0" w14:paraId="3E80BFBD" w14:textId="77777777" w:rsidTr="00A0196A">
        <w:trPr>
          <w:jc w:val="center"/>
        </w:trPr>
        <w:tc>
          <w:tcPr>
            <w:tcW w:w="0" w:type="auto"/>
            <w:vAlign w:val="center"/>
          </w:tcPr>
          <w:p w14:paraId="09290C86" w14:textId="65EFE65D" w:rsidR="00A0196A" w:rsidRPr="00453FE0" w:rsidRDefault="00A0196A" w:rsidP="00A0196A">
            <w:pPr>
              <w:jc w:val="center"/>
              <w:rPr>
                <w:b/>
                <w:bCs/>
                <w:lang w:val="en-GB"/>
              </w:rPr>
            </w:pPr>
            <w:r w:rsidRPr="00453FE0">
              <w:rPr>
                <w:b/>
                <w:bCs/>
                <w:lang w:val="en-GB"/>
              </w:rPr>
              <w:t xml:space="preserve">Freq-domain </w:t>
            </w:r>
            <w:r w:rsidR="00034CFE" w:rsidRPr="00453FE0">
              <w:rPr>
                <w:b/>
                <w:bCs/>
                <w:lang w:val="en-GB"/>
              </w:rPr>
              <w:t>S</w:t>
            </w:r>
            <w:r w:rsidRPr="00453FE0">
              <w:rPr>
                <w:b/>
                <w:bCs/>
                <w:lang w:val="en-GB"/>
              </w:rPr>
              <w:t>oft</w:t>
            </w:r>
          </w:p>
        </w:tc>
        <w:tc>
          <w:tcPr>
            <w:tcW w:w="0" w:type="auto"/>
            <w:vAlign w:val="center"/>
          </w:tcPr>
          <w:p w14:paraId="06D21819" w14:textId="31345A5F" w:rsidR="00A0196A" w:rsidRPr="00453FE0" w:rsidRDefault="00201ACB" w:rsidP="00A0196A">
            <w:pPr>
              <w:jc w:val="center"/>
              <w:rPr>
                <w:lang w:val="en-GB"/>
              </w:rPr>
            </w:pPr>
            <w:r w:rsidRPr="00453FE0">
              <w:rPr>
                <w:lang w:val="en-GB"/>
              </w:rPr>
              <w:t>Soft</w:t>
            </w:r>
          </w:p>
        </w:tc>
        <w:tc>
          <w:tcPr>
            <w:tcW w:w="0" w:type="auto"/>
            <w:vAlign w:val="center"/>
          </w:tcPr>
          <w:p w14:paraId="44F31906" w14:textId="4B38CF72" w:rsidR="00A0196A" w:rsidRPr="00453FE0" w:rsidRDefault="00201ACB" w:rsidP="00A0196A">
            <w:pPr>
              <w:jc w:val="center"/>
              <w:rPr>
                <w:lang w:val="en-GB"/>
              </w:rPr>
            </w:pPr>
            <w:r w:rsidRPr="00453FE0">
              <w:rPr>
                <w:lang w:val="en-GB"/>
              </w:rPr>
              <w:t>Soft</w:t>
            </w:r>
          </w:p>
        </w:tc>
        <w:tc>
          <w:tcPr>
            <w:tcW w:w="0" w:type="auto"/>
            <w:vAlign w:val="center"/>
          </w:tcPr>
          <w:p w14:paraId="3D13DFE2" w14:textId="0D5866EB" w:rsidR="00A0196A" w:rsidRPr="00453FE0" w:rsidRDefault="00201ACB" w:rsidP="00A0196A">
            <w:pPr>
              <w:jc w:val="center"/>
              <w:rPr>
                <w:lang w:val="en-GB"/>
              </w:rPr>
            </w:pPr>
            <w:r w:rsidRPr="00453FE0">
              <w:rPr>
                <w:lang w:val="en-GB"/>
              </w:rPr>
              <w:t>NA</w:t>
            </w:r>
          </w:p>
        </w:tc>
      </w:tr>
      <w:tr w:rsidR="00A0196A" w:rsidRPr="00453FE0" w14:paraId="0C772606" w14:textId="77777777" w:rsidTr="00A0196A">
        <w:trPr>
          <w:trHeight w:val="42"/>
          <w:jc w:val="center"/>
        </w:trPr>
        <w:tc>
          <w:tcPr>
            <w:tcW w:w="0" w:type="auto"/>
            <w:vAlign w:val="center"/>
          </w:tcPr>
          <w:p w14:paraId="6C4878F2" w14:textId="158304FF" w:rsidR="00A0196A" w:rsidRPr="00453FE0" w:rsidRDefault="00A0196A" w:rsidP="00A0196A">
            <w:pPr>
              <w:jc w:val="center"/>
              <w:rPr>
                <w:b/>
                <w:bCs/>
                <w:lang w:val="en-GB"/>
              </w:rPr>
            </w:pPr>
            <w:r w:rsidRPr="00453FE0">
              <w:rPr>
                <w:b/>
                <w:bCs/>
                <w:lang w:val="en-GB"/>
              </w:rPr>
              <w:t>Freq-domain NA</w:t>
            </w:r>
          </w:p>
        </w:tc>
        <w:tc>
          <w:tcPr>
            <w:tcW w:w="0" w:type="auto"/>
            <w:vAlign w:val="center"/>
          </w:tcPr>
          <w:p w14:paraId="3354BA1A" w14:textId="3C2CB06C" w:rsidR="00A0196A" w:rsidRPr="00453FE0" w:rsidRDefault="00201ACB" w:rsidP="00A0196A">
            <w:pPr>
              <w:jc w:val="center"/>
              <w:rPr>
                <w:lang w:val="en-GB"/>
              </w:rPr>
            </w:pPr>
            <w:r w:rsidRPr="00453FE0">
              <w:rPr>
                <w:lang w:val="en-GB"/>
              </w:rPr>
              <w:t>NA</w:t>
            </w:r>
          </w:p>
        </w:tc>
        <w:tc>
          <w:tcPr>
            <w:tcW w:w="0" w:type="auto"/>
            <w:vAlign w:val="center"/>
          </w:tcPr>
          <w:p w14:paraId="5474375C" w14:textId="051D3CD9" w:rsidR="00A0196A" w:rsidRPr="00453FE0" w:rsidRDefault="00201ACB" w:rsidP="00A0196A">
            <w:pPr>
              <w:jc w:val="center"/>
              <w:rPr>
                <w:lang w:val="en-GB"/>
              </w:rPr>
            </w:pPr>
            <w:r w:rsidRPr="00453FE0">
              <w:rPr>
                <w:lang w:val="en-GB"/>
              </w:rPr>
              <w:t>NA</w:t>
            </w:r>
          </w:p>
        </w:tc>
        <w:tc>
          <w:tcPr>
            <w:tcW w:w="0" w:type="auto"/>
            <w:vAlign w:val="center"/>
          </w:tcPr>
          <w:p w14:paraId="097C9BF1" w14:textId="116E19C6" w:rsidR="00A0196A" w:rsidRPr="00453FE0" w:rsidRDefault="00201ACB" w:rsidP="00A0196A">
            <w:pPr>
              <w:jc w:val="center"/>
              <w:rPr>
                <w:lang w:val="en-GB"/>
              </w:rPr>
            </w:pPr>
            <w:r w:rsidRPr="00453FE0">
              <w:rPr>
                <w:lang w:val="en-GB"/>
              </w:rPr>
              <w:t>NA</w:t>
            </w:r>
          </w:p>
        </w:tc>
      </w:tr>
    </w:tbl>
    <w:p w14:paraId="798ED4CD" w14:textId="77777777" w:rsidR="00A0196A" w:rsidRPr="00453FE0" w:rsidRDefault="00A0196A" w:rsidP="00434364">
      <w:pPr>
        <w:rPr>
          <w:lang w:val="en-GB"/>
        </w:rPr>
      </w:pPr>
    </w:p>
    <w:p w14:paraId="4D3FEFCF" w14:textId="6DD54B55" w:rsidR="0076015E" w:rsidRPr="00453FE0" w:rsidRDefault="0076015E" w:rsidP="0076015E">
      <w:pPr>
        <w:rPr>
          <w:lang w:val="en-GB"/>
        </w:rPr>
      </w:pPr>
      <w:r w:rsidRPr="00453FE0">
        <w:rPr>
          <w:b/>
          <w:bCs/>
          <w:lang w:val="en-GB"/>
        </w:rPr>
        <w:t>Alt-2</w:t>
      </w:r>
      <w:r w:rsidRPr="00453FE0">
        <w:rPr>
          <w:lang w:val="en-GB"/>
        </w:rPr>
        <w:t>: The resource preserves its hard</w:t>
      </w:r>
      <w:r w:rsidR="00B2312F" w:rsidRPr="00453FE0">
        <w:rPr>
          <w:lang w:val="en-GB"/>
        </w:rPr>
        <w:t>/</w:t>
      </w:r>
      <w:r w:rsidRPr="00453FE0">
        <w:rPr>
          <w:lang w:val="en-GB"/>
        </w:rPr>
        <w:t>NA attribute</w:t>
      </w:r>
      <w:r w:rsidR="00B2312F" w:rsidRPr="00453FE0">
        <w:rPr>
          <w:lang w:val="en-GB"/>
        </w:rPr>
        <w:t>s</w:t>
      </w:r>
      <w:r w:rsidRPr="00453FE0">
        <w:rPr>
          <w:lang w:val="en-GB"/>
        </w:rPr>
        <w:t xml:space="preserve"> in the time domain on all PRBs/RBGs. However, if the resource is indicated soft in the time domain, it is subject to </w:t>
      </w:r>
      <w:r w:rsidR="00B2312F" w:rsidRPr="00453FE0">
        <w:rPr>
          <w:lang w:val="en-GB"/>
        </w:rPr>
        <w:t>availability indication in the frequency domain.</w:t>
      </w:r>
    </w:p>
    <w:tbl>
      <w:tblPr>
        <w:tblStyle w:val="TableGrid"/>
        <w:tblW w:w="0" w:type="auto"/>
        <w:jc w:val="center"/>
        <w:tblLook w:val="04A0" w:firstRow="1" w:lastRow="0" w:firstColumn="1" w:lastColumn="0" w:noHBand="0" w:noVBand="1"/>
      </w:tblPr>
      <w:tblGrid>
        <w:gridCol w:w="1844"/>
        <w:gridCol w:w="1878"/>
        <w:gridCol w:w="1766"/>
        <w:gridCol w:w="1711"/>
      </w:tblGrid>
      <w:tr w:rsidR="0076015E" w:rsidRPr="00453FE0" w14:paraId="2BF76652" w14:textId="77777777" w:rsidTr="00D16D80">
        <w:trPr>
          <w:trHeight w:val="422"/>
          <w:jc w:val="center"/>
        </w:trPr>
        <w:tc>
          <w:tcPr>
            <w:tcW w:w="0" w:type="auto"/>
            <w:vAlign w:val="center"/>
          </w:tcPr>
          <w:p w14:paraId="28DFBD81" w14:textId="77777777" w:rsidR="0076015E" w:rsidRPr="00453FE0" w:rsidRDefault="0076015E" w:rsidP="00D16D80">
            <w:pPr>
              <w:jc w:val="center"/>
              <w:rPr>
                <w:b/>
                <w:bCs/>
                <w:lang w:val="en-GB"/>
              </w:rPr>
            </w:pPr>
          </w:p>
        </w:tc>
        <w:tc>
          <w:tcPr>
            <w:tcW w:w="0" w:type="auto"/>
            <w:vAlign w:val="center"/>
          </w:tcPr>
          <w:p w14:paraId="2A75C785" w14:textId="77777777" w:rsidR="0076015E" w:rsidRPr="00453FE0" w:rsidRDefault="0076015E" w:rsidP="00D16D80">
            <w:pPr>
              <w:jc w:val="center"/>
              <w:rPr>
                <w:b/>
                <w:bCs/>
                <w:lang w:val="en-GB"/>
              </w:rPr>
            </w:pPr>
            <w:r w:rsidRPr="00453FE0">
              <w:rPr>
                <w:b/>
                <w:bCs/>
                <w:lang w:val="en-GB"/>
              </w:rPr>
              <w:t>Time-domain Hard</w:t>
            </w:r>
          </w:p>
        </w:tc>
        <w:tc>
          <w:tcPr>
            <w:tcW w:w="0" w:type="auto"/>
            <w:vAlign w:val="center"/>
          </w:tcPr>
          <w:p w14:paraId="03740200" w14:textId="77777777" w:rsidR="0076015E" w:rsidRPr="00453FE0" w:rsidRDefault="0076015E" w:rsidP="00D16D80">
            <w:pPr>
              <w:jc w:val="center"/>
              <w:rPr>
                <w:b/>
                <w:bCs/>
                <w:lang w:val="en-GB"/>
              </w:rPr>
            </w:pPr>
            <w:r w:rsidRPr="00453FE0">
              <w:rPr>
                <w:b/>
                <w:bCs/>
                <w:lang w:val="en-GB"/>
              </w:rPr>
              <w:t>Time-domain Soft</w:t>
            </w:r>
          </w:p>
        </w:tc>
        <w:tc>
          <w:tcPr>
            <w:tcW w:w="0" w:type="auto"/>
            <w:vAlign w:val="center"/>
          </w:tcPr>
          <w:p w14:paraId="147D74D2" w14:textId="77777777" w:rsidR="0076015E" w:rsidRPr="00453FE0" w:rsidRDefault="0076015E" w:rsidP="00D16D80">
            <w:pPr>
              <w:jc w:val="center"/>
              <w:rPr>
                <w:b/>
                <w:bCs/>
                <w:lang w:val="en-GB"/>
              </w:rPr>
            </w:pPr>
            <w:r w:rsidRPr="00453FE0">
              <w:rPr>
                <w:b/>
                <w:bCs/>
                <w:lang w:val="en-GB"/>
              </w:rPr>
              <w:t>Time-domain NA</w:t>
            </w:r>
          </w:p>
        </w:tc>
      </w:tr>
      <w:tr w:rsidR="0076015E" w:rsidRPr="00453FE0" w14:paraId="4B5C482B" w14:textId="77777777" w:rsidTr="00D16D80">
        <w:trPr>
          <w:jc w:val="center"/>
        </w:trPr>
        <w:tc>
          <w:tcPr>
            <w:tcW w:w="0" w:type="auto"/>
            <w:vAlign w:val="center"/>
          </w:tcPr>
          <w:p w14:paraId="4D1D1CF3" w14:textId="77777777" w:rsidR="0076015E" w:rsidRPr="00453FE0" w:rsidRDefault="0076015E" w:rsidP="00D16D80">
            <w:pPr>
              <w:jc w:val="center"/>
              <w:rPr>
                <w:b/>
                <w:bCs/>
                <w:lang w:val="en-GB"/>
              </w:rPr>
            </w:pPr>
            <w:r w:rsidRPr="00453FE0">
              <w:rPr>
                <w:b/>
                <w:bCs/>
                <w:lang w:val="en-GB"/>
              </w:rPr>
              <w:t>Freq-domain Hard</w:t>
            </w:r>
          </w:p>
        </w:tc>
        <w:tc>
          <w:tcPr>
            <w:tcW w:w="0" w:type="auto"/>
            <w:vAlign w:val="center"/>
          </w:tcPr>
          <w:p w14:paraId="70EC62DA" w14:textId="77777777" w:rsidR="0076015E" w:rsidRPr="00453FE0" w:rsidRDefault="0076015E" w:rsidP="00D16D80">
            <w:pPr>
              <w:jc w:val="center"/>
              <w:rPr>
                <w:lang w:val="en-GB"/>
              </w:rPr>
            </w:pPr>
            <w:r w:rsidRPr="00453FE0">
              <w:rPr>
                <w:lang w:val="en-GB"/>
              </w:rPr>
              <w:t>Hard</w:t>
            </w:r>
          </w:p>
        </w:tc>
        <w:tc>
          <w:tcPr>
            <w:tcW w:w="0" w:type="auto"/>
            <w:vAlign w:val="center"/>
          </w:tcPr>
          <w:p w14:paraId="37993776" w14:textId="7EFA8CF4" w:rsidR="0076015E" w:rsidRPr="00453FE0" w:rsidRDefault="00B2312F" w:rsidP="00D16D80">
            <w:pPr>
              <w:jc w:val="center"/>
              <w:rPr>
                <w:lang w:val="en-GB"/>
              </w:rPr>
            </w:pPr>
            <w:r w:rsidRPr="00453FE0">
              <w:rPr>
                <w:lang w:val="en-GB"/>
              </w:rPr>
              <w:t>Soft</w:t>
            </w:r>
            <w:r w:rsidR="00016661">
              <w:rPr>
                <w:lang w:val="en-GB"/>
              </w:rPr>
              <w:t xml:space="preserve"> or Hard</w:t>
            </w:r>
          </w:p>
        </w:tc>
        <w:tc>
          <w:tcPr>
            <w:tcW w:w="0" w:type="auto"/>
            <w:vAlign w:val="center"/>
          </w:tcPr>
          <w:p w14:paraId="0BF183DC" w14:textId="77777777" w:rsidR="0076015E" w:rsidRPr="00453FE0" w:rsidRDefault="0076015E" w:rsidP="00D16D80">
            <w:pPr>
              <w:jc w:val="center"/>
              <w:rPr>
                <w:lang w:val="en-GB"/>
              </w:rPr>
            </w:pPr>
            <w:r w:rsidRPr="00453FE0">
              <w:rPr>
                <w:lang w:val="en-GB"/>
              </w:rPr>
              <w:t>NA</w:t>
            </w:r>
          </w:p>
        </w:tc>
      </w:tr>
      <w:tr w:rsidR="0076015E" w:rsidRPr="00453FE0" w14:paraId="309E753B" w14:textId="77777777" w:rsidTr="00D16D80">
        <w:trPr>
          <w:jc w:val="center"/>
        </w:trPr>
        <w:tc>
          <w:tcPr>
            <w:tcW w:w="0" w:type="auto"/>
            <w:vAlign w:val="center"/>
          </w:tcPr>
          <w:p w14:paraId="2E496AC5" w14:textId="77777777" w:rsidR="0076015E" w:rsidRPr="00453FE0" w:rsidRDefault="0076015E" w:rsidP="00D16D80">
            <w:pPr>
              <w:jc w:val="center"/>
              <w:rPr>
                <w:b/>
                <w:bCs/>
                <w:lang w:val="en-GB"/>
              </w:rPr>
            </w:pPr>
            <w:r w:rsidRPr="00453FE0">
              <w:rPr>
                <w:b/>
                <w:bCs/>
                <w:lang w:val="en-GB"/>
              </w:rPr>
              <w:t>Freq-domain Soft</w:t>
            </w:r>
          </w:p>
        </w:tc>
        <w:tc>
          <w:tcPr>
            <w:tcW w:w="0" w:type="auto"/>
            <w:vAlign w:val="center"/>
          </w:tcPr>
          <w:p w14:paraId="5191D68A" w14:textId="3634FE35" w:rsidR="0076015E" w:rsidRPr="00453FE0" w:rsidRDefault="00B2312F" w:rsidP="00D16D80">
            <w:pPr>
              <w:jc w:val="center"/>
              <w:rPr>
                <w:lang w:val="en-GB"/>
              </w:rPr>
            </w:pPr>
            <w:r w:rsidRPr="00453FE0">
              <w:rPr>
                <w:lang w:val="en-GB"/>
              </w:rPr>
              <w:t>Hard</w:t>
            </w:r>
          </w:p>
        </w:tc>
        <w:tc>
          <w:tcPr>
            <w:tcW w:w="0" w:type="auto"/>
            <w:vAlign w:val="center"/>
          </w:tcPr>
          <w:p w14:paraId="62E05734" w14:textId="77777777" w:rsidR="0076015E" w:rsidRPr="00453FE0" w:rsidRDefault="0076015E" w:rsidP="00D16D80">
            <w:pPr>
              <w:jc w:val="center"/>
              <w:rPr>
                <w:lang w:val="en-GB"/>
              </w:rPr>
            </w:pPr>
            <w:r w:rsidRPr="00453FE0">
              <w:rPr>
                <w:lang w:val="en-GB"/>
              </w:rPr>
              <w:t>Soft</w:t>
            </w:r>
          </w:p>
        </w:tc>
        <w:tc>
          <w:tcPr>
            <w:tcW w:w="0" w:type="auto"/>
            <w:vAlign w:val="center"/>
          </w:tcPr>
          <w:p w14:paraId="537E5562" w14:textId="77777777" w:rsidR="0076015E" w:rsidRPr="00453FE0" w:rsidRDefault="0076015E" w:rsidP="00D16D80">
            <w:pPr>
              <w:jc w:val="center"/>
              <w:rPr>
                <w:lang w:val="en-GB"/>
              </w:rPr>
            </w:pPr>
            <w:r w:rsidRPr="00453FE0">
              <w:rPr>
                <w:lang w:val="en-GB"/>
              </w:rPr>
              <w:t>NA</w:t>
            </w:r>
          </w:p>
        </w:tc>
      </w:tr>
      <w:tr w:rsidR="0076015E" w:rsidRPr="00453FE0" w14:paraId="79831E38" w14:textId="77777777" w:rsidTr="00D16D80">
        <w:trPr>
          <w:trHeight w:val="42"/>
          <w:jc w:val="center"/>
        </w:trPr>
        <w:tc>
          <w:tcPr>
            <w:tcW w:w="0" w:type="auto"/>
            <w:vAlign w:val="center"/>
          </w:tcPr>
          <w:p w14:paraId="4A043019" w14:textId="77777777" w:rsidR="0076015E" w:rsidRPr="00453FE0" w:rsidRDefault="0076015E" w:rsidP="00D16D80">
            <w:pPr>
              <w:jc w:val="center"/>
              <w:rPr>
                <w:b/>
                <w:bCs/>
                <w:lang w:val="en-GB"/>
              </w:rPr>
            </w:pPr>
            <w:r w:rsidRPr="00453FE0">
              <w:rPr>
                <w:b/>
                <w:bCs/>
                <w:lang w:val="en-GB"/>
              </w:rPr>
              <w:lastRenderedPageBreak/>
              <w:t>Freq-domain NA</w:t>
            </w:r>
          </w:p>
        </w:tc>
        <w:tc>
          <w:tcPr>
            <w:tcW w:w="0" w:type="auto"/>
            <w:vAlign w:val="center"/>
          </w:tcPr>
          <w:p w14:paraId="1DB61CDB" w14:textId="7F896E9E" w:rsidR="0076015E" w:rsidRPr="00453FE0" w:rsidRDefault="00B2312F" w:rsidP="00D16D80">
            <w:pPr>
              <w:jc w:val="center"/>
              <w:rPr>
                <w:lang w:val="en-GB"/>
              </w:rPr>
            </w:pPr>
            <w:r w:rsidRPr="00453FE0">
              <w:rPr>
                <w:lang w:val="en-GB"/>
              </w:rPr>
              <w:t>Hard</w:t>
            </w:r>
          </w:p>
        </w:tc>
        <w:tc>
          <w:tcPr>
            <w:tcW w:w="0" w:type="auto"/>
            <w:vAlign w:val="center"/>
          </w:tcPr>
          <w:p w14:paraId="6E7DB501" w14:textId="77777777" w:rsidR="0076015E" w:rsidRPr="00453FE0" w:rsidRDefault="0076015E" w:rsidP="00D16D80">
            <w:pPr>
              <w:jc w:val="center"/>
              <w:rPr>
                <w:lang w:val="en-GB"/>
              </w:rPr>
            </w:pPr>
            <w:r w:rsidRPr="00453FE0">
              <w:rPr>
                <w:lang w:val="en-GB"/>
              </w:rPr>
              <w:t>NA</w:t>
            </w:r>
          </w:p>
        </w:tc>
        <w:tc>
          <w:tcPr>
            <w:tcW w:w="0" w:type="auto"/>
            <w:vAlign w:val="center"/>
          </w:tcPr>
          <w:p w14:paraId="6795D116" w14:textId="77777777" w:rsidR="0076015E" w:rsidRPr="00453FE0" w:rsidRDefault="0076015E" w:rsidP="00D16D80">
            <w:pPr>
              <w:jc w:val="center"/>
              <w:rPr>
                <w:lang w:val="en-GB"/>
              </w:rPr>
            </w:pPr>
            <w:r w:rsidRPr="00453FE0">
              <w:rPr>
                <w:lang w:val="en-GB"/>
              </w:rPr>
              <w:t>NA</w:t>
            </w:r>
          </w:p>
        </w:tc>
      </w:tr>
    </w:tbl>
    <w:p w14:paraId="362B3365" w14:textId="7D7F03E1" w:rsidR="0076015E" w:rsidRDefault="0076015E" w:rsidP="0076015E">
      <w:pPr>
        <w:rPr>
          <w:lang w:val="en-GB"/>
        </w:rPr>
      </w:pPr>
    </w:p>
    <w:p w14:paraId="0CC4D5FD" w14:textId="3393A240" w:rsidR="00655763" w:rsidRDefault="00655763" w:rsidP="0076015E">
      <w:pPr>
        <w:rPr>
          <w:lang w:val="en-GB"/>
        </w:rPr>
      </w:pPr>
      <w:r>
        <w:rPr>
          <w:lang w:val="en-GB"/>
        </w:rPr>
        <w:t xml:space="preserve">Separate and joint application of H/S/NA configurations are illustrated below. In </w:t>
      </w:r>
      <w:r>
        <w:rPr>
          <w:lang w:val="en-GB"/>
        </w:rPr>
        <w:fldChar w:fldCharType="begin"/>
      </w:r>
      <w:r>
        <w:rPr>
          <w:lang w:val="en-GB"/>
        </w:rPr>
        <w:instrText xml:space="preserve"> REF _Ref79137937 \r \h </w:instrText>
      </w:r>
      <w:r>
        <w:rPr>
          <w:lang w:val="en-GB"/>
        </w:rPr>
      </w:r>
      <w:r>
        <w:rPr>
          <w:lang w:val="en-GB"/>
        </w:rPr>
        <w:fldChar w:fldCharType="separate"/>
      </w:r>
      <w:r>
        <w:rPr>
          <w:cs/>
          <w:lang w:val="en-GB"/>
        </w:rPr>
        <w:t>‎</w:t>
      </w:r>
      <w:r>
        <w:rPr>
          <w:lang w:val="en-GB"/>
        </w:rPr>
        <w:t>Figure 2</w:t>
      </w:r>
      <w:r>
        <w:rPr>
          <w:lang w:val="en-GB"/>
        </w:rPr>
        <w:fldChar w:fldCharType="end"/>
      </w:r>
      <w:r>
        <w:rPr>
          <w:lang w:val="en-GB"/>
        </w:rPr>
        <w:t xml:space="preserve"> (a), separate configurations are applied in non-overlapping resources, e.g., slot by slot. The result is reduced flexibility in utilizing resources for scheduling. In </w:t>
      </w:r>
      <w:r>
        <w:rPr>
          <w:lang w:val="en-GB"/>
        </w:rPr>
        <w:fldChar w:fldCharType="begin"/>
      </w:r>
      <w:r>
        <w:rPr>
          <w:lang w:val="en-GB"/>
        </w:rPr>
        <w:instrText xml:space="preserve"> REF _Ref79137937 \r \h </w:instrText>
      </w:r>
      <w:r>
        <w:rPr>
          <w:lang w:val="en-GB"/>
        </w:rPr>
      </w:r>
      <w:r>
        <w:rPr>
          <w:lang w:val="en-GB"/>
        </w:rPr>
        <w:fldChar w:fldCharType="separate"/>
      </w:r>
      <w:r>
        <w:rPr>
          <w:cs/>
          <w:lang w:val="en-GB"/>
        </w:rPr>
        <w:t>‎</w:t>
      </w:r>
      <w:r>
        <w:rPr>
          <w:lang w:val="en-GB"/>
        </w:rPr>
        <w:t>Figure 2</w:t>
      </w:r>
      <w:r>
        <w:rPr>
          <w:lang w:val="en-GB"/>
        </w:rPr>
        <w:fldChar w:fldCharType="end"/>
      </w:r>
      <w:r>
        <w:rPr>
          <w:lang w:val="en-GB"/>
        </w:rPr>
        <w:t xml:space="preserve"> (b), examples of rules to apply H/S/NA configurations jointly are illustrated, which result in higher flexibility when FDM is applicable.</w:t>
      </w:r>
    </w:p>
    <w:p w14:paraId="41CFB6B1" w14:textId="502FA4B8" w:rsidR="00655763" w:rsidRDefault="00655763" w:rsidP="00655763">
      <w:pPr>
        <w:pStyle w:val="Figure"/>
      </w:pPr>
      <w:r w:rsidRPr="00655763">
        <w:rPr>
          <w:noProof/>
        </w:rPr>
        <w:drawing>
          <wp:inline distT="0" distB="0" distL="0" distR="0" wp14:anchorId="76365602" wp14:editId="1D8E76B3">
            <wp:extent cx="4169664" cy="18928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9664" cy="1892808"/>
                    </a:xfrm>
                    <a:prstGeom prst="rect">
                      <a:avLst/>
                    </a:prstGeom>
                    <a:noFill/>
                    <a:ln>
                      <a:noFill/>
                    </a:ln>
                  </pic:spPr>
                </pic:pic>
              </a:graphicData>
            </a:graphic>
          </wp:inline>
        </w:drawing>
      </w:r>
    </w:p>
    <w:p w14:paraId="4ECEF6A4" w14:textId="4864F1A2" w:rsidR="00233718" w:rsidRPr="00233718" w:rsidRDefault="00233718" w:rsidP="00233718">
      <w:pPr>
        <w:pStyle w:val="Figure"/>
      </w:pPr>
      <w:r w:rsidRPr="00233718">
        <w:rPr>
          <w:noProof/>
        </w:rPr>
        <w:drawing>
          <wp:inline distT="0" distB="0" distL="0" distR="0" wp14:anchorId="52272976" wp14:editId="6396B628">
            <wp:extent cx="4197096" cy="1737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7096" cy="1737360"/>
                    </a:xfrm>
                    <a:prstGeom prst="rect">
                      <a:avLst/>
                    </a:prstGeom>
                    <a:noFill/>
                    <a:ln>
                      <a:noFill/>
                    </a:ln>
                  </pic:spPr>
                </pic:pic>
              </a:graphicData>
            </a:graphic>
          </wp:inline>
        </w:drawing>
      </w:r>
    </w:p>
    <w:p w14:paraId="1963379E" w14:textId="11D0B006" w:rsidR="00655763" w:rsidRDefault="00655763" w:rsidP="00655763">
      <w:pPr>
        <w:pStyle w:val="Caption"/>
      </w:pPr>
      <w:bookmarkStart w:id="5" w:name="_Ref79137937"/>
      <w:r>
        <w:t xml:space="preserve">. (a) Separate application of H/S/NA configurations (b) </w:t>
      </w:r>
      <w:r w:rsidR="00233718">
        <w:t>J</w:t>
      </w:r>
      <w:r>
        <w:t>oint application</w:t>
      </w:r>
      <w:bookmarkEnd w:id="5"/>
    </w:p>
    <w:p w14:paraId="134E277F" w14:textId="3845F939" w:rsidR="00233718" w:rsidRPr="00233718" w:rsidRDefault="00233718" w:rsidP="00233718">
      <w:pPr>
        <w:rPr>
          <w:lang w:val="en-GB"/>
        </w:rPr>
      </w:pPr>
      <w:bookmarkStart w:id="6" w:name="_Toc71627795"/>
      <w:bookmarkStart w:id="7" w:name="_Toc71627845"/>
      <w:bookmarkStart w:id="8" w:name="_Toc71631391"/>
      <w:bookmarkStart w:id="9" w:name="_Toc71634731"/>
      <w:bookmarkStart w:id="10" w:name="_Toc71639077"/>
      <w:bookmarkStart w:id="11" w:name="_Toc71642076"/>
      <w:bookmarkStart w:id="12" w:name="_Toc71648829"/>
      <w:bookmarkStart w:id="13" w:name="_Toc71649579"/>
      <w:bookmarkStart w:id="14" w:name="_Toc71665424"/>
      <w:bookmarkStart w:id="15" w:name="_Toc71665673"/>
      <w:bookmarkStart w:id="16" w:name="_Toc71666692"/>
      <w:r>
        <w:rPr>
          <w:lang w:val="en-GB"/>
        </w:rPr>
        <w:t xml:space="preserve">Furthermore, separate application is a special case of joint application, </w:t>
      </w:r>
      <w:r w:rsidR="003274C8">
        <w:rPr>
          <w:lang w:val="en-GB"/>
        </w:rPr>
        <w:t>e.g.</w:t>
      </w:r>
      <w:r>
        <w:rPr>
          <w:lang w:val="en-GB"/>
        </w:rPr>
        <w:t xml:space="preserve">, IAB-CU may choose to configure IAB nodes with time- and frequency-domain H/S/NA on </w:t>
      </w:r>
      <w:r w:rsidR="003274C8">
        <w:rPr>
          <w:lang w:val="en-GB"/>
        </w:rPr>
        <w:t>same slots for joint application</w:t>
      </w:r>
      <w:r w:rsidR="00D066CD">
        <w:rPr>
          <w:lang w:val="en-GB"/>
        </w:rPr>
        <w:t>,</w:t>
      </w:r>
      <w:r w:rsidR="003274C8">
        <w:rPr>
          <w:lang w:val="en-GB"/>
        </w:rPr>
        <w:t xml:space="preserve"> or </w:t>
      </w:r>
      <w:r w:rsidR="00D066CD">
        <w:rPr>
          <w:lang w:val="en-GB"/>
        </w:rPr>
        <w:t xml:space="preserve">alternatively, </w:t>
      </w:r>
      <w:r w:rsidR="003274C8">
        <w:rPr>
          <w:lang w:val="en-GB"/>
        </w:rPr>
        <w:t>on separate</w:t>
      </w:r>
      <w:r>
        <w:rPr>
          <w:lang w:val="en-GB"/>
        </w:rPr>
        <w:t xml:space="preserve"> slots</w:t>
      </w:r>
      <w:r w:rsidR="003274C8">
        <w:rPr>
          <w:lang w:val="en-GB"/>
        </w:rPr>
        <w:t xml:space="preserve"> for separate application</w:t>
      </w:r>
      <w:r>
        <w:rPr>
          <w:lang w:val="en-GB"/>
        </w:rPr>
        <w:t>.</w:t>
      </w:r>
    </w:p>
    <w:p w14:paraId="384DEC15" w14:textId="2026FF28" w:rsidR="00233718" w:rsidRDefault="00233718" w:rsidP="00233718">
      <w:pPr>
        <w:pStyle w:val="Proposal"/>
        <w:rPr>
          <w:lang w:val="en-GB"/>
        </w:rPr>
      </w:pPr>
      <w:bookmarkStart w:id="17" w:name="_Toc79157017"/>
      <w:bookmarkStart w:id="18" w:name="_Toc79157209"/>
      <w:bookmarkStart w:id="19" w:name="_Toc79159799"/>
      <w:bookmarkStart w:id="20" w:name="_Toc79177820"/>
      <w:r>
        <w:rPr>
          <w:lang w:val="en-GB"/>
        </w:rPr>
        <w:t>Support joint application of time</w:t>
      </w:r>
      <w:r w:rsidR="00227C76">
        <w:rPr>
          <w:lang w:val="en-GB"/>
        </w:rPr>
        <w:t>-</w:t>
      </w:r>
      <w:r>
        <w:rPr>
          <w:lang w:val="en-GB"/>
        </w:rPr>
        <w:t xml:space="preserve"> and frequency-domain H/S/NA configurations.</w:t>
      </w:r>
      <w:bookmarkEnd w:id="17"/>
      <w:bookmarkEnd w:id="18"/>
      <w:bookmarkEnd w:id="19"/>
      <w:bookmarkEnd w:id="20"/>
    </w:p>
    <w:p w14:paraId="15129E71" w14:textId="029F1831" w:rsidR="009B5E49" w:rsidRPr="00453FE0" w:rsidRDefault="009B629D" w:rsidP="007324EA">
      <w:pPr>
        <w:pStyle w:val="Proposal"/>
      </w:pPr>
      <w:bookmarkStart w:id="21" w:name="_Toc79157018"/>
      <w:bookmarkStart w:id="22" w:name="_Toc79157210"/>
      <w:bookmarkStart w:id="23" w:name="_Toc79159800"/>
      <w:bookmarkStart w:id="24" w:name="_Toc79177821"/>
      <w:r w:rsidRPr="00233718">
        <w:rPr>
          <w:lang w:val="en-GB"/>
        </w:rPr>
        <w:t xml:space="preserve">Specify rules for determining H/S/NA resource types </w:t>
      </w:r>
      <w:r w:rsidR="00026ED0" w:rsidRPr="00233718">
        <w:rPr>
          <w:lang w:val="en-GB"/>
        </w:rPr>
        <w:t>for</w:t>
      </w:r>
      <w:r w:rsidR="00FD3618" w:rsidRPr="00233718">
        <w:rPr>
          <w:lang w:val="en-GB"/>
        </w:rPr>
        <w:t xml:space="preserve"> time-frequency </w:t>
      </w:r>
      <w:r w:rsidR="00026ED0" w:rsidRPr="00233718">
        <w:rPr>
          <w:lang w:val="en-GB"/>
        </w:rPr>
        <w:t>resources</w:t>
      </w:r>
      <w:r w:rsidR="00FD3618" w:rsidRPr="00233718">
        <w:rPr>
          <w:lang w:val="en-GB"/>
        </w:rPr>
        <w:t xml:space="preserve"> </w:t>
      </w:r>
      <w:r w:rsidRPr="00233718">
        <w:rPr>
          <w:lang w:val="en-GB"/>
        </w:rPr>
        <w:t>based on separate configurations</w:t>
      </w:r>
      <w:r w:rsidR="00FD3618" w:rsidRPr="00233718">
        <w:rPr>
          <w:lang w:val="en-GB"/>
        </w:rPr>
        <w:t xml:space="preserve"> in time and frequency domains</w:t>
      </w:r>
      <w:r w:rsidRPr="00233718">
        <w:rPr>
          <w:lang w:val="en-GB"/>
        </w:rPr>
        <w:t>.</w:t>
      </w:r>
      <w:bookmarkEnd w:id="6"/>
      <w:bookmarkEnd w:id="7"/>
      <w:bookmarkEnd w:id="8"/>
      <w:bookmarkEnd w:id="9"/>
      <w:bookmarkEnd w:id="10"/>
      <w:bookmarkEnd w:id="11"/>
      <w:bookmarkEnd w:id="12"/>
      <w:bookmarkEnd w:id="13"/>
      <w:bookmarkEnd w:id="14"/>
      <w:bookmarkEnd w:id="15"/>
      <w:bookmarkEnd w:id="16"/>
      <w:bookmarkEnd w:id="21"/>
      <w:bookmarkEnd w:id="22"/>
      <w:bookmarkEnd w:id="23"/>
      <w:bookmarkEnd w:id="24"/>
    </w:p>
    <w:p w14:paraId="20758501" w14:textId="6428F8D9" w:rsidR="006120D1" w:rsidRPr="00453FE0" w:rsidRDefault="006120D1" w:rsidP="006120D1">
      <w:pPr>
        <w:rPr>
          <w:lang w:val="en-GB"/>
        </w:rPr>
      </w:pPr>
      <w:r w:rsidRPr="00453FE0">
        <w:rPr>
          <w:lang w:val="en-GB"/>
        </w:rPr>
        <w:t xml:space="preserve">In IAB Rel-16, it was specified to allow the IAB-DU to use a soft </w:t>
      </w:r>
      <w:r w:rsidR="00552EC0" w:rsidRPr="00453FE0">
        <w:rPr>
          <w:lang w:val="en-GB"/>
        </w:rPr>
        <w:t>symbol</w:t>
      </w:r>
      <w:r w:rsidRPr="00453FE0">
        <w:rPr>
          <w:lang w:val="en-GB"/>
        </w:rPr>
        <w:t xml:space="preserve"> only if</w:t>
      </w:r>
    </w:p>
    <w:p w14:paraId="577C4BE2" w14:textId="39D2F876" w:rsidR="006120D1" w:rsidRPr="00453FE0" w:rsidRDefault="006120D1" w:rsidP="00B05C5E">
      <w:pPr>
        <w:pStyle w:val="B1"/>
        <w:numPr>
          <w:ilvl w:val="0"/>
          <w:numId w:val="9"/>
        </w:numPr>
        <w:rPr>
          <w:i/>
          <w:iCs/>
        </w:rPr>
      </w:pPr>
      <w:r w:rsidRPr="00453FE0">
        <w:rPr>
          <w:i/>
          <w:iCs/>
        </w:rPr>
        <w:t>the IAB-MT does not transmit or receive in the symbol, or</w:t>
      </w:r>
    </w:p>
    <w:p w14:paraId="5677F2BE" w14:textId="2A6EB0FC" w:rsidR="006120D1" w:rsidRPr="00453FE0" w:rsidRDefault="006120D1" w:rsidP="00B05C5E">
      <w:pPr>
        <w:pStyle w:val="B1"/>
        <w:numPr>
          <w:ilvl w:val="0"/>
          <w:numId w:val="9"/>
        </w:numPr>
        <w:rPr>
          <w:i/>
          <w:iCs/>
        </w:rPr>
      </w:pPr>
      <w:r w:rsidRPr="00453FE0">
        <w:rPr>
          <w:i/>
          <w:iCs/>
        </w:rPr>
        <w:t>the IAB-MT would transmit or receive in the symbol, and the transmission or reception in the symbol is not changed due to a use of the symbol by the IAB-DU, or</w:t>
      </w:r>
    </w:p>
    <w:p w14:paraId="52A85477" w14:textId="54101567" w:rsidR="006120D1" w:rsidRPr="00453FE0" w:rsidRDefault="006120D1" w:rsidP="00B05C5E">
      <w:pPr>
        <w:pStyle w:val="B1"/>
        <w:numPr>
          <w:ilvl w:val="0"/>
          <w:numId w:val="9"/>
        </w:numPr>
        <w:rPr>
          <w:i/>
          <w:iCs/>
        </w:rPr>
      </w:pPr>
      <w:r w:rsidRPr="00453FE0">
        <w:rPr>
          <w:i/>
          <w:iCs/>
        </w:rPr>
        <w:t>the IAB-MT detects a DCI format 2_5 with an AI index field value indicating the soft symbol as available.</w:t>
      </w:r>
    </w:p>
    <w:p w14:paraId="1EBD3339" w14:textId="453B30CE" w:rsidR="006120D1" w:rsidRPr="00453FE0" w:rsidRDefault="006120D1" w:rsidP="006120D1">
      <w:pPr>
        <w:rPr>
          <w:lang w:val="en-GB"/>
        </w:rPr>
      </w:pPr>
      <w:r w:rsidRPr="00453FE0">
        <w:rPr>
          <w:lang w:val="en-GB"/>
        </w:rPr>
        <w:t xml:space="preserve">The first condition is for IAB nodes capable of performing TDM only. The second condition is applicable to enhanced IAB nodes capable of FDM and/or SDM to perform non-TDM multiplexing on a </w:t>
      </w:r>
      <w:r w:rsidR="00377A0F" w:rsidRPr="00453FE0">
        <w:rPr>
          <w:lang w:val="en-GB"/>
        </w:rPr>
        <w:t>‘</w:t>
      </w:r>
      <w:r w:rsidRPr="00453FE0">
        <w:rPr>
          <w:lang w:val="en-GB"/>
        </w:rPr>
        <w:t>best-effort</w:t>
      </w:r>
      <w:r w:rsidR="00377A0F" w:rsidRPr="00453FE0">
        <w:rPr>
          <w:lang w:val="en-GB"/>
        </w:rPr>
        <w:t>’</w:t>
      </w:r>
      <w:r w:rsidRPr="00453FE0">
        <w:rPr>
          <w:lang w:val="en-GB"/>
        </w:rPr>
        <w:t xml:space="preserve"> basis. The third condition allows the IAB node to use resources for communication with a child node without a concern for multiplexing constraints.</w:t>
      </w:r>
    </w:p>
    <w:p w14:paraId="38326CA7" w14:textId="77777777" w:rsidR="00D04718" w:rsidRDefault="006120D1" w:rsidP="006120D1">
      <w:pPr>
        <w:rPr>
          <w:lang w:val="en-GB"/>
        </w:rPr>
      </w:pPr>
      <w:r w:rsidRPr="00453FE0">
        <w:rPr>
          <w:lang w:val="en-GB"/>
        </w:rPr>
        <w:lastRenderedPageBreak/>
        <w:t>The above specification works well for TDM between upstream and downstream communications – the IAB node receives explicit indication of availability of soft resources in a guaranteed manner, while it can still perform non-TDM multiplexing based on a best-effort approach.</w:t>
      </w:r>
    </w:p>
    <w:p w14:paraId="5B62CAF3" w14:textId="1D641D6E" w:rsidR="006120D1" w:rsidRPr="00453FE0" w:rsidRDefault="006120D1" w:rsidP="006120D1">
      <w:pPr>
        <w:rPr>
          <w:lang w:val="en-GB"/>
        </w:rPr>
      </w:pPr>
      <w:r w:rsidRPr="00453FE0">
        <w:rPr>
          <w:lang w:val="en-GB"/>
        </w:rPr>
        <w:t xml:space="preserve">That, however, is not sufficient for </w:t>
      </w:r>
      <w:r w:rsidR="00997A5C">
        <w:rPr>
          <w:lang w:val="en-GB"/>
        </w:rPr>
        <w:t xml:space="preserve">a guaranteed performance with </w:t>
      </w:r>
      <w:r w:rsidRPr="00453FE0">
        <w:rPr>
          <w:lang w:val="en-GB"/>
        </w:rPr>
        <w:t>enhanced duplexing. On the one hand, the best-effort approach for non-TDM mode of operation does not guarantee a performance improvement, and on the other hand, relying on the IAB node’s capability to perform non-TDM operations may change frequently and unpredictably in the presence of varying beam, power, and interference and in the presence of timing alignment constraints.</w:t>
      </w:r>
    </w:p>
    <w:p w14:paraId="7810C3C9" w14:textId="77777777" w:rsidR="006120D1" w:rsidRPr="00453FE0" w:rsidRDefault="006120D1" w:rsidP="006120D1">
      <w:pPr>
        <w:pStyle w:val="Observation"/>
      </w:pPr>
      <w:bookmarkStart w:id="25" w:name="_Toc61541141"/>
      <w:bookmarkStart w:id="26" w:name="_Toc61541301"/>
      <w:bookmarkStart w:id="27" w:name="_Toc61544527"/>
      <w:bookmarkStart w:id="28" w:name="_Toc61544619"/>
      <w:bookmarkStart w:id="29" w:name="_Toc61544625"/>
      <w:bookmarkStart w:id="30" w:name="_Toc61544696"/>
      <w:bookmarkStart w:id="31" w:name="_Toc61547537"/>
      <w:bookmarkStart w:id="32" w:name="_Toc61559096"/>
      <w:bookmarkStart w:id="33" w:name="_Toc61559319"/>
      <w:bookmarkStart w:id="34" w:name="_Toc61854477"/>
      <w:bookmarkStart w:id="35" w:name="_Toc61895527"/>
      <w:bookmarkStart w:id="36" w:name="_Toc61895645"/>
      <w:bookmarkStart w:id="37" w:name="_Toc68553147"/>
      <w:bookmarkStart w:id="38" w:name="_Toc68604758"/>
      <w:bookmarkStart w:id="39" w:name="_Toc68608868"/>
      <w:bookmarkStart w:id="40" w:name="_Toc68611502"/>
      <w:bookmarkStart w:id="41" w:name="_Toc68621486"/>
      <w:bookmarkStart w:id="42" w:name="_Toc68645550"/>
      <w:bookmarkStart w:id="43" w:name="_Toc71627790"/>
      <w:bookmarkStart w:id="44" w:name="_Toc71627842"/>
      <w:bookmarkStart w:id="45" w:name="_Toc71631388"/>
      <w:bookmarkStart w:id="46" w:name="_Toc71634728"/>
      <w:bookmarkStart w:id="47" w:name="_Toc71665419"/>
      <w:bookmarkStart w:id="48" w:name="_Toc79157011"/>
      <w:bookmarkStart w:id="49" w:name="_Toc79159797"/>
      <w:r w:rsidRPr="00453FE0">
        <w:t>The best-effort approach is insufficient for non-TDM operation in the presence of varying beam, power, interference, and timing alignment constraints.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633EB5C" w14:textId="77777777" w:rsidR="006120D1" w:rsidRPr="00453FE0" w:rsidRDefault="006120D1" w:rsidP="006120D1">
      <w:pPr>
        <w:pStyle w:val="Observation"/>
      </w:pPr>
      <w:bookmarkStart w:id="50" w:name="_Toc61541142"/>
      <w:bookmarkStart w:id="51" w:name="_Toc61541302"/>
      <w:bookmarkStart w:id="52" w:name="_Toc61544528"/>
      <w:bookmarkStart w:id="53" w:name="_Toc61544620"/>
      <w:bookmarkStart w:id="54" w:name="_Toc61544626"/>
      <w:bookmarkStart w:id="55" w:name="_Toc61544697"/>
      <w:bookmarkStart w:id="56" w:name="_Toc61547538"/>
      <w:bookmarkStart w:id="57" w:name="_Toc61559097"/>
      <w:bookmarkStart w:id="58" w:name="_Toc61559320"/>
      <w:bookmarkStart w:id="59" w:name="_Toc61854478"/>
      <w:bookmarkStart w:id="60" w:name="_Toc61895528"/>
      <w:bookmarkStart w:id="61" w:name="_Toc61895646"/>
      <w:bookmarkStart w:id="62" w:name="_Toc68553148"/>
      <w:bookmarkStart w:id="63" w:name="_Toc68604759"/>
      <w:bookmarkStart w:id="64" w:name="_Toc68608869"/>
      <w:bookmarkStart w:id="65" w:name="_Toc68611503"/>
      <w:bookmarkStart w:id="66" w:name="_Toc68621487"/>
      <w:bookmarkStart w:id="67" w:name="_Toc68645551"/>
      <w:bookmarkStart w:id="68" w:name="_Toc71627791"/>
      <w:bookmarkStart w:id="69" w:name="_Toc71627843"/>
      <w:bookmarkStart w:id="70" w:name="_Toc71631389"/>
      <w:bookmarkStart w:id="71" w:name="_Toc71634729"/>
      <w:bookmarkStart w:id="72" w:name="_Toc71665420"/>
      <w:bookmarkStart w:id="73" w:name="_Toc79157012"/>
      <w:bookmarkStart w:id="74" w:name="_Toc79159798"/>
      <w:r w:rsidRPr="00453FE0">
        <w:t>When non-TDM multiplexing between upstream and downstream links are intended, sending availability indication for IAB-DU resources solely based on IAB node’s non-TDM capability may result in shortage of resources for IAB-MT due to beamforming, power, interference, or timing alignment constraints at a moment.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E7ECBE4" w14:textId="7A838C3B" w:rsidR="003D1529" w:rsidRPr="00453FE0" w:rsidRDefault="006120D1" w:rsidP="006120D1">
      <w:pPr>
        <w:rPr>
          <w:lang w:val="en-GB"/>
        </w:rPr>
      </w:pPr>
      <w:r w:rsidRPr="00453FE0">
        <w:rPr>
          <w:lang w:val="en-GB"/>
        </w:rPr>
        <w:t xml:space="preserve">Therefore, we propose to </w:t>
      </w:r>
      <w:r w:rsidR="005A2219" w:rsidRPr="00453FE0">
        <w:rPr>
          <w:lang w:val="en-GB"/>
        </w:rPr>
        <w:t xml:space="preserve">support availability indication of soft resources </w:t>
      </w:r>
      <w:r w:rsidRPr="00453FE0">
        <w:rPr>
          <w:lang w:val="en-GB"/>
        </w:rPr>
        <w:t>where</w:t>
      </w:r>
      <w:r w:rsidR="00552EC0" w:rsidRPr="00453FE0">
        <w:rPr>
          <w:lang w:val="en-GB"/>
        </w:rPr>
        <w:t>by</w:t>
      </w:r>
      <w:r w:rsidRPr="00453FE0">
        <w:rPr>
          <w:lang w:val="en-GB"/>
        </w:rPr>
        <w:t xml:space="preserve"> the IAB node can use </w:t>
      </w:r>
      <w:r w:rsidR="005A2219" w:rsidRPr="00453FE0">
        <w:rPr>
          <w:lang w:val="en-GB"/>
        </w:rPr>
        <w:t xml:space="preserve">the </w:t>
      </w:r>
      <w:r w:rsidRPr="00453FE0">
        <w:rPr>
          <w:lang w:val="en-GB"/>
        </w:rPr>
        <w:t xml:space="preserve">soft resources only </w:t>
      </w:r>
      <w:r w:rsidR="00552EC0" w:rsidRPr="00453FE0">
        <w:rPr>
          <w:lang w:val="en-GB"/>
        </w:rPr>
        <w:t>when</w:t>
      </w:r>
      <w:r w:rsidRPr="00453FE0">
        <w:rPr>
          <w:lang w:val="en-GB"/>
        </w:rPr>
        <w:t xml:space="preserve"> it is able to perform non-TDM with an IAB-MT operation.</w:t>
      </w:r>
    </w:p>
    <w:p w14:paraId="5B9C4AE8" w14:textId="58EB6598" w:rsidR="00AA5F24" w:rsidRDefault="006120D1" w:rsidP="00AA5F24">
      <w:pPr>
        <w:pStyle w:val="Proposal"/>
        <w:rPr>
          <w:lang w:val="en-GB"/>
        </w:rPr>
      </w:pPr>
      <w:bookmarkStart w:id="75" w:name="_Toc61541285"/>
      <w:bookmarkStart w:id="76" w:name="_Toc61541337"/>
      <w:bookmarkStart w:id="77" w:name="_Toc61544628"/>
      <w:bookmarkStart w:id="78" w:name="_Toc61547545"/>
      <w:bookmarkStart w:id="79" w:name="_Toc61559090"/>
      <w:bookmarkStart w:id="80" w:name="_Toc61559327"/>
      <w:bookmarkStart w:id="81" w:name="_Toc61854473"/>
      <w:bookmarkStart w:id="82" w:name="_Toc61858380"/>
      <w:bookmarkStart w:id="83" w:name="_Toc61858814"/>
      <w:bookmarkStart w:id="84" w:name="_Toc61859145"/>
      <w:bookmarkStart w:id="85" w:name="_Toc61895539"/>
      <w:bookmarkStart w:id="86" w:name="_Toc61895641"/>
      <w:bookmarkStart w:id="87" w:name="_Toc68553152"/>
      <w:bookmarkStart w:id="88" w:name="_Toc68604763"/>
      <w:bookmarkStart w:id="89" w:name="_Toc68608874"/>
      <w:bookmarkStart w:id="90" w:name="_Toc68611506"/>
      <w:bookmarkStart w:id="91" w:name="_Toc68621471"/>
      <w:bookmarkStart w:id="92" w:name="_Toc68645542"/>
      <w:bookmarkStart w:id="93" w:name="_Toc71627797"/>
      <w:bookmarkStart w:id="94" w:name="_Toc71627847"/>
      <w:bookmarkStart w:id="95" w:name="_Toc71631393"/>
      <w:bookmarkStart w:id="96" w:name="_Toc71634733"/>
      <w:bookmarkStart w:id="97" w:name="_Toc71639079"/>
      <w:bookmarkStart w:id="98" w:name="_Toc71642078"/>
      <w:bookmarkStart w:id="99" w:name="_Toc71648831"/>
      <w:bookmarkStart w:id="100" w:name="_Toc71649581"/>
      <w:bookmarkStart w:id="101" w:name="_Toc71665426"/>
      <w:bookmarkStart w:id="102" w:name="_Toc71665675"/>
      <w:bookmarkStart w:id="103" w:name="_Toc71666694"/>
      <w:bookmarkStart w:id="104" w:name="_Toc79157019"/>
      <w:bookmarkStart w:id="105" w:name="_Toc79157211"/>
      <w:bookmarkStart w:id="106" w:name="_Toc79159801"/>
      <w:bookmarkStart w:id="107" w:name="_Toc79177822"/>
      <w:r w:rsidRPr="00453FE0">
        <w:rPr>
          <w:lang w:val="en-GB"/>
        </w:rPr>
        <w:t xml:space="preserve">Support conditional availability indication as a </w:t>
      </w:r>
      <w:r w:rsidR="00163EAD" w:rsidRPr="00453FE0">
        <w:rPr>
          <w:lang w:val="en-GB"/>
        </w:rPr>
        <w:t xml:space="preserve">balance </w:t>
      </w:r>
      <w:r w:rsidRPr="00453FE0">
        <w:rPr>
          <w:lang w:val="en-GB"/>
        </w:rPr>
        <w:t xml:space="preserve">between </w:t>
      </w:r>
      <w:r w:rsidR="003E363C" w:rsidRPr="00453FE0">
        <w:rPr>
          <w:lang w:val="en-GB"/>
        </w:rPr>
        <w:t xml:space="preserve">existing </w:t>
      </w:r>
      <w:r w:rsidRPr="00453FE0">
        <w:rPr>
          <w:lang w:val="en-GB"/>
        </w:rPr>
        <w:t xml:space="preserve">best-effort non-TDM </w:t>
      </w:r>
      <w:r w:rsidR="003E363C" w:rsidRPr="00453FE0">
        <w:rPr>
          <w:lang w:val="en-GB"/>
        </w:rPr>
        <w:t xml:space="preserve">and TDM-only </w:t>
      </w:r>
      <w:r w:rsidRPr="00453FE0">
        <w:rPr>
          <w:lang w:val="en-GB"/>
        </w:rPr>
        <w:t>availability indication.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9A555E1" w14:textId="397A7E6E" w:rsidR="00AA5F24" w:rsidRDefault="00AA5F24" w:rsidP="00AA5F24">
      <w:pPr>
        <w:rPr>
          <w:lang w:val="en-GB"/>
        </w:rPr>
      </w:pPr>
      <w:r>
        <w:rPr>
          <w:lang w:val="en-GB"/>
        </w:rPr>
        <w:t xml:space="preserve">With respect to modifications to use DCI 2-5 for the frequency-domain, the existing format for the time domain may be extended to the frequency domain, wherein the unit of one slot </w:t>
      </w:r>
      <w:r w:rsidR="00997A5C">
        <w:rPr>
          <w:lang w:val="en-GB"/>
        </w:rPr>
        <w:t xml:space="preserve">is </w:t>
      </w:r>
      <w:r>
        <w:rPr>
          <w:lang w:val="en-GB"/>
        </w:rPr>
        <w:t xml:space="preserve">replaced by a </w:t>
      </w:r>
      <w:r w:rsidR="00D04718">
        <w:rPr>
          <w:lang w:val="en-GB"/>
        </w:rPr>
        <w:t xml:space="preserve">unit of a </w:t>
      </w:r>
      <w:r>
        <w:rPr>
          <w:lang w:val="en-GB"/>
        </w:rPr>
        <w:t>group of N PRBs or N RBGs. Higher layer configurations may follow a similar extension</w:t>
      </w:r>
      <w:r w:rsidR="00DA45B9">
        <w:rPr>
          <w:lang w:val="en-GB"/>
        </w:rPr>
        <w:t xml:space="preserve"> (AI combinations</w:t>
      </w:r>
      <w:r w:rsidR="000F0D31">
        <w:rPr>
          <w:lang w:val="en-GB"/>
        </w:rPr>
        <w:t>, etc.</w:t>
      </w:r>
      <w:r w:rsidR="00DA45B9">
        <w:rPr>
          <w:lang w:val="en-GB"/>
        </w:rPr>
        <w:t>)</w:t>
      </w:r>
      <w:r>
        <w:rPr>
          <w:lang w:val="en-GB"/>
        </w:rPr>
        <w:t xml:space="preserve"> to reduce standardization efforts.</w:t>
      </w:r>
    </w:p>
    <w:p w14:paraId="5ECFFE8B" w14:textId="7172513F" w:rsidR="00AA5F24" w:rsidRDefault="00AA5F24" w:rsidP="00AA5F24">
      <w:pPr>
        <w:rPr>
          <w:lang w:val="en-GB"/>
        </w:rPr>
      </w:pPr>
      <w:r>
        <w:rPr>
          <w:lang w:val="en-GB"/>
        </w:rPr>
        <w:t>Furthermore, DCI 2-5 for time and frequency domains may be transmitted separately, but applied jointly</w:t>
      </w:r>
      <w:r w:rsidR="00D459DE">
        <w:rPr>
          <w:lang w:val="en-GB"/>
        </w:rPr>
        <w:t>,</w:t>
      </w:r>
      <w:r>
        <w:rPr>
          <w:lang w:val="en-GB"/>
        </w:rPr>
        <w:t xml:space="preserve"> similar to the principle explained for configurations. That simplifies the process and increases flexibility, again at a small cost of applying a simple </w:t>
      </w:r>
      <w:r w:rsidR="00D459DE">
        <w:rPr>
          <w:lang w:val="en-GB"/>
        </w:rPr>
        <w:t>rule,</w:t>
      </w:r>
      <w:r w:rsidR="00093ED6">
        <w:rPr>
          <w:lang w:val="en-GB"/>
        </w:rPr>
        <w:t xml:space="preserve"> e.g., </w:t>
      </w:r>
      <w:r>
        <w:rPr>
          <w:lang w:val="en-GB"/>
        </w:rPr>
        <w:t xml:space="preserve">a resource that is configured soft in both domains is considered ‘available’ </w:t>
      </w:r>
      <w:r w:rsidR="0097796A">
        <w:rPr>
          <w:lang w:val="en-GB"/>
        </w:rPr>
        <w:t xml:space="preserve">only </w:t>
      </w:r>
      <w:r>
        <w:rPr>
          <w:lang w:val="en-GB"/>
        </w:rPr>
        <w:t>if indicated ‘available’ in both domains.</w:t>
      </w:r>
    </w:p>
    <w:p w14:paraId="053A8A94" w14:textId="03110764" w:rsidR="00AD6A20" w:rsidRDefault="00AD6A20" w:rsidP="00AD6A20">
      <w:pPr>
        <w:pStyle w:val="Proposal"/>
        <w:rPr>
          <w:lang w:val="en-GB"/>
        </w:rPr>
      </w:pPr>
      <w:bookmarkStart w:id="108" w:name="_Toc79157020"/>
      <w:bookmarkStart w:id="109" w:name="_Toc79157212"/>
      <w:bookmarkStart w:id="110" w:name="_Toc79159802"/>
      <w:bookmarkStart w:id="111" w:name="_Toc79177823"/>
      <w:r>
        <w:rPr>
          <w:lang w:val="en-GB"/>
        </w:rPr>
        <w:t xml:space="preserve">Extend DCI 2-5 to cover frequency-domain availability indication by replacing a unit of slots </w:t>
      </w:r>
      <w:r w:rsidR="00DA45B9">
        <w:rPr>
          <w:lang w:val="en-GB"/>
        </w:rPr>
        <w:t>by</w:t>
      </w:r>
      <w:r>
        <w:rPr>
          <w:lang w:val="en-GB"/>
        </w:rPr>
        <w:t xml:space="preserve"> a unit of N PRBs or N RBGs.</w:t>
      </w:r>
      <w:bookmarkEnd w:id="108"/>
      <w:bookmarkEnd w:id="109"/>
      <w:bookmarkEnd w:id="110"/>
      <w:bookmarkEnd w:id="111"/>
    </w:p>
    <w:p w14:paraId="3C24382C" w14:textId="4BE911CE" w:rsidR="007324EA" w:rsidRDefault="007324EA" w:rsidP="007324EA">
      <w:pPr>
        <w:rPr>
          <w:lang w:val="en-GB"/>
        </w:rPr>
      </w:pPr>
      <w:r>
        <w:rPr>
          <w:lang w:val="en-GB"/>
        </w:rPr>
        <w:t xml:space="preserve">Regarding a scaling rule for the value of N </w:t>
      </w:r>
      <w:r w:rsidRPr="007324EA">
        <w:rPr>
          <w:lang w:val="en-GB"/>
        </w:rPr>
        <w:t>based on system BW or IAB-MT BWP</w:t>
      </w:r>
      <w:r>
        <w:rPr>
          <w:lang w:val="en-GB"/>
        </w:rPr>
        <w:t>, we consider that an unnecessary complexity that would demand standardization efforts in the limited remaining time.</w:t>
      </w:r>
    </w:p>
    <w:p w14:paraId="4A658D14" w14:textId="0F57A523" w:rsidR="007324EA" w:rsidRPr="007324EA" w:rsidRDefault="007324EA" w:rsidP="007324EA">
      <w:pPr>
        <w:pStyle w:val="Proposal"/>
        <w:rPr>
          <w:lang w:val="en-GB"/>
        </w:rPr>
      </w:pPr>
      <w:bookmarkStart w:id="112" w:name="_Toc79157021"/>
      <w:bookmarkStart w:id="113" w:name="_Toc79157213"/>
      <w:bookmarkStart w:id="114" w:name="_Toc79159803"/>
      <w:bookmarkStart w:id="115" w:name="_Toc79177824"/>
      <w:r>
        <w:rPr>
          <w:lang w:val="en-GB"/>
        </w:rPr>
        <w:t xml:space="preserve">No need to introduce scaling of N </w:t>
      </w:r>
      <w:bookmarkStart w:id="116" w:name="_Hlk79139778"/>
      <w:r>
        <w:rPr>
          <w:lang w:val="en-GB"/>
        </w:rPr>
        <w:t>based on system BW or IAB-MT BWP</w:t>
      </w:r>
      <w:bookmarkEnd w:id="116"/>
      <w:r>
        <w:rPr>
          <w:lang w:val="en-GB"/>
        </w:rPr>
        <w:t>.</w:t>
      </w:r>
      <w:bookmarkEnd w:id="112"/>
      <w:bookmarkEnd w:id="113"/>
      <w:bookmarkEnd w:id="114"/>
      <w:bookmarkEnd w:id="115"/>
    </w:p>
    <w:p w14:paraId="0B2AB82A" w14:textId="77777777" w:rsidR="00DD1C2A" w:rsidRDefault="00DD1C2A" w:rsidP="00DD1C2A">
      <w:pPr>
        <w:pStyle w:val="Heading2"/>
      </w:pPr>
      <w:r>
        <w:t>Spatial domain</w:t>
      </w:r>
    </w:p>
    <w:p w14:paraId="08DDC29F" w14:textId="3066DF4C" w:rsidR="00DD1C2A" w:rsidRDefault="00DD1C2A" w:rsidP="00DD1C2A">
      <w:pPr>
        <w:rPr>
          <w:lang w:val="en-GB"/>
        </w:rPr>
      </w:pPr>
      <w:r>
        <w:rPr>
          <w:lang w:val="en-GB"/>
        </w:rPr>
        <w:t xml:space="preserve">Discussion on spatial-domain enhancements in </w:t>
      </w:r>
      <w:r w:rsidR="00DA6B1E">
        <w:rPr>
          <w:lang w:val="en-GB"/>
        </w:rPr>
        <w:t>RAN1#</w:t>
      </w:r>
      <w:r w:rsidR="00C477CC">
        <w:rPr>
          <w:lang w:val="en-GB"/>
        </w:rPr>
        <w:t>105</w:t>
      </w:r>
      <w:r w:rsidR="0084062D">
        <w:rPr>
          <w:lang w:val="en-GB"/>
        </w:rPr>
        <w:t>-e</w:t>
      </w:r>
      <w:r>
        <w:rPr>
          <w:lang w:val="en-GB"/>
        </w:rPr>
        <w:t xml:space="preserve"> led to the following agreement </w:t>
      </w:r>
      <w:r w:rsidR="003264D4">
        <w:rPr>
          <w:lang w:val="en-GB"/>
        </w:rPr>
        <w:fldChar w:fldCharType="begin"/>
      </w:r>
      <w:r w:rsidR="003264D4">
        <w:rPr>
          <w:lang w:val="en-GB"/>
        </w:rPr>
        <w:instrText xml:space="preserve"> REF _Ref71645523 \r \h </w:instrText>
      </w:r>
      <w:r w:rsidR="003264D4">
        <w:rPr>
          <w:lang w:val="en-GB"/>
        </w:rPr>
      </w:r>
      <w:r w:rsidR="003264D4">
        <w:rPr>
          <w:lang w:val="en-GB"/>
        </w:rPr>
        <w:fldChar w:fldCharType="separate"/>
      </w:r>
      <w:r w:rsidR="003264D4">
        <w:rPr>
          <w:cs/>
          <w:lang w:val="en-GB"/>
        </w:rPr>
        <w:t>‎</w:t>
      </w:r>
      <w:r w:rsidR="003264D4">
        <w:rPr>
          <w:lang w:val="en-GB"/>
        </w:rPr>
        <w:fldChar w:fldCharType="end"/>
      </w:r>
      <w:r w:rsidR="00C477CC">
        <w:rPr>
          <w:lang w:val="en-GB"/>
        </w:rPr>
        <w:fldChar w:fldCharType="begin"/>
      </w:r>
      <w:r w:rsidR="00C477CC">
        <w:rPr>
          <w:lang w:val="en-GB"/>
        </w:rPr>
        <w:instrText xml:space="preserve"> REF _Ref79129427 \r \h </w:instrText>
      </w:r>
      <w:r w:rsidR="00C477CC">
        <w:rPr>
          <w:lang w:val="en-GB"/>
        </w:rPr>
      </w:r>
      <w:r w:rsidR="00C477CC">
        <w:rPr>
          <w:lang w:val="en-GB"/>
        </w:rPr>
        <w:fldChar w:fldCharType="separate"/>
      </w:r>
      <w:r w:rsidR="00C477CC">
        <w:rPr>
          <w:cs/>
          <w:lang w:val="en-GB"/>
        </w:rPr>
        <w:t>‎</w:t>
      </w:r>
      <w:r w:rsidR="00C477CC">
        <w:rPr>
          <w:lang w:val="en-GB"/>
        </w:rPr>
        <w:t>[2]</w:t>
      </w:r>
      <w:r w:rsidR="00C477CC">
        <w:rPr>
          <w:lang w:val="en-GB"/>
        </w:rPr>
        <w:fldChar w:fldCharType="end"/>
      </w:r>
      <w:r>
        <w:rPr>
          <w:lang w:val="en-GB"/>
        </w:rPr>
        <w:t>:</w:t>
      </w:r>
    </w:p>
    <w:p w14:paraId="6C645CA2" w14:textId="77777777" w:rsidR="00C477CC" w:rsidRPr="00C477CC" w:rsidRDefault="00C477CC" w:rsidP="00C477CC">
      <w:pPr>
        <w:rPr>
          <w:rFonts w:cs="Times"/>
          <w:b/>
          <w:i/>
          <w:iCs/>
          <w:szCs w:val="20"/>
          <w:highlight w:val="green"/>
        </w:rPr>
      </w:pPr>
      <w:r w:rsidRPr="00C477CC">
        <w:rPr>
          <w:rFonts w:cs="Times"/>
          <w:b/>
          <w:i/>
          <w:iCs/>
          <w:szCs w:val="20"/>
          <w:highlight w:val="green"/>
        </w:rPr>
        <w:t>Agreement</w:t>
      </w:r>
    </w:p>
    <w:p w14:paraId="6142A138" w14:textId="77777777" w:rsidR="00C477CC" w:rsidRPr="00C477CC" w:rsidRDefault="00C477CC" w:rsidP="00C477CC">
      <w:pPr>
        <w:rPr>
          <w:rFonts w:cs="Times"/>
          <w:i/>
          <w:iCs/>
          <w:szCs w:val="20"/>
        </w:rPr>
      </w:pPr>
      <w:r w:rsidRPr="00C477CC">
        <w:rPr>
          <w:rFonts w:cs="Times"/>
          <w:i/>
          <w:iCs/>
          <w:szCs w:val="20"/>
        </w:rPr>
        <w:t xml:space="preserve">In case of simultaneous MT/DU operation, </w:t>
      </w:r>
    </w:p>
    <w:p w14:paraId="542FD09D" w14:textId="77777777" w:rsidR="00C477CC" w:rsidRPr="00C477CC" w:rsidRDefault="00C477CC" w:rsidP="00C477CC">
      <w:pPr>
        <w:pStyle w:val="ListParagraph"/>
        <w:numPr>
          <w:ilvl w:val="0"/>
          <w:numId w:val="19"/>
        </w:numPr>
        <w:spacing w:before="0" w:after="0" w:line="240" w:lineRule="auto"/>
        <w:jc w:val="both"/>
        <w:rPr>
          <w:rFonts w:cs="Times"/>
          <w:i/>
          <w:iCs/>
          <w:szCs w:val="20"/>
        </w:rPr>
      </w:pPr>
      <w:r w:rsidRPr="00C477CC">
        <w:rPr>
          <w:rFonts w:cs="Times"/>
          <w:i/>
          <w:iCs/>
          <w:szCs w:val="20"/>
        </w:rPr>
        <w:t>the parent node can dynamically indicate to the child node at least a set of restricted beams at the IAB-DU of the child node</w:t>
      </w:r>
    </w:p>
    <w:p w14:paraId="4962E6C2" w14:textId="77777777" w:rsidR="00C477CC" w:rsidRPr="00C477CC" w:rsidRDefault="00C477CC" w:rsidP="00C477CC">
      <w:pPr>
        <w:pStyle w:val="ListParagraph"/>
        <w:numPr>
          <w:ilvl w:val="0"/>
          <w:numId w:val="19"/>
        </w:numPr>
        <w:spacing w:before="0" w:after="0" w:line="240" w:lineRule="auto"/>
        <w:jc w:val="both"/>
        <w:rPr>
          <w:rFonts w:cs="Times"/>
          <w:i/>
          <w:iCs/>
          <w:szCs w:val="20"/>
        </w:rPr>
      </w:pPr>
      <w:r w:rsidRPr="00C477CC">
        <w:rPr>
          <w:rFonts w:cs="Times"/>
          <w:i/>
          <w:iCs/>
          <w:szCs w:val="20"/>
        </w:rPr>
        <w:t>the child node can dynamically report to the parent node a set of recommended beams, not preferred beams, or both recommended and not preferred beams of the IAB-MT of the child node</w:t>
      </w:r>
    </w:p>
    <w:p w14:paraId="723B8481" w14:textId="77777777" w:rsidR="00C477CC" w:rsidRPr="00C477CC" w:rsidRDefault="00C477CC" w:rsidP="00C477CC">
      <w:pPr>
        <w:pStyle w:val="ListParagraph"/>
        <w:numPr>
          <w:ilvl w:val="1"/>
          <w:numId w:val="19"/>
        </w:numPr>
        <w:spacing w:before="0" w:after="0" w:line="240" w:lineRule="auto"/>
        <w:jc w:val="both"/>
        <w:rPr>
          <w:rFonts w:cs="Times"/>
          <w:i/>
          <w:iCs/>
          <w:szCs w:val="20"/>
        </w:rPr>
      </w:pPr>
      <w:r w:rsidRPr="00C477CC">
        <w:rPr>
          <w:rFonts w:cs="Times"/>
          <w:i/>
          <w:iCs/>
          <w:szCs w:val="20"/>
        </w:rPr>
        <w:t>FFS: Whether the specification supports all reporting combinations.</w:t>
      </w:r>
    </w:p>
    <w:p w14:paraId="70573582" w14:textId="77777777" w:rsidR="00C477CC" w:rsidRPr="00C477CC" w:rsidRDefault="00C477CC" w:rsidP="00C477CC">
      <w:pPr>
        <w:pStyle w:val="ListParagraph"/>
        <w:numPr>
          <w:ilvl w:val="0"/>
          <w:numId w:val="19"/>
        </w:numPr>
        <w:spacing w:before="0" w:after="0" w:line="240" w:lineRule="auto"/>
        <w:jc w:val="both"/>
        <w:rPr>
          <w:rFonts w:cs="Times"/>
          <w:i/>
          <w:iCs/>
          <w:szCs w:val="20"/>
        </w:rPr>
      </w:pPr>
      <w:r w:rsidRPr="00C477CC">
        <w:rPr>
          <w:rFonts w:cs="Times"/>
          <w:i/>
          <w:iCs/>
          <w:szCs w:val="20"/>
        </w:rPr>
        <w:t>FFS: Applicability to specific multiplexing cases or specific time-frequency resources</w:t>
      </w:r>
    </w:p>
    <w:p w14:paraId="5CACA4C0" w14:textId="77777777" w:rsidR="00C477CC" w:rsidRPr="00C477CC" w:rsidRDefault="00C477CC" w:rsidP="00C477CC">
      <w:pPr>
        <w:pStyle w:val="ListParagraph"/>
        <w:numPr>
          <w:ilvl w:val="0"/>
          <w:numId w:val="19"/>
        </w:numPr>
        <w:spacing w:before="0" w:after="0" w:line="240" w:lineRule="auto"/>
        <w:jc w:val="both"/>
        <w:rPr>
          <w:rFonts w:cs="Times"/>
          <w:i/>
          <w:iCs/>
          <w:szCs w:val="20"/>
        </w:rPr>
      </w:pPr>
      <w:r w:rsidRPr="00C477CC">
        <w:rPr>
          <w:rFonts w:cs="Times"/>
          <w:i/>
          <w:iCs/>
          <w:szCs w:val="20"/>
        </w:rPr>
        <w:t xml:space="preserve">FFS: Additional semi-static signaling </w:t>
      </w:r>
    </w:p>
    <w:p w14:paraId="66394293" w14:textId="77777777" w:rsidR="00C477CC" w:rsidRPr="00C477CC" w:rsidRDefault="00C477CC" w:rsidP="00C477CC">
      <w:pPr>
        <w:pStyle w:val="ListParagraph"/>
        <w:numPr>
          <w:ilvl w:val="0"/>
          <w:numId w:val="19"/>
        </w:numPr>
        <w:spacing w:before="0" w:after="0" w:line="240" w:lineRule="auto"/>
        <w:jc w:val="both"/>
        <w:rPr>
          <w:rFonts w:cs="Times"/>
          <w:i/>
          <w:iCs/>
          <w:szCs w:val="20"/>
        </w:rPr>
      </w:pPr>
      <w:r w:rsidRPr="00C477CC">
        <w:rPr>
          <w:rFonts w:cs="Times"/>
          <w:i/>
          <w:iCs/>
          <w:szCs w:val="20"/>
        </w:rPr>
        <w:t>FFS: Per-panel granularity in addition to per-beam granularity</w:t>
      </w:r>
    </w:p>
    <w:p w14:paraId="3DBBDFAA" w14:textId="77777777" w:rsidR="00C477CC" w:rsidRPr="00C477CC" w:rsidRDefault="00C477CC" w:rsidP="00C477CC">
      <w:pPr>
        <w:pStyle w:val="ListParagraph"/>
        <w:numPr>
          <w:ilvl w:val="0"/>
          <w:numId w:val="19"/>
        </w:numPr>
        <w:spacing w:before="0" w:after="0" w:line="240" w:lineRule="auto"/>
        <w:jc w:val="both"/>
        <w:rPr>
          <w:rFonts w:cs="Times"/>
          <w:i/>
          <w:iCs/>
          <w:szCs w:val="20"/>
        </w:rPr>
      </w:pPr>
      <w:r w:rsidRPr="00C477CC">
        <w:rPr>
          <w:rFonts w:cs="Times"/>
          <w:i/>
          <w:iCs/>
          <w:szCs w:val="20"/>
        </w:rPr>
        <w:t>FFS: Relationship between child IAB-MT beam indication and parent IAB-DU beam indication</w:t>
      </w:r>
    </w:p>
    <w:p w14:paraId="6B804390" w14:textId="77777777" w:rsidR="00C477CC" w:rsidRPr="00C477CC" w:rsidRDefault="00C477CC" w:rsidP="00C477CC">
      <w:pPr>
        <w:pStyle w:val="ListParagraph"/>
        <w:numPr>
          <w:ilvl w:val="0"/>
          <w:numId w:val="19"/>
        </w:numPr>
        <w:spacing w:before="0" w:after="0" w:line="240" w:lineRule="auto"/>
        <w:jc w:val="both"/>
        <w:rPr>
          <w:rFonts w:cs="Times"/>
          <w:i/>
          <w:iCs/>
          <w:szCs w:val="20"/>
        </w:rPr>
      </w:pPr>
      <w:r w:rsidRPr="00C477CC">
        <w:rPr>
          <w:rFonts w:cs="Times"/>
          <w:i/>
          <w:iCs/>
          <w:szCs w:val="20"/>
        </w:rPr>
        <w:t>Note: This does not preclude any enhancements for either DU or MT-based CLI measurement and reports</w:t>
      </w:r>
    </w:p>
    <w:p w14:paraId="2862E03D" w14:textId="77777777" w:rsidR="00DA6B1E" w:rsidRPr="00DA6B1E" w:rsidRDefault="00DA6B1E" w:rsidP="00AC2520">
      <w:pPr>
        <w:spacing w:after="0" w:line="240" w:lineRule="auto"/>
      </w:pPr>
    </w:p>
    <w:p w14:paraId="3DBBB4E7" w14:textId="65424D88" w:rsidR="00AB3B95" w:rsidRPr="004C1F0C" w:rsidRDefault="00AB3B95" w:rsidP="00A51664">
      <w:pPr>
        <w:spacing w:before="120"/>
        <w:rPr>
          <w:b/>
          <w:bCs/>
          <w:u w:val="single"/>
          <w:lang w:val="en-GB"/>
        </w:rPr>
      </w:pPr>
      <w:r w:rsidRPr="004C1F0C">
        <w:rPr>
          <w:b/>
          <w:bCs/>
          <w:u w:val="single"/>
          <w:lang w:val="en-GB"/>
        </w:rPr>
        <w:t>Outstanding issues:</w:t>
      </w:r>
    </w:p>
    <w:p w14:paraId="6275F52E" w14:textId="5E517F6C" w:rsidR="0004274B" w:rsidRPr="004C1F0C" w:rsidRDefault="004C1F0C" w:rsidP="0004274B">
      <w:pPr>
        <w:rPr>
          <w:lang w:val="en-GB"/>
        </w:rPr>
      </w:pPr>
      <w:r>
        <w:rPr>
          <w:lang w:val="en-GB"/>
        </w:rPr>
        <w:lastRenderedPageBreak/>
        <w:t>An outstanding issue</w:t>
      </w:r>
      <w:r w:rsidR="0024379E" w:rsidRPr="004C1F0C">
        <w:rPr>
          <w:lang w:val="en-GB"/>
        </w:rPr>
        <w:t xml:space="preserve"> is whether the H/S/NA resource indication framework is appropriate for the spatial domain. </w:t>
      </w:r>
      <w:r w:rsidR="008B5464" w:rsidRPr="004C1F0C">
        <w:rPr>
          <w:lang w:val="en-GB"/>
        </w:rPr>
        <w:t xml:space="preserve">Extending the framework to the </w:t>
      </w:r>
      <w:r w:rsidR="008B5464" w:rsidRPr="004C1F0C">
        <w:rPr>
          <w:i/>
          <w:iCs/>
          <w:lang w:val="en-GB"/>
        </w:rPr>
        <w:t>frequency domain</w:t>
      </w:r>
      <w:r w:rsidR="008B5464" w:rsidRPr="004C1F0C">
        <w:rPr>
          <w:lang w:val="en-GB"/>
        </w:rPr>
        <w:t xml:space="preserve"> has apparent performance benefits by increasing </w:t>
      </w:r>
      <w:r w:rsidR="0024379E" w:rsidRPr="004C1F0C">
        <w:rPr>
          <w:lang w:val="en-GB"/>
        </w:rPr>
        <w:t>flexibility of resource management.</w:t>
      </w:r>
      <w:r w:rsidR="0004274B" w:rsidRPr="004C1F0C">
        <w:rPr>
          <w:lang w:val="en-GB"/>
        </w:rPr>
        <w:t xml:space="preserve"> </w:t>
      </w:r>
      <w:r w:rsidR="0024379E" w:rsidRPr="004C1F0C">
        <w:rPr>
          <w:lang w:val="en-GB"/>
        </w:rPr>
        <w:t>However, due to fundamental differences</w:t>
      </w:r>
      <w:r w:rsidR="00216B3C" w:rsidRPr="004C1F0C">
        <w:rPr>
          <w:lang w:val="en-GB"/>
        </w:rPr>
        <w:t xml:space="preserve"> between how signals are defined in NR in time-frequency domains versus the spatial domain, extension of the H/S/NA framework to the </w:t>
      </w:r>
      <w:r w:rsidR="00216B3C" w:rsidRPr="004C1F0C">
        <w:rPr>
          <w:i/>
          <w:iCs/>
          <w:lang w:val="en-GB"/>
        </w:rPr>
        <w:t>spatial domain</w:t>
      </w:r>
      <w:r w:rsidR="00216B3C" w:rsidRPr="004C1F0C">
        <w:rPr>
          <w:lang w:val="en-GB"/>
        </w:rPr>
        <w:t xml:space="preserve"> does not seem</w:t>
      </w:r>
      <w:r w:rsidR="00997A5C">
        <w:rPr>
          <w:lang w:val="en-GB"/>
        </w:rPr>
        <w:t xml:space="preserve"> practical</w:t>
      </w:r>
      <w:r w:rsidR="00216B3C" w:rsidRPr="004C1F0C">
        <w:rPr>
          <w:lang w:val="en-GB"/>
        </w:rPr>
        <w:t>.</w:t>
      </w:r>
    </w:p>
    <w:p w14:paraId="39A78B0F" w14:textId="43CA1BA8" w:rsidR="00216B3C" w:rsidRPr="004C1F0C" w:rsidRDefault="00216B3C" w:rsidP="0004274B">
      <w:pPr>
        <w:rPr>
          <w:lang w:val="en-GB"/>
        </w:rPr>
      </w:pPr>
      <w:r w:rsidRPr="004C1F0C">
        <w:rPr>
          <w:lang w:val="en-GB"/>
        </w:rPr>
        <w:t>One main difference is that time-frequency resources are defined at the signal level</w:t>
      </w:r>
      <w:r w:rsidR="0004274B" w:rsidRPr="004C1F0C">
        <w:rPr>
          <w:lang w:val="en-GB"/>
        </w:rPr>
        <w:t xml:space="preserve"> in NR</w:t>
      </w:r>
      <w:r w:rsidRPr="004C1F0C">
        <w:rPr>
          <w:lang w:val="en-GB"/>
        </w:rPr>
        <w:t>, while in contrast, spatial</w:t>
      </w:r>
      <w:r w:rsidR="0004274B" w:rsidRPr="004C1F0C">
        <w:rPr>
          <w:lang w:val="en-GB"/>
        </w:rPr>
        <w:t>-domain resources (</w:t>
      </w:r>
      <w:r w:rsidR="000B441A" w:rsidRPr="004C1F0C">
        <w:rPr>
          <w:lang w:val="en-GB"/>
        </w:rPr>
        <w:t xml:space="preserve">provided by antennas, </w:t>
      </w:r>
      <w:r w:rsidR="0004274B" w:rsidRPr="004C1F0C">
        <w:rPr>
          <w:lang w:val="en-GB"/>
        </w:rPr>
        <w:t xml:space="preserve">RF </w:t>
      </w:r>
      <w:r w:rsidR="000B441A" w:rsidRPr="004C1F0C">
        <w:rPr>
          <w:lang w:val="en-GB"/>
        </w:rPr>
        <w:t xml:space="preserve">and </w:t>
      </w:r>
      <w:r w:rsidR="00164961" w:rsidRPr="004C1F0C">
        <w:rPr>
          <w:lang w:val="en-GB"/>
        </w:rPr>
        <w:t>analog</w:t>
      </w:r>
      <w:r w:rsidR="000B441A" w:rsidRPr="004C1F0C">
        <w:rPr>
          <w:lang w:val="en-GB"/>
        </w:rPr>
        <w:t xml:space="preserve"> beamforming </w:t>
      </w:r>
      <w:r w:rsidR="0004274B" w:rsidRPr="004C1F0C">
        <w:rPr>
          <w:lang w:val="en-GB"/>
        </w:rPr>
        <w:t>circuitry</w:t>
      </w:r>
      <w:r w:rsidR="000B441A" w:rsidRPr="004C1F0C">
        <w:rPr>
          <w:lang w:val="en-GB"/>
        </w:rPr>
        <w:t>,</w:t>
      </w:r>
      <w:r w:rsidR="0004274B" w:rsidRPr="004C1F0C">
        <w:rPr>
          <w:lang w:val="en-GB"/>
        </w:rPr>
        <w:t xml:space="preserve"> </w:t>
      </w:r>
      <w:r w:rsidR="000B441A" w:rsidRPr="004C1F0C">
        <w:rPr>
          <w:lang w:val="en-GB"/>
        </w:rPr>
        <w:t>etc.</w:t>
      </w:r>
      <w:r w:rsidR="0004274B" w:rsidRPr="004C1F0C">
        <w:rPr>
          <w:lang w:val="en-GB"/>
        </w:rPr>
        <w:t>) are handled</w:t>
      </w:r>
      <w:r w:rsidRPr="004C1F0C">
        <w:rPr>
          <w:lang w:val="en-GB"/>
        </w:rPr>
        <w:t xml:space="preserve"> by QCL relationships. Another difference is that time-frequency resources </w:t>
      </w:r>
      <w:r w:rsidR="0004274B" w:rsidRPr="004C1F0C">
        <w:rPr>
          <w:lang w:val="en-GB"/>
        </w:rPr>
        <w:t xml:space="preserve">are </w:t>
      </w:r>
      <w:r w:rsidRPr="004C1F0C">
        <w:rPr>
          <w:lang w:val="en-GB"/>
        </w:rPr>
        <w:t>con</w:t>
      </w:r>
      <w:r w:rsidR="0004274B" w:rsidRPr="004C1F0C">
        <w:rPr>
          <w:lang w:val="en-GB"/>
        </w:rPr>
        <w:t>figured</w:t>
      </w:r>
      <w:r w:rsidRPr="004C1F0C">
        <w:rPr>
          <w:lang w:val="en-GB"/>
        </w:rPr>
        <w:t xml:space="preserve"> </w:t>
      </w:r>
      <w:r w:rsidR="000B441A" w:rsidRPr="004C1F0C">
        <w:rPr>
          <w:lang w:val="en-GB"/>
        </w:rPr>
        <w:t xml:space="preserve">and managed </w:t>
      </w:r>
      <w:r w:rsidRPr="004C1F0C">
        <w:rPr>
          <w:lang w:val="en-GB"/>
        </w:rPr>
        <w:t xml:space="preserve">by </w:t>
      </w:r>
      <w:r w:rsidR="0004274B" w:rsidRPr="004C1F0C">
        <w:rPr>
          <w:lang w:val="en-GB"/>
        </w:rPr>
        <w:t>the RRC, while s</w:t>
      </w:r>
      <w:r w:rsidRPr="004C1F0C">
        <w:rPr>
          <w:lang w:val="en-GB"/>
        </w:rPr>
        <w:t>patial</w:t>
      </w:r>
      <w:r w:rsidR="0004274B" w:rsidRPr="004C1F0C">
        <w:rPr>
          <w:lang w:val="en-GB"/>
        </w:rPr>
        <w:t xml:space="preserve"> </w:t>
      </w:r>
      <w:r w:rsidRPr="004C1F0C">
        <w:rPr>
          <w:lang w:val="en-GB"/>
        </w:rPr>
        <w:t>resources</w:t>
      </w:r>
      <w:r w:rsidR="0004274B" w:rsidRPr="004C1F0C">
        <w:rPr>
          <w:lang w:val="en-GB"/>
        </w:rPr>
        <w:t xml:space="preserve"> are mainly handled by ‘local’ L1/L2 </w:t>
      </w:r>
      <w:r w:rsidR="00164961" w:rsidRPr="004C1F0C">
        <w:rPr>
          <w:lang w:val="en-GB"/>
        </w:rPr>
        <w:t>signalling</w:t>
      </w:r>
      <w:r w:rsidR="0004274B" w:rsidRPr="004C1F0C">
        <w:rPr>
          <w:lang w:val="en-GB"/>
        </w:rPr>
        <w:t>.</w:t>
      </w:r>
    </w:p>
    <w:p w14:paraId="1C34E1BF" w14:textId="77924A31" w:rsidR="0004274B" w:rsidRPr="004C1F0C" w:rsidRDefault="0004274B" w:rsidP="00DD1C2A">
      <w:pPr>
        <w:rPr>
          <w:lang w:val="en-GB"/>
        </w:rPr>
      </w:pPr>
      <w:r w:rsidRPr="004C1F0C">
        <w:rPr>
          <w:lang w:val="en-GB"/>
        </w:rPr>
        <w:t xml:space="preserve">An H/S/NA resource indication would include a configuration of ‘spatial resources’ as hard, soft, or unavailable/NA by the IAB-CU, </w:t>
      </w:r>
      <w:r w:rsidR="000B441A" w:rsidRPr="004C1F0C">
        <w:rPr>
          <w:lang w:val="en-GB"/>
        </w:rPr>
        <w:t>followed by</w:t>
      </w:r>
      <w:r w:rsidRPr="004C1F0C">
        <w:rPr>
          <w:lang w:val="en-GB"/>
        </w:rPr>
        <w:t xml:space="preserve"> availability indication </w:t>
      </w:r>
      <w:r w:rsidR="00164961" w:rsidRPr="004C1F0C">
        <w:rPr>
          <w:lang w:val="en-GB"/>
        </w:rPr>
        <w:t>signalling</w:t>
      </w:r>
      <w:r w:rsidRPr="004C1F0C">
        <w:rPr>
          <w:lang w:val="en-GB"/>
        </w:rPr>
        <w:t xml:space="preserve"> by IAB-DUs.</w:t>
      </w:r>
      <w:r w:rsidR="00B93CF1" w:rsidRPr="004C1F0C">
        <w:rPr>
          <w:lang w:val="en-GB"/>
        </w:rPr>
        <w:t xml:space="preserve"> </w:t>
      </w:r>
      <w:r w:rsidR="00DF6C6F">
        <w:rPr>
          <w:lang w:val="en-GB"/>
        </w:rPr>
        <w:t xml:space="preserve">As a more practical alternative, </w:t>
      </w:r>
      <w:r w:rsidR="00B93CF1" w:rsidRPr="004C1F0C">
        <w:rPr>
          <w:lang w:val="en-GB"/>
        </w:rPr>
        <w:t xml:space="preserve">we propose a </w:t>
      </w:r>
      <w:r w:rsidR="00EC4604" w:rsidRPr="004C1F0C">
        <w:rPr>
          <w:lang w:val="en-GB"/>
        </w:rPr>
        <w:t>framework with the following main differences.</w:t>
      </w:r>
    </w:p>
    <w:p w14:paraId="401CD9DA" w14:textId="0DE276D7" w:rsidR="00EC4604" w:rsidRPr="004C1F0C" w:rsidRDefault="000B441A" w:rsidP="00DD1C2A">
      <w:pPr>
        <w:rPr>
          <w:lang w:val="en-GB"/>
        </w:rPr>
      </w:pPr>
      <w:r w:rsidRPr="004C1F0C">
        <w:rPr>
          <w:lang w:val="en-GB"/>
        </w:rPr>
        <w:t xml:space="preserve">First, </w:t>
      </w:r>
      <w:r w:rsidR="00F1352E">
        <w:rPr>
          <w:lang w:val="en-GB"/>
        </w:rPr>
        <w:t xml:space="preserve">with H/S/NA at the spatial domain, </w:t>
      </w:r>
      <w:r w:rsidRPr="004C1F0C">
        <w:rPr>
          <w:lang w:val="en-GB"/>
        </w:rPr>
        <w:t xml:space="preserve">it is not </w:t>
      </w:r>
      <w:r w:rsidR="00F1352E">
        <w:rPr>
          <w:lang w:val="en-GB"/>
        </w:rPr>
        <w:t xml:space="preserve">clear </w:t>
      </w:r>
      <w:r w:rsidRPr="004C1F0C">
        <w:rPr>
          <w:lang w:val="en-GB"/>
        </w:rPr>
        <w:t xml:space="preserve">how </w:t>
      </w:r>
      <w:r w:rsidR="00F1352E">
        <w:rPr>
          <w:lang w:val="en-GB"/>
        </w:rPr>
        <w:t>the IAB-CU can choose ‘</w:t>
      </w:r>
      <w:r w:rsidRPr="004C1F0C">
        <w:rPr>
          <w:lang w:val="en-GB"/>
        </w:rPr>
        <w:t>hard</w:t>
      </w:r>
      <w:r w:rsidR="00F1352E">
        <w:rPr>
          <w:lang w:val="en-GB"/>
        </w:rPr>
        <w:t>’</w:t>
      </w:r>
      <w:r w:rsidRPr="004C1F0C">
        <w:rPr>
          <w:lang w:val="en-GB"/>
        </w:rPr>
        <w:t xml:space="preserve"> and </w:t>
      </w:r>
      <w:r w:rsidR="00F1352E">
        <w:rPr>
          <w:lang w:val="en-GB"/>
        </w:rPr>
        <w:t>‘</w:t>
      </w:r>
      <w:r w:rsidRPr="004C1F0C">
        <w:rPr>
          <w:lang w:val="en-GB"/>
        </w:rPr>
        <w:t>unavailable</w:t>
      </w:r>
      <w:r w:rsidR="00F1352E">
        <w:rPr>
          <w:lang w:val="en-GB"/>
        </w:rPr>
        <w:t>’</w:t>
      </w:r>
      <w:r w:rsidRPr="004C1F0C">
        <w:rPr>
          <w:lang w:val="en-GB"/>
        </w:rPr>
        <w:t xml:space="preserve"> resource types</w:t>
      </w:r>
      <w:r w:rsidR="00F1352E">
        <w:rPr>
          <w:lang w:val="en-GB"/>
        </w:rPr>
        <w:t xml:space="preserve"> for beams/panels</w:t>
      </w:r>
      <w:r w:rsidRPr="004C1F0C">
        <w:rPr>
          <w:lang w:val="en-GB"/>
        </w:rPr>
        <w:t xml:space="preserve">, especially in the case of mobile IAB with varying best panels and beams. Instead, configurations may merely enable dynamic </w:t>
      </w:r>
      <w:r w:rsidR="00164961" w:rsidRPr="004C1F0C">
        <w:rPr>
          <w:lang w:val="en-GB"/>
        </w:rPr>
        <w:t>signalling</w:t>
      </w:r>
      <w:r w:rsidRPr="004C1F0C">
        <w:rPr>
          <w:lang w:val="en-GB"/>
        </w:rPr>
        <w:t xml:space="preserve"> for managing ‘spatial resources’ in the case that all the IAB nodes involved support the feature.</w:t>
      </w:r>
    </w:p>
    <w:p w14:paraId="62B6EEAA" w14:textId="2C27A0FE" w:rsidR="00AA70B8" w:rsidRPr="004C1F0C" w:rsidRDefault="000B441A" w:rsidP="00164961">
      <w:pPr>
        <w:rPr>
          <w:lang w:val="en-GB"/>
        </w:rPr>
      </w:pPr>
      <w:r w:rsidRPr="004C1F0C">
        <w:rPr>
          <w:lang w:val="en-GB"/>
        </w:rPr>
        <w:t xml:space="preserve">Second, </w:t>
      </w:r>
      <w:r w:rsidR="00053AB5" w:rsidRPr="004C1F0C">
        <w:rPr>
          <w:lang w:val="en-GB"/>
        </w:rPr>
        <w:t xml:space="preserve">depending on IAB node spatial-domain capability, applicability of enhanced multiplexing (see Section 2.3), and/or configurations, the dynamic </w:t>
      </w:r>
      <w:r w:rsidR="00164961" w:rsidRPr="004C1F0C">
        <w:rPr>
          <w:lang w:val="en-GB"/>
        </w:rPr>
        <w:t>signalling</w:t>
      </w:r>
      <w:r w:rsidR="00053AB5" w:rsidRPr="004C1F0C">
        <w:rPr>
          <w:lang w:val="en-GB"/>
        </w:rPr>
        <w:t xml:space="preserve"> can deviate from the availability indication principles specified for TDM operation in Rel-16.</w:t>
      </w:r>
    </w:p>
    <w:p w14:paraId="3191E7DB" w14:textId="63F9EEAC" w:rsidR="00AB3B95" w:rsidRPr="004C1F0C" w:rsidRDefault="00AB3B95" w:rsidP="00DD1C2A">
      <w:pPr>
        <w:rPr>
          <w:b/>
          <w:bCs/>
          <w:u w:val="single"/>
          <w:lang w:val="en-GB"/>
        </w:rPr>
      </w:pPr>
      <w:r w:rsidRPr="004C1F0C">
        <w:rPr>
          <w:b/>
          <w:bCs/>
          <w:u w:val="single"/>
          <w:lang w:val="en-GB"/>
        </w:rPr>
        <w:t>Discussion and solutions:</w:t>
      </w:r>
    </w:p>
    <w:p w14:paraId="41E7EF7C" w14:textId="0241CE3F" w:rsidR="00DD1C2A" w:rsidRPr="004C1F0C" w:rsidRDefault="00790BD5" w:rsidP="00DD1C2A">
      <w:pPr>
        <w:rPr>
          <w:lang w:val="en-GB"/>
        </w:rPr>
      </w:pPr>
      <w:r w:rsidRPr="004C1F0C">
        <w:rPr>
          <w:lang w:val="en-GB"/>
        </w:rPr>
        <w:t>W</w:t>
      </w:r>
      <w:r w:rsidR="00DD1C2A" w:rsidRPr="004C1F0C">
        <w:rPr>
          <w:lang w:val="en-GB"/>
        </w:rPr>
        <w:t>hen operating at FR2</w:t>
      </w:r>
      <w:r w:rsidRPr="004C1F0C">
        <w:rPr>
          <w:lang w:val="en-GB"/>
        </w:rPr>
        <w:t>, c</w:t>
      </w:r>
      <w:r w:rsidR="00DD1C2A" w:rsidRPr="004C1F0C">
        <w:rPr>
          <w:lang w:val="en-GB"/>
        </w:rPr>
        <w:t>ommunications of an IAB node with a single antenna panel (connected to a single RF chain) are spatially limited to one beam at a time. That means if two operations are scheduled simultaneously, the signals are constrained to be transmitted or received through a same beam.</w:t>
      </w:r>
    </w:p>
    <w:p w14:paraId="79DB3405" w14:textId="79B9E115" w:rsidR="00DD1C2A" w:rsidRPr="004C1F0C" w:rsidRDefault="00DD1C2A" w:rsidP="00DD1C2A">
      <w:bookmarkStart w:id="117" w:name="_Ref30690270"/>
      <w:bookmarkStart w:id="118" w:name="_Ref30690541"/>
      <w:r w:rsidRPr="004C1F0C">
        <w:t xml:space="preserve">Communications of an IAB node with multiple antenna panels (each connected to a separate RF chain) are not limited to one beam, but </w:t>
      </w:r>
      <w:r w:rsidR="00790BD5" w:rsidRPr="004C1F0C">
        <w:t xml:space="preserve">an enhanced multiplexing case may still put spatial </w:t>
      </w:r>
      <w:r w:rsidRPr="004C1F0C">
        <w:t>constraints</w:t>
      </w:r>
      <w:r w:rsidR="00790BD5" w:rsidRPr="004C1F0C">
        <w:t xml:space="preserve">, such as the example shown in </w:t>
      </w:r>
      <w:r w:rsidRPr="004C1F0C">
        <w:fldChar w:fldCharType="begin"/>
      </w:r>
      <w:r w:rsidRPr="004C1F0C">
        <w:instrText xml:space="preserve"> REF _Ref30691547 \r \h </w:instrText>
      </w:r>
      <w:r w:rsidR="00C477CC" w:rsidRPr="004C1F0C">
        <w:instrText xml:space="preserve"> \* MERGEFORMAT </w:instrText>
      </w:r>
      <w:r w:rsidRPr="004C1F0C">
        <w:fldChar w:fldCharType="separate"/>
      </w:r>
      <w:r w:rsidR="00C5256D" w:rsidRPr="004C1F0C">
        <w:rPr>
          <w:cs/>
        </w:rPr>
        <w:t>‎</w:t>
      </w:r>
      <w:r w:rsidR="00C5256D" w:rsidRPr="004C1F0C">
        <w:t>Figure 3</w:t>
      </w:r>
      <w:r w:rsidRPr="004C1F0C">
        <w:fldChar w:fldCharType="end"/>
      </w:r>
      <w:r w:rsidRPr="004C1F0C">
        <w:t>.</w:t>
      </w:r>
    </w:p>
    <w:p w14:paraId="6967AB0F" w14:textId="64639D0A" w:rsidR="00DD1C2A" w:rsidRPr="004C1F0C" w:rsidRDefault="00E052F4" w:rsidP="00DD1C2A">
      <w:pPr>
        <w:pStyle w:val="Figure"/>
      </w:pPr>
      <w:r w:rsidRPr="004C1F0C">
        <w:rPr>
          <w:noProof/>
        </w:rPr>
        <w:drawing>
          <wp:inline distT="0" distB="0" distL="0" distR="0" wp14:anchorId="29A98510" wp14:editId="17ABDE6E">
            <wp:extent cx="2697480" cy="266090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7480" cy="2660904"/>
                    </a:xfrm>
                    <a:prstGeom prst="rect">
                      <a:avLst/>
                    </a:prstGeom>
                    <a:noFill/>
                    <a:ln>
                      <a:noFill/>
                    </a:ln>
                  </pic:spPr>
                </pic:pic>
              </a:graphicData>
            </a:graphic>
          </wp:inline>
        </w:drawing>
      </w:r>
    </w:p>
    <w:p w14:paraId="491A5968" w14:textId="3F8CC7A5" w:rsidR="00DD1C2A" w:rsidRPr="004C1F0C" w:rsidRDefault="00DD1C2A" w:rsidP="00DD1C2A">
      <w:pPr>
        <w:pStyle w:val="Caption"/>
      </w:pPr>
      <w:bookmarkStart w:id="119" w:name="_Ref30691547"/>
      <w:r w:rsidRPr="004C1F0C">
        <w:t xml:space="preserve">. </w:t>
      </w:r>
      <w:r w:rsidR="009D14E9" w:rsidRPr="004C1F0C">
        <w:t>Beam/p</w:t>
      </w:r>
      <w:r w:rsidR="00AB3B95" w:rsidRPr="004C1F0C">
        <w:t xml:space="preserve">anel </w:t>
      </w:r>
      <w:r w:rsidR="00A0101E" w:rsidRPr="004C1F0C">
        <w:t>indication</w:t>
      </w:r>
      <w:r w:rsidR="00AB3B95" w:rsidRPr="004C1F0C">
        <w:t xml:space="preserve"> for s</w:t>
      </w:r>
      <w:r w:rsidRPr="004C1F0C">
        <w:t xml:space="preserve">imultaneous </w:t>
      </w:r>
      <w:r w:rsidR="006D2E97" w:rsidRPr="004C1F0C">
        <w:t xml:space="preserve">MT-DU </w:t>
      </w:r>
      <w:r w:rsidRPr="004C1F0C">
        <w:t>operation</w:t>
      </w:r>
      <w:r w:rsidR="00AB3B95" w:rsidRPr="004C1F0C">
        <w:t>s</w:t>
      </w:r>
      <w:bookmarkEnd w:id="119"/>
    </w:p>
    <w:p w14:paraId="63E7BEB6" w14:textId="1169A87A" w:rsidR="00790BD5" w:rsidRPr="004C1F0C" w:rsidRDefault="00790BD5" w:rsidP="00DD1C2A">
      <w:r w:rsidRPr="004C1F0C">
        <w:t xml:space="preserve">In this example, the IAB node has two antenna panels that are shared for IAB-MT and IAB-DU functionalities. The IAB node is connected to a parent node and a </w:t>
      </w:r>
      <w:r w:rsidR="00C5256D" w:rsidRPr="004C1F0C">
        <w:t>UE</w:t>
      </w:r>
      <w:r w:rsidRPr="004C1F0C">
        <w:t xml:space="preserve"> that are spatially separated. As a result, an antenna panel performing a TX/RX operation with the parent node</w:t>
      </w:r>
      <w:r w:rsidR="00C5256D" w:rsidRPr="004C1F0C">
        <w:t xml:space="preserve"> can</w:t>
      </w:r>
      <w:r w:rsidRPr="004C1F0C">
        <w:t xml:space="preserve">not be used for a simultaneous operation with the </w:t>
      </w:r>
      <w:r w:rsidR="00C5256D" w:rsidRPr="004C1F0C">
        <w:t>UE</w:t>
      </w:r>
      <w:r w:rsidRPr="004C1F0C">
        <w:t>, and vice versa.</w:t>
      </w:r>
    </w:p>
    <w:p w14:paraId="12E4C765" w14:textId="667DD260" w:rsidR="00DD1C2A" w:rsidRPr="004C1F0C" w:rsidRDefault="00DD1C2A" w:rsidP="00DD1C2A">
      <w:r w:rsidRPr="004C1F0C">
        <w:t xml:space="preserve">Suppose that the parent </w:t>
      </w:r>
      <w:r w:rsidR="00C5256D" w:rsidRPr="004C1F0C">
        <w:t xml:space="preserve">node </w:t>
      </w:r>
      <w:r w:rsidRPr="004C1F0C">
        <w:t xml:space="preserve">schedules a PDSCH to the IAB node. A TCI </w:t>
      </w:r>
      <w:r w:rsidR="009D7E3F" w:rsidRPr="004C1F0C">
        <w:t xml:space="preserve">state indicates </w:t>
      </w:r>
      <w:r w:rsidRPr="004C1F0C">
        <w:t xml:space="preserve">which of the two panels of </w:t>
      </w:r>
      <w:r w:rsidR="00790BD5" w:rsidRPr="004C1F0C">
        <w:t>the IAB node</w:t>
      </w:r>
      <w:r w:rsidRPr="004C1F0C">
        <w:t xml:space="preserve"> are selected by </w:t>
      </w:r>
      <w:r w:rsidR="00790BD5" w:rsidRPr="004C1F0C">
        <w:t>the parent node</w:t>
      </w:r>
      <w:r w:rsidRPr="004C1F0C">
        <w:t xml:space="preserve">. </w:t>
      </w:r>
      <w:r w:rsidR="009D7E3F" w:rsidRPr="004C1F0C">
        <w:t>If</w:t>
      </w:r>
      <w:r w:rsidRPr="004C1F0C">
        <w:t xml:space="preserve"> the PDSCH takes only one of the </w:t>
      </w:r>
      <w:r w:rsidR="00790BD5" w:rsidRPr="004C1F0C">
        <w:t xml:space="preserve">two antenna </w:t>
      </w:r>
      <w:r w:rsidRPr="004C1F0C">
        <w:t xml:space="preserve">panels, the </w:t>
      </w:r>
      <w:r w:rsidR="00C5256D" w:rsidRPr="004C1F0C">
        <w:t xml:space="preserve">IAB </w:t>
      </w:r>
      <w:r w:rsidRPr="004C1F0C">
        <w:t xml:space="preserve">node can schedule a </w:t>
      </w:r>
      <w:r w:rsidR="009D7E3F" w:rsidRPr="004C1F0C">
        <w:t xml:space="preserve">simultaneous </w:t>
      </w:r>
      <w:r w:rsidRPr="004C1F0C">
        <w:t xml:space="preserve">PUSCH </w:t>
      </w:r>
      <w:r w:rsidR="009D7E3F" w:rsidRPr="004C1F0C">
        <w:t>for</w:t>
      </w:r>
      <w:r w:rsidRPr="004C1F0C">
        <w:t xml:space="preserve"> the </w:t>
      </w:r>
      <w:r w:rsidR="009D7E3F" w:rsidRPr="004C1F0C">
        <w:t>UE, and</w:t>
      </w:r>
      <w:r w:rsidR="00C5256D" w:rsidRPr="004C1F0C">
        <w:t xml:space="preserve"> select one of the antenna panels for the PUSCH that is not indicated used or restricted by the </w:t>
      </w:r>
      <w:r w:rsidR="00790BD5" w:rsidRPr="004C1F0C">
        <w:t xml:space="preserve">TCI </w:t>
      </w:r>
      <w:r w:rsidR="00C5256D" w:rsidRPr="004C1F0C">
        <w:t>state indication for the PDSCH</w:t>
      </w:r>
      <w:r w:rsidRPr="004C1F0C">
        <w:t>.</w:t>
      </w:r>
    </w:p>
    <w:p w14:paraId="6DC234A5" w14:textId="513F6567" w:rsidR="00DD1C2A" w:rsidRPr="004C1F0C" w:rsidRDefault="00790BD5" w:rsidP="00DD1C2A">
      <w:r w:rsidRPr="004C1F0C">
        <w:lastRenderedPageBreak/>
        <w:t>It can be seen that i</w:t>
      </w:r>
      <w:r w:rsidR="00DD1C2A" w:rsidRPr="004C1F0C">
        <w:t xml:space="preserve">f </w:t>
      </w:r>
      <w:r w:rsidRPr="004C1F0C">
        <w:t>the IAB node</w:t>
      </w:r>
      <w:r w:rsidR="00DD1C2A" w:rsidRPr="004C1F0C">
        <w:t xml:space="preserve"> </w:t>
      </w:r>
      <w:r w:rsidR="00335C8D" w:rsidRPr="004C1F0C">
        <w:t>receives the TCI state indication i</w:t>
      </w:r>
      <w:r w:rsidR="00DD1C2A" w:rsidRPr="004C1F0C">
        <w:t xml:space="preserve">n advance, it can schedule </w:t>
      </w:r>
      <w:r w:rsidR="00335C8D" w:rsidRPr="004C1F0C">
        <w:t>the PUSCH</w:t>
      </w:r>
      <w:r w:rsidR="00DD1C2A" w:rsidRPr="004C1F0C">
        <w:t xml:space="preserve"> </w:t>
      </w:r>
      <w:r w:rsidR="00335C8D" w:rsidRPr="004C1F0C">
        <w:t xml:space="preserve">for the </w:t>
      </w:r>
      <w:r w:rsidR="009D7E3F" w:rsidRPr="004C1F0C">
        <w:t>UE</w:t>
      </w:r>
      <w:r w:rsidR="00DD1C2A" w:rsidRPr="004C1F0C">
        <w:t xml:space="preserve">. However, if </w:t>
      </w:r>
      <w:r w:rsidR="00335C8D" w:rsidRPr="004C1F0C">
        <w:t>the TCI state indication is received</w:t>
      </w:r>
      <w:r w:rsidR="00DD1C2A" w:rsidRPr="004C1F0C">
        <w:t xml:space="preserve"> in the same time slot </w:t>
      </w:r>
      <w:r w:rsidR="004C0405">
        <w:t>(</w:t>
      </w:r>
      <w:r w:rsidR="00DD1C2A" w:rsidRPr="004C1F0C">
        <w:t>for example</w:t>
      </w:r>
      <w:r w:rsidR="004C0405">
        <w:t>)</w:t>
      </w:r>
      <w:r w:rsidR="00DD1C2A" w:rsidRPr="004C1F0C">
        <w:t xml:space="preserve">, </w:t>
      </w:r>
      <w:r w:rsidR="00335C8D" w:rsidRPr="004C1F0C">
        <w:t>the IAB node</w:t>
      </w:r>
      <w:r w:rsidR="00DD1C2A" w:rsidRPr="004C1F0C">
        <w:t xml:space="preserve"> will not have sufficient time to decode the </w:t>
      </w:r>
      <w:r w:rsidR="00335C8D" w:rsidRPr="004C1F0C">
        <w:t xml:space="preserve">message in a timely manner and </w:t>
      </w:r>
      <w:r w:rsidR="00DD1C2A" w:rsidRPr="004C1F0C">
        <w:t xml:space="preserve">transmit a </w:t>
      </w:r>
      <w:r w:rsidR="00335C8D" w:rsidRPr="004C1F0C">
        <w:t xml:space="preserve">scheduling DCI </w:t>
      </w:r>
      <w:r w:rsidR="00DD1C2A" w:rsidRPr="004C1F0C">
        <w:t xml:space="preserve">of its own to </w:t>
      </w:r>
      <w:r w:rsidR="00335C8D" w:rsidRPr="004C1F0C">
        <w:t>the child node</w:t>
      </w:r>
      <w:r w:rsidR="00DD1C2A" w:rsidRPr="004C1F0C">
        <w:t>.</w:t>
      </w:r>
    </w:p>
    <w:p w14:paraId="4BEB4243" w14:textId="53333E20" w:rsidR="005B3946" w:rsidRPr="004C1F0C" w:rsidRDefault="005B3946" w:rsidP="00DD1C2A">
      <w:r w:rsidRPr="004C1F0C">
        <w:t xml:space="preserve">Therefore, proper configuration of scheduling parameters such as k0 and k2 can be key to enabling </w:t>
      </w:r>
      <w:r w:rsidR="00164961" w:rsidRPr="004C1F0C">
        <w:t>simultaneous</w:t>
      </w:r>
      <w:r w:rsidRPr="004C1F0C">
        <w:t xml:space="preserve"> operations.</w:t>
      </w:r>
    </w:p>
    <w:p w14:paraId="7C96DC4E" w14:textId="4FAE76C9" w:rsidR="008B5464" w:rsidRDefault="00142720" w:rsidP="00BB4DBA">
      <w:pPr>
        <w:pStyle w:val="Proposal"/>
      </w:pPr>
      <w:bookmarkStart w:id="120" w:name="_Toc71631394"/>
      <w:bookmarkStart w:id="121" w:name="_Toc71634734"/>
      <w:bookmarkStart w:id="122" w:name="_Toc71639080"/>
      <w:bookmarkStart w:id="123" w:name="_Toc71642079"/>
      <w:bookmarkStart w:id="124" w:name="_Toc71648832"/>
      <w:bookmarkStart w:id="125" w:name="_Toc71649582"/>
      <w:bookmarkStart w:id="126" w:name="_Toc71665427"/>
      <w:bookmarkStart w:id="127" w:name="_Toc71665676"/>
      <w:bookmarkStart w:id="128" w:name="_Toc71666695"/>
      <w:bookmarkStart w:id="129" w:name="_Toc79157022"/>
      <w:bookmarkStart w:id="130" w:name="_Toc79157214"/>
      <w:bookmarkStart w:id="131" w:name="_Toc79159804"/>
      <w:bookmarkStart w:id="132" w:name="_Toc54311504"/>
      <w:bookmarkStart w:id="133" w:name="_Toc54311604"/>
      <w:bookmarkStart w:id="134" w:name="_Toc54311799"/>
      <w:bookmarkStart w:id="135" w:name="_Toc54332052"/>
      <w:bookmarkStart w:id="136" w:name="_Toc54332730"/>
      <w:bookmarkStart w:id="137" w:name="_Toc54332774"/>
      <w:bookmarkStart w:id="138" w:name="_Toc54332816"/>
      <w:bookmarkStart w:id="139" w:name="_Toc54336716"/>
      <w:bookmarkStart w:id="140" w:name="_Toc54336877"/>
      <w:bookmarkStart w:id="141" w:name="_Toc54341454"/>
      <w:bookmarkStart w:id="142" w:name="_Toc54341512"/>
      <w:bookmarkStart w:id="143" w:name="_Toc54345801"/>
      <w:bookmarkStart w:id="144" w:name="_Toc54393518"/>
      <w:bookmarkStart w:id="145" w:name="_Toc54393579"/>
      <w:bookmarkStart w:id="146" w:name="_Toc54393718"/>
      <w:bookmarkStart w:id="147" w:name="_Toc61520644"/>
      <w:bookmarkStart w:id="148" w:name="_Toc61536510"/>
      <w:bookmarkStart w:id="149" w:name="_Toc61541290"/>
      <w:bookmarkStart w:id="150" w:name="_Toc61541342"/>
      <w:bookmarkStart w:id="151" w:name="_Toc61544633"/>
      <w:bookmarkStart w:id="152" w:name="_Toc61547546"/>
      <w:bookmarkStart w:id="153" w:name="_Toc61559091"/>
      <w:bookmarkStart w:id="154" w:name="_Toc61559328"/>
      <w:bookmarkStart w:id="155" w:name="_Toc61854474"/>
      <w:bookmarkStart w:id="156" w:name="_Toc61858381"/>
      <w:bookmarkStart w:id="157" w:name="_Toc61858815"/>
      <w:bookmarkStart w:id="158" w:name="_Toc61859146"/>
      <w:bookmarkStart w:id="159" w:name="_Toc61895540"/>
      <w:bookmarkStart w:id="160" w:name="_Toc61895642"/>
      <w:bookmarkStart w:id="161" w:name="_Toc68553153"/>
      <w:bookmarkStart w:id="162" w:name="_Toc68604764"/>
      <w:bookmarkStart w:id="163" w:name="_Toc68608875"/>
      <w:bookmarkStart w:id="164" w:name="_Toc68611507"/>
      <w:bookmarkStart w:id="165" w:name="_Toc68621472"/>
      <w:bookmarkStart w:id="166" w:name="_Toc68645543"/>
      <w:bookmarkStart w:id="167" w:name="_Toc71627798"/>
      <w:bookmarkStart w:id="168" w:name="_Toc71627848"/>
      <w:bookmarkStart w:id="169" w:name="_Toc79177825"/>
      <w:r>
        <w:t>Support per-panel granularity by allowing</w:t>
      </w:r>
      <w:r w:rsidR="008B5464" w:rsidRPr="004C1F0C">
        <w:t xml:space="preserve"> dynamic indication </w:t>
      </w:r>
      <w:r>
        <w:t>of</w:t>
      </w:r>
      <w:r w:rsidR="008B5464" w:rsidRPr="004C1F0C">
        <w:t xml:space="preserve"> </w:t>
      </w:r>
      <w:r w:rsidR="009D7E3F" w:rsidRPr="004C1F0C">
        <w:t xml:space="preserve">restricting/using </w:t>
      </w:r>
      <w:r w:rsidR="008B5464" w:rsidRPr="004C1F0C">
        <w:t>beams and their associated antenna panels for specific time-frequency resources.</w:t>
      </w:r>
      <w:bookmarkEnd w:id="120"/>
      <w:bookmarkEnd w:id="121"/>
      <w:bookmarkEnd w:id="122"/>
      <w:bookmarkEnd w:id="123"/>
      <w:bookmarkEnd w:id="124"/>
      <w:bookmarkEnd w:id="125"/>
      <w:bookmarkEnd w:id="126"/>
      <w:bookmarkEnd w:id="127"/>
      <w:bookmarkEnd w:id="128"/>
      <w:bookmarkEnd w:id="129"/>
      <w:bookmarkEnd w:id="130"/>
      <w:bookmarkEnd w:id="131"/>
      <w:bookmarkEnd w:id="169"/>
    </w:p>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14:paraId="497B150F" w14:textId="2DB62882" w:rsidR="00145EA7" w:rsidRPr="004C1F0C" w:rsidRDefault="00E24B4A" w:rsidP="0024379E">
      <w:pPr>
        <w:rPr>
          <w:lang w:val="en-GB"/>
        </w:rPr>
      </w:pPr>
      <w:r w:rsidRPr="004C1F0C">
        <w:rPr>
          <w:lang w:val="en-GB"/>
        </w:rPr>
        <w:t>Two additional points are worth mentioning:</w:t>
      </w:r>
    </w:p>
    <w:p w14:paraId="403CD8F2" w14:textId="722E9152" w:rsidR="00E24B4A" w:rsidRPr="004C1F0C" w:rsidRDefault="00E24B4A" w:rsidP="00B05C5E">
      <w:pPr>
        <w:pStyle w:val="ListParagraph"/>
        <w:numPr>
          <w:ilvl w:val="0"/>
          <w:numId w:val="11"/>
        </w:numPr>
        <w:rPr>
          <w:lang w:val="en-GB"/>
        </w:rPr>
      </w:pPr>
      <w:r w:rsidRPr="004C1F0C">
        <w:rPr>
          <w:lang w:val="en-GB"/>
        </w:rPr>
        <w:t xml:space="preserve">The above proposed mechanisms are not only </w:t>
      </w:r>
      <w:r w:rsidR="004C0405">
        <w:rPr>
          <w:lang w:val="en-GB"/>
        </w:rPr>
        <w:t xml:space="preserve">applicable to </w:t>
      </w:r>
      <w:r w:rsidRPr="004C1F0C">
        <w:rPr>
          <w:lang w:val="en-GB"/>
        </w:rPr>
        <w:t xml:space="preserve">multi-panel scenarios. A single-panel IAB node may also benefit from early dynamic </w:t>
      </w:r>
      <w:r w:rsidR="00164961" w:rsidRPr="004C1F0C">
        <w:rPr>
          <w:lang w:val="en-GB"/>
        </w:rPr>
        <w:t>signalling</w:t>
      </w:r>
      <w:r w:rsidRPr="004C1F0C">
        <w:rPr>
          <w:lang w:val="en-GB"/>
        </w:rPr>
        <w:t xml:space="preserve"> if it can accommodate </w:t>
      </w:r>
      <w:r w:rsidR="00164961" w:rsidRPr="004C1F0C">
        <w:rPr>
          <w:lang w:val="en-GB"/>
        </w:rPr>
        <w:t>simultaneous</w:t>
      </w:r>
      <w:r w:rsidRPr="004C1F0C">
        <w:rPr>
          <w:lang w:val="en-GB"/>
        </w:rPr>
        <w:t xml:space="preserve"> operations by one antenna panel.</w:t>
      </w:r>
    </w:p>
    <w:p w14:paraId="0A4BDDF0" w14:textId="534D6A43" w:rsidR="00DA28A0" w:rsidRPr="004C1F0C" w:rsidRDefault="00E24B4A" w:rsidP="00B05C5E">
      <w:pPr>
        <w:pStyle w:val="ListParagraph"/>
        <w:numPr>
          <w:ilvl w:val="0"/>
          <w:numId w:val="11"/>
        </w:numPr>
        <w:rPr>
          <w:lang w:val="en-GB"/>
        </w:rPr>
      </w:pPr>
      <w:r w:rsidRPr="004C1F0C">
        <w:rPr>
          <w:lang w:val="en-GB"/>
        </w:rPr>
        <w:t xml:space="preserve">The proposed dynamic </w:t>
      </w:r>
      <w:r w:rsidR="00164961" w:rsidRPr="004C1F0C">
        <w:rPr>
          <w:lang w:val="en-GB"/>
        </w:rPr>
        <w:t>signalling</w:t>
      </w:r>
      <w:r w:rsidRPr="004C1F0C">
        <w:rPr>
          <w:lang w:val="en-GB"/>
        </w:rPr>
        <w:t xml:space="preserve"> allows the parent node to indicate a beam for the upstream link, from which the IAB node can determine spatial </w:t>
      </w:r>
      <w:r w:rsidR="00DA28A0" w:rsidRPr="004C1F0C">
        <w:rPr>
          <w:lang w:val="en-GB"/>
        </w:rPr>
        <w:t>constraints for a downstream link</w:t>
      </w:r>
      <w:r w:rsidR="004C0405">
        <w:rPr>
          <w:lang w:val="en-GB"/>
        </w:rPr>
        <w:t>. This approach complements the downstream indication agreed in RAN1#105-e</w:t>
      </w:r>
      <w:r w:rsidR="00DA28A0" w:rsidRPr="004C1F0C">
        <w:rPr>
          <w:lang w:val="en-GB"/>
        </w:rPr>
        <w:t xml:space="preserve">. The two approaches are compared in </w:t>
      </w:r>
      <w:r w:rsidR="00861590">
        <w:rPr>
          <w:lang w:val="en-GB"/>
        </w:rPr>
        <w:fldChar w:fldCharType="begin"/>
      </w:r>
      <w:r w:rsidR="00861590">
        <w:rPr>
          <w:lang w:val="en-GB"/>
        </w:rPr>
        <w:instrText xml:space="preserve"> REF _Ref79154484 \r \h </w:instrText>
      </w:r>
      <w:r w:rsidR="00861590">
        <w:rPr>
          <w:lang w:val="en-GB"/>
        </w:rPr>
      </w:r>
      <w:r w:rsidR="00861590">
        <w:rPr>
          <w:lang w:val="en-GB"/>
        </w:rPr>
        <w:fldChar w:fldCharType="separate"/>
      </w:r>
      <w:r w:rsidR="00861590">
        <w:rPr>
          <w:cs/>
          <w:lang w:val="en-GB"/>
        </w:rPr>
        <w:t>‎</w:t>
      </w:r>
      <w:r w:rsidR="00861590">
        <w:rPr>
          <w:lang w:val="en-GB"/>
        </w:rPr>
        <w:t>Figure 4</w:t>
      </w:r>
      <w:r w:rsidR="00861590">
        <w:rPr>
          <w:lang w:val="en-GB"/>
        </w:rPr>
        <w:fldChar w:fldCharType="end"/>
      </w:r>
      <w:r w:rsidR="00DA28A0" w:rsidRPr="004C1F0C">
        <w:rPr>
          <w:lang w:val="en-GB"/>
        </w:rPr>
        <w:t>.</w:t>
      </w:r>
    </w:p>
    <w:p w14:paraId="23683C79" w14:textId="4FC8E20A" w:rsidR="00EB6BC4" w:rsidRPr="004C1F0C" w:rsidRDefault="009003A0" w:rsidP="00647054">
      <w:pPr>
        <w:pStyle w:val="Figure"/>
      </w:pPr>
      <w:r w:rsidRPr="004C1F0C">
        <w:rPr>
          <w:noProof/>
        </w:rPr>
        <w:drawing>
          <wp:inline distT="0" distB="0" distL="0" distR="0" wp14:anchorId="34F9915D" wp14:editId="0DDCEB03">
            <wp:extent cx="3401568" cy="26517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01568" cy="2651760"/>
                    </a:xfrm>
                    <a:prstGeom prst="rect">
                      <a:avLst/>
                    </a:prstGeom>
                    <a:noFill/>
                    <a:ln>
                      <a:noFill/>
                    </a:ln>
                  </pic:spPr>
                </pic:pic>
              </a:graphicData>
            </a:graphic>
          </wp:inline>
        </w:drawing>
      </w:r>
    </w:p>
    <w:p w14:paraId="795C26BF" w14:textId="1BCCE47F" w:rsidR="00647054" w:rsidRPr="004C1F0C" w:rsidRDefault="00647054" w:rsidP="00647054">
      <w:pPr>
        <w:pStyle w:val="Caption"/>
      </w:pPr>
      <w:bookmarkStart w:id="170" w:name="_Ref79154484"/>
      <w:r w:rsidRPr="004C1F0C">
        <w:t xml:space="preserve">. Dynamic </w:t>
      </w:r>
      <w:r w:rsidR="00164961" w:rsidRPr="004C1F0C">
        <w:t>signalling</w:t>
      </w:r>
      <w:r w:rsidRPr="004C1F0C">
        <w:t xml:space="preserve"> for upstream indication vs. downstream indication</w:t>
      </w:r>
      <w:bookmarkEnd w:id="170"/>
    </w:p>
    <w:p w14:paraId="3D04C951" w14:textId="2D4FB854" w:rsidR="009F0433" w:rsidRPr="004C1F0C" w:rsidRDefault="009F0433" w:rsidP="009F0433">
      <w:pPr>
        <w:rPr>
          <w:lang w:val="en-GB"/>
        </w:rPr>
      </w:pPr>
      <w:r w:rsidRPr="004C1F0C">
        <w:rPr>
          <w:lang w:val="en-GB"/>
        </w:rPr>
        <w:t xml:space="preserve">Each </w:t>
      </w:r>
      <w:r w:rsidR="00D459DE">
        <w:rPr>
          <w:lang w:val="en-GB"/>
        </w:rPr>
        <w:t>approach</w:t>
      </w:r>
      <w:r w:rsidRPr="004C1F0C">
        <w:rPr>
          <w:lang w:val="en-GB"/>
        </w:rPr>
        <w:t xml:space="preserve"> has its pros and cons. Advantages of ‘upstream indications’ include simplicity and less effort required for specification, configuration, and capability </w:t>
      </w:r>
      <w:r w:rsidR="00164961" w:rsidRPr="004C1F0C">
        <w:rPr>
          <w:lang w:val="en-GB"/>
        </w:rPr>
        <w:t>signalling</w:t>
      </w:r>
      <w:r w:rsidRPr="004C1F0C">
        <w:rPr>
          <w:lang w:val="en-GB"/>
        </w:rPr>
        <w:t xml:space="preserve">. Advantages of ‘downstream </w:t>
      </w:r>
      <w:r w:rsidR="00164961" w:rsidRPr="004C1F0C">
        <w:rPr>
          <w:lang w:val="en-GB"/>
        </w:rPr>
        <w:t>indications</w:t>
      </w:r>
      <w:r w:rsidRPr="004C1F0C">
        <w:rPr>
          <w:lang w:val="en-GB"/>
        </w:rPr>
        <w:t>,’ on the other hand, include higher flexibility for spatial resource (panel and beam) management, interference management, and so on.</w:t>
      </w:r>
    </w:p>
    <w:p w14:paraId="40ED677F" w14:textId="3A887162" w:rsidR="009F0433" w:rsidRPr="004C1F0C" w:rsidRDefault="009F0433" w:rsidP="009F0433">
      <w:pPr>
        <w:rPr>
          <w:lang w:val="en-GB"/>
        </w:rPr>
      </w:pPr>
      <w:r w:rsidRPr="004C1F0C">
        <w:rPr>
          <w:lang w:val="en-GB"/>
        </w:rPr>
        <w:t>Since the</w:t>
      </w:r>
      <w:r w:rsidR="00B36892">
        <w:rPr>
          <w:lang w:val="en-GB"/>
        </w:rPr>
        <w:t>se</w:t>
      </w:r>
      <w:r w:rsidRPr="004C1F0C">
        <w:rPr>
          <w:lang w:val="en-GB"/>
        </w:rPr>
        <w:t xml:space="preserve"> approaches leads to provisions that cannot be provided by one approach alone, we find it beneficial to discuss </w:t>
      </w:r>
      <w:r w:rsidR="00B36892">
        <w:rPr>
          <w:lang w:val="en-GB"/>
        </w:rPr>
        <w:t>early upstream</w:t>
      </w:r>
      <w:r w:rsidRPr="004C1F0C">
        <w:rPr>
          <w:lang w:val="en-GB"/>
        </w:rPr>
        <w:t xml:space="preserve"> indication</w:t>
      </w:r>
      <w:r w:rsidR="00B36892">
        <w:rPr>
          <w:lang w:val="en-GB"/>
        </w:rPr>
        <w:t>s</w:t>
      </w:r>
      <w:r w:rsidRPr="004C1F0C">
        <w:rPr>
          <w:lang w:val="en-GB"/>
        </w:rPr>
        <w:t xml:space="preserve"> in addition to the </w:t>
      </w:r>
      <w:r w:rsidR="00B36892">
        <w:rPr>
          <w:lang w:val="en-GB"/>
        </w:rPr>
        <w:t xml:space="preserve">agreed </w:t>
      </w:r>
      <w:r w:rsidRPr="004C1F0C">
        <w:rPr>
          <w:lang w:val="en-GB"/>
        </w:rPr>
        <w:t>indication approach.</w:t>
      </w:r>
    </w:p>
    <w:p w14:paraId="22FD11CF" w14:textId="43F5E17C" w:rsidR="009B59A5" w:rsidRDefault="00DA0190" w:rsidP="00A51664">
      <w:pPr>
        <w:pStyle w:val="Proposal"/>
        <w:rPr>
          <w:lang w:val="en-GB"/>
        </w:rPr>
      </w:pPr>
      <w:bookmarkStart w:id="171" w:name="_Toc68608876"/>
      <w:bookmarkStart w:id="172" w:name="_Toc68611508"/>
      <w:bookmarkStart w:id="173" w:name="_Toc68621473"/>
      <w:bookmarkStart w:id="174" w:name="_Toc68645544"/>
      <w:bookmarkStart w:id="175" w:name="_Toc71627799"/>
      <w:bookmarkStart w:id="176" w:name="_Toc71627849"/>
      <w:bookmarkStart w:id="177" w:name="_Toc71631395"/>
      <w:bookmarkStart w:id="178" w:name="_Toc71634735"/>
      <w:bookmarkStart w:id="179" w:name="_Toc71639081"/>
      <w:bookmarkStart w:id="180" w:name="_Toc71642080"/>
      <w:bookmarkStart w:id="181" w:name="_Toc71648833"/>
      <w:bookmarkStart w:id="182" w:name="_Toc71649583"/>
      <w:bookmarkStart w:id="183" w:name="_Toc71665428"/>
      <w:bookmarkStart w:id="184" w:name="_Toc71665677"/>
      <w:bookmarkStart w:id="185" w:name="_Toc71666696"/>
      <w:bookmarkStart w:id="186" w:name="_Toc79157023"/>
      <w:bookmarkStart w:id="187" w:name="_Toc79157215"/>
      <w:bookmarkStart w:id="188" w:name="_Toc79159805"/>
      <w:bookmarkStart w:id="189" w:name="_Toc79177826"/>
      <w:r>
        <w:rPr>
          <w:lang w:val="en-GB"/>
        </w:rPr>
        <w:t>S</w:t>
      </w:r>
      <w:r w:rsidR="009D6245" w:rsidRPr="004C1F0C">
        <w:rPr>
          <w:lang w:val="en-GB"/>
        </w:rPr>
        <w:t xml:space="preserve">upport </w:t>
      </w:r>
      <w:r w:rsidR="00B36892">
        <w:rPr>
          <w:lang w:val="en-GB"/>
        </w:rPr>
        <w:t xml:space="preserve">early </w:t>
      </w:r>
      <w:r>
        <w:rPr>
          <w:lang w:val="en-GB"/>
        </w:rPr>
        <w:t xml:space="preserve">beam/panel </w:t>
      </w:r>
      <w:r w:rsidR="009D6245" w:rsidRPr="004C1F0C">
        <w:rPr>
          <w:lang w:val="en-GB"/>
        </w:rPr>
        <w:t xml:space="preserve">indications </w:t>
      </w:r>
      <w:r w:rsidR="00E83D06">
        <w:rPr>
          <w:lang w:val="en-GB"/>
        </w:rPr>
        <w:t xml:space="preserve">for the upstream link </w:t>
      </w:r>
      <w:r w:rsidR="009D6245" w:rsidRPr="004C1F0C">
        <w:rPr>
          <w:lang w:val="en-GB"/>
        </w:rPr>
        <w:t xml:space="preserve">in addition to </w:t>
      </w:r>
      <w:r>
        <w:rPr>
          <w:lang w:val="en-GB"/>
        </w:rPr>
        <w:t xml:space="preserve">downstream </w:t>
      </w:r>
      <w:r w:rsidR="009D6245" w:rsidRPr="004C1F0C">
        <w:rPr>
          <w:lang w:val="en-GB"/>
        </w:rPr>
        <w:t>indication</w:t>
      </w:r>
      <w:r>
        <w:rPr>
          <w:lang w:val="en-GB"/>
        </w:rPr>
        <w:t>s</w:t>
      </w:r>
      <w:r w:rsidR="009D6245" w:rsidRPr="004C1F0C">
        <w:rPr>
          <w:lang w:val="en-GB"/>
        </w:rPr>
        <w: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EDEB00D" w14:textId="70537DA2" w:rsidR="00DA0190" w:rsidRDefault="00DA0190" w:rsidP="00DA0190">
      <w:r>
        <w:t xml:space="preserve">Finally, we consider the four multiplexing cases A, B, C, D as nomenclature for the standardization process. In practice, one or multiple cases of </w:t>
      </w:r>
      <w:r w:rsidR="00D459DE">
        <w:t>simultaneous</w:t>
      </w:r>
      <w:r>
        <w:t xml:space="preserve"> operations may occur depending on the number of antenna panels at an IAB node, resource configurations, hardware and operation constraints, and so on. Therefore, we propose to support beam and panel indications for </w:t>
      </w:r>
      <w:r w:rsidRPr="00740D4B">
        <w:rPr>
          <w:i/>
          <w:iCs/>
        </w:rPr>
        <w:t>specific time-frequency resources</w:t>
      </w:r>
      <w:r>
        <w:t xml:space="preserve"> and not specific multiplexing cases. Whether and how to apply a beam/panel indication for a specific multiplexing case will then be a matter of implementation.</w:t>
      </w:r>
    </w:p>
    <w:p w14:paraId="5014CD0C" w14:textId="77777777" w:rsidR="00DA0190" w:rsidRPr="00142720" w:rsidRDefault="00DA0190" w:rsidP="00DA0190">
      <w:pPr>
        <w:pStyle w:val="Proposal"/>
      </w:pPr>
      <w:bookmarkStart w:id="190" w:name="_Toc79157024"/>
      <w:bookmarkStart w:id="191" w:name="_Toc79157216"/>
      <w:bookmarkStart w:id="192" w:name="_Toc79159806"/>
      <w:bookmarkStart w:id="193" w:name="_Toc79177827"/>
      <w:r>
        <w:t>Support applicability of beam/panel indications to specific time-frequency resources.</w:t>
      </w:r>
      <w:bookmarkEnd w:id="190"/>
      <w:bookmarkEnd w:id="191"/>
      <w:bookmarkEnd w:id="192"/>
      <w:bookmarkEnd w:id="193"/>
    </w:p>
    <w:bookmarkEnd w:id="117"/>
    <w:bookmarkEnd w:id="118"/>
    <w:p w14:paraId="73DB5A94" w14:textId="052DF9E0" w:rsidR="004E2463" w:rsidRDefault="005840CB" w:rsidP="004E2463">
      <w:pPr>
        <w:pStyle w:val="Heading2"/>
      </w:pPr>
      <w:r>
        <w:t>Applicability</w:t>
      </w:r>
      <w:r w:rsidR="009B468E">
        <w:t xml:space="preserve"> of multiplexing cases</w:t>
      </w:r>
    </w:p>
    <w:p w14:paraId="2DAD9F90" w14:textId="417A08B8" w:rsidR="006120D1" w:rsidRDefault="006120D1" w:rsidP="006120D1">
      <w:pPr>
        <w:rPr>
          <w:lang w:val="en-GB"/>
        </w:rPr>
      </w:pPr>
      <w:r>
        <w:rPr>
          <w:lang w:val="en-GB"/>
        </w:rPr>
        <w:t xml:space="preserve">The following was agreed in </w:t>
      </w:r>
      <w:r w:rsidR="00494A84">
        <w:rPr>
          <w:lang w:val="en-GB"/>
        </w:rPr>
        <w:t>the previous meetings</w:t>
      </w:r>
      <w:r w:rsidR="00C477CC">
        <w:rPr>
          <w:lang w:val="en-GB"/>
        </w:rPr>
        <w:t xml:space="preserve"> </w:t>
      </w:r>
      <w:r w:rsidR="00C477CC">
        <w:rPr>
          <w:lang w:val="en-GB"/>
        </w:rPr>
        <w:fldChar w:fldCharType="begin"/>
      </w:r>
      <w:r w:rsidR="00C477CC">
        <w:rPr>
          <w:lang w:val="en-GB"/>
        </w:rPr>
        <w:instrText xml:space="preserve"> REF _Ref79129427 \r \h </w:instrText>
      </w:r>
      <w:r w:rsidR="00C477CC">
        <w:rPr>
          <w:lang w:val="en-GB"/>
        </w:rPr>
      </w:r>
      <w:r w:rsidR="00C477CC">
        <w:rPr>
          <w:lang w:val="en-GB"/>
        </w:rPr>
        <w:fldChar w:fldCharType="separate"/>
      </w:r>
      <w:r w:rsidR="00C477CC">
        <w:rPr>
          <w:cs/>
          <w:lang w:val="en-GB"/>
        </w:rPr>
        <w:t>‎</w:t>
      </w:r>
      <w:r w:rsidR="00C477CC">
        <w:rPr>
          <w:lang w:val="en-GB"/>
        </w:rPr>
        <w:t>[2]</w:t>
      </w:r>
      <w:r w:rsidR="00C477CC">
        <w:rPr>
          <w:lang w:val="en-GB"/>
        </w:rPr>
        <w:fldChar w:fldCharType="end"/>
      </w:r>
      <w:r>
        <w:rPr>
          <w:lang w:val="en-GB"/>
        </w:rPr>
        <w:t>:</w:t>
      </w:r>
    </w:p>
    <w:p w14:paraId="38D7D1BE" w14:textId="77777777" w:rsidR="00C477CC" w:rsidRPr="00C477CC" w:rsidRDefault="00C477CC" w:rsidP="00C477CC">
      <w:pPr>
        <w:jc w:val="both"/>
        <w:rPr>
          <w:rFonts w:eastAsia="SimSun" w:cs="Times"/>
          <w:i/>
          <w:iCs/>
        </w:rPr>
      </w:pPr>
      <w:r w:rsidRPr="00C477CC">
        <w:rPr>
          <w:rFonts w:cs="Times"/>
          <w:b/>
          <w:bCs/>
          <w:i/>
          <w:iCs/>
          <w:color w:val="000000"/>
          <w:highlight w:val="green"/>
          <w:shd w:val="clear" w:color="auto" w:fill="FFFF00"/>
        </w:rPr>
        <w:t>Agreement</w:t>
      </w:r>
    </w:p>
    <w:p w14:paraId="4A962530" w14:textId="77777777" w:rsidR="00C477CC" w:rsidRPr="00C477CC" w:rsidRDefault="00C477CC" w:rsidP="00C477CC">
      <w:pPr>
        <w:jc w:val="both"/>
        <w:rPr>
          <w:rFonts w:cs="Times"/>
          <w:i/>
          <w:iCs/>
          <w:szCs w:val="20"/>
        </w:rPr>
      </w:pPr>
      <w:r w:rsidRPr="00C477CC">
        <w:rPr>
          <w:rFonts w:cs="Times"/>
          <w:i/>
          <w:iCs/>
          <w:szCs w:val="20"/>
        </w:rPr>
        <w:lastRenderedPageBreak/>
        <w:t>The parent IAB-node is dynamically provided with conditions/parameters to facilitate adaptation between multiplexing operation modes:</w:t>
      </w:r>
    </w:p>
    <w:p w14:paraId="7D1D80FE" w14:textId="77777777" w:rsidR="00C477CC" w:rsidRPr="00C477CC" w:rsidRDefault="00C477CC" w:rsidP="00C477CC">
      <w:pPr>
        <w:pStyle w:val="ListParagraph"/>
        <w:numPr>
          <w:ilvl w:val="0"/>
          <w:numId w:val="20"/>
        </w:numPr>
        <w:overflowPunct w:val="0"/>
        <w:autoSpaceDE w:val="0"/>
        <w:autoSpaceDN w:val="0"/>
        <w:adjustRightInd w:val="0"/>
        <w:spacing w:before="0" w:after="0" w:line="240" w:lineRule="auto"/>
        <w:jc w:val="both"/>
        <w:textAlignment w:val="baseline"/>
        <w:rPr>
          <w:rFonts w:cs="Times"/>
          <w:i/>
          <w:iCs/>
          <w:szCs w:val="20"/>
        </w:rPr>
      </w:pPr>
      <w:r w:rsidRPr="00C477CC">
        <w:rPr>
          <w:rFonts w:cs="Times"/>
          <w:i/>
          <w:iCs/>
          <w:szCs w:val="20"/>
        </w:rPr>
        <w:t>FFS: Required number of guard symbols for switching of multiplexing mode (FFS: per timing mode or per multiplexing mode) for IAB-DU</w:t>
      </w:r>
    </w:p>
    <w:p w14:paraId="6FEA9951" w14:textId="77777777" w:rsidR="00C477CC" w:rsidRPr="00C477CC" w:rsidRDefault="00C477CC" w:rsidP="00C477CC">
      <w:pPr>
        <w:pStyle w:val="ListParagraph"/>
        <w:numPr>
          <w:ilvl w:val="0"/>
          <w:numId w:val="20"/>
        </w:numPr>
        <w:overflowPunct w:val="0"/>
        <w:autoSpaceDE w:val="0"/>
        <w:autoSpaceDN w:val="0"/>
        <w:adjustRightInd w:val="0"/>
        <w:spacing w:before="0" w:after="0" w:line="240" w:lineRule="auto"/>
        <w:jc w:val="both"/>
        <w:textAlignment w:val="baseline"/>
        <w:rPr>
          <w:rFonts w:cs="Times"/>
          <w:i/>
          <w:iCs/>
          <w:szCs w:val="20"/>
        </w:rPr>
      </w:pPr>
      <w:r w:rsidRPr="00C477CC">
        <w:rPr>
          <w:rFonts w:cs="Times"/>
          <w:i/>
          <w:iCs/>
          <w:szCs w:val="20"/>
        </w:rPr>
        <w:t>FFS: Signalling procedure</w:t>
      </w:r>
    </w:p>
    <w:p w14:paraId="16089ACF" w14:textId="77777777" w:rsidR="00C477CC" w:rsidRPr="00C477CC" w:rsidRDefault="00C477CC" w:rsidP="00C477CC">
      <w:pPr>
        <w:pStyle w:val="ListParagraph"/>
        <w:numPr>
          <w:ilvl w:val="0"/>
          <w:numId w:val="20"/>
        </w:numPr>
        <w:spacing w:before="0" w:after="0" w:line="240" w:lineRule="auto"/>
        <w:jc w:val="both"/>
        <w:rPr>
          <w:rFonts w:cs="Times"/>
          <w:i/>
          <w:iCs/>
          <w:szCs w:val="20"/>
        </w:rPr>
      </w:pPr>
      <w:r w:rsidRPr="00C477CC">
        <w:rPr>
          <w:rFonts w:cs="Times"/>
          <w:i/>
          <w:iCs/>
          <w:szCs w:val="20"/>
        </w:rPr>
        <w:t>FFS: Required guard band for FDM</w:t>
      </w:r>
    </w:p>
    <w:p w14:paraId="6327BDB4" w14:textId="77777777" w:rsidR="00C477CC" w:rsidRPr="00C477CC" w:rsidRDefault="00C477CC" w:rsidP="00C477CC">
      <w:pPr>
        <w:pStyle w:val="ListParagraph"/>
        <w:numPr>
          <w:ilvl w:val="0"/>
          <w:numId w:val="20"/>
        </w:numPr>
        <w:spacing w:before="0" w:after="0" w:line="240" w:lineRule="auto"/>
        <w:jc w:val="both"/>
        <w:rPr>
          <w:rFonts w:cs="Times"/>
          <w:i/>
          <w:iCs/>
          <w:szCs w:val="20"/>
        </w:rPr>
      </w:pPr>
      <w:r w:rsidRPr="00C477CC">
        <w:rPr>
          <w:rFonts w:cs="Times"/>
          <w:i/>
          <w:iCs/>
          <w:szCs w:val="20"/>
        </w:rPr>
        <w:t>FFS: other conditions, e.g. required timing mode, required power control parameters, and preferred TCI.</w:t>
      </w:r>
    </w:p>
    <w:p w14:paraId="540E9E22" w14:textId="77777777" w:rsidR="006A78EC" w:rsidRPr="00C477CC" w:rsidRDefault="006A78EC" w:rsidP="006A78EC"/>
    <w:p w14:paraId="139915B9" w14:textId="4D265EC6" w:rsidR="009B59A5" w:rsidRPr="00DA0190" w:rsidRDefault="00164961" w:rsidP="00A51664">
      <w:pPr>
        <w:spacing w:before="120"/>
        <w:rPr>
          <w:lang w:val="en-GB"/>
        </w:rPr>
      </w:pPr>
      <w:r w:rsidRPr="00DA0190">
        <w:rPr>
          <w:lang w:val="en-GB"/>
        </w:rPr>
        <w:t xml:space="preserve">The main point of this discussion is that an IAB node’s capability to perform simultaneous operations </w:t>
      </w:r>
      <w:r w:rsidR="009B59A5" w:rsidRPr="00DA0190">
        <w:rPr>
          <w:lang w:val="en-GB"/>
        </w:rPr>
        <w:t xml:space="preserve">depend on </w:t>
      </w:r>
      <w:r w:rsidRPr="00DA0190">
        <w:rPr>
          <w:lang w:val="en-GB"/>
        </w:rPr>
        <w:t>two main type</w:t>
      </w:r>
      <w:r w:rsidR="009B59A5" w:rsidRPr="00DA0190">
        <w:rPr>
          <w:lang w:val="en-GB"/>
        </w:rPr>
        <w:t xml:space="preserve"> of constraints</w:t>
      </w:r>
      <w:r w:rsidRPr="00DA0190">
        <w:rPr>
          <w:lang w:val="en-GB"/>
        </w:rPr>
        <w:t>:</w:t>
      </w:r>
    </w:p>
    <w:p w14:paraId="6082065A" w14:textId="3A3A836E" w:rsidR="009B59A5" w:rsidRPr="00DA0190" w:rsidRDefault="00164961" w:rsidP="00B05C5E">
      <w:pPr>
        <w:pStyle w:val="ListParagraph"/>
        <w:numPr>
          <w:ilvl w:val="0"/>
          <w:numId w:val="11"/>
        </w:numPr>
        <w:rPr>
          <w:lang w:val="en-GB"/>
        </w:rPr>
      </w:pPr>
      <w:r w:rsidRPr="00DA0190">
        <w:rPr>
          <w:lang w:val="en-GB"/>
        </w:rPr>
        <w:t xml:space="preserve">hardware </w:t>
      </w:r>
      <w:r w:rsidR="009B59A5" w:rsidRPr="00DA0190">
        <w:rPr>
          <w:lang w:val="en-GB"/>
        </w:rPr>
        <w:t>constraints, e.g., the number of antenna panels,</w:t>
      </w:r>
    </w:p>
    <w:p w14:paraId="3A135A3A" w14:textId="66801578" w:rsidR="00164961" w:rsidRPr="00DA0190" w:rsidRDefault="009B59A5" w:rsidP="00B05C5E">
      <w:pPr>
        <w:pStyle w:val="ListParagraph"/>
        <w:numPr>
          <w:ilvl w:val="0"/>
          <w:numId w:val="11"/>
        </w:numPr>
        <w:rPr>
          <w:lang w:val="en-GB"/>
        </w:rPr>
      </w:pPr>
      <w:r w:rsidRPr="00DA0190">
        <w:rPr>
          <w:lang w:val="en-GB"/>
        </w:rPr>
        <w:t>operation constraints, e.g., beam, power, interference, and timing alignment constraints.</w:t>
      </w:r>
    </w:p>
    <w:p w14:paraId="1FB32AB3" w14:textId="11B44C6F" w:rsidR="009B59A5" w:rsidRPr="00DA0190" w:rsidRDefault="003159C8" w:rsidP="009B59A5">
      <w:pPr>
        <w:rPr>
          <w:lang w:val="en-GB"/>
        </w:rPr>
      </w:pPr>
      <w:r w:rsidRPr="00DA0190">
        <w:rPr>
          <w:lang w:val="en-GB"/>
        </w:rPr>
        <w:t>With regards to hardware constraints</w:t>
      </w:r>
      <w:r w:rsidR="009B59A5" w:rsidRPr="00DA0190">
        <w:rPr>
          <w:lang w:val="en-GB"/>
        </w:rPr>
        <w:t>, it was agreed in the previous meetings that Case A (simultaneous transmission) and Case B (simultaneous reception) are considered for both single-panel and multi-panel IAB nodes. For these two cases, multi-panel IAB nodes are expected to impose less stringent requirements on baseband timing alignment. If the goal is to avoid any overlap between a transmission on one panel and a reception on another panel, even at symbol boundaries, the matter can be handled by allocating guard symbols between DL and UL resources.</w:t>
      </w:r>
    </w:p>
    <w:p w14:paraId="3779D5B1" w14:textId="1CBADA27" w:rsidR="009B59A5" w:rsidRPr="00DA0190" w:rsidRDefault="009B59A5" w:rsidP="009B59A5">
      <w:pPr>
        <w:rPr>
          <w:lang w:val="en-GB"/>
        </w:rPr>
      </w:pPr>
      <w:r w:rsidRPr="00DA0190">
        <w:rPr>
          <w:lang w:val="en-GB"/>
        </w:rPr>
        <w:t xml:space="preserve">However, an IAB node with a single panel/RF frontend, shared between IAB-MT and IAB-DU, may require a perfect alignment between FDM’ed operations. Enhanced timing alignment cases being discussed under agenda item 8.10.2 can be employed to satisfy the timing alignment constraint for simultaneous transmissions (Case-6) or simultaneous receptions (Case-7). Nevertheless, such a requirement can be relaxed if multiple baseband units are </w:t>
      </w:r>
      <w:r w:rsidR="00D459DE" w:rsidRPr="00DA0190">
        <w:rPr>
          <w:lang w:val="en-GB"/>
        </w:rPr>
        <w:t>available,</w:t>
      </w:r>
      <w:r w:rsidRPr="00DA0190">
        <w:rPr>
          <w:lang w:val="en-GB"/>
        </w:rPr>
        <w:t xml:space="preserve"> or the baseband unit is equipped with multiple IFFT/FFT windows. Whether the IAB node supports multiple baseband processing can be specified as an IAB node capability.</w:t>
      </w:r>
    </w:p>
    <w:p w14:paraId="5807B7C6" w14:textId="79EAC3D3" w:rsidR="009B59A5" w:rsidRPr="00DA0190" w:rsidRDefault="009B59A5" w:rsidP="009B59A5">
      <w:pPr>
        <w:pStyle w:val="Proposal"/>
      </w:pPr>
      <w:bookmarkStart w:id="194" w:name="_Toc54393517"/>
      <w:bookmarkStart w:id="195" w:name="_Toc54393578"/>
      <w:bookmarkStart w:id="196" w:name="_Toc54393717"/>
      <w:bookmarkStart w:id="197" w:name="_Toc61520643"/>
      <w:bookmarkStart w:id="198" w:name="_Toc61536509"/>
      <w:bookmarkStart w:id="199" w:name="_Toc61541289"/>
      <w:bookmarkStart w:id="200" w:name="_Toc61541341"/>
      <w:bookmarkStart w:id="201" w:name="_Toc61544632"/>
      <w:bookmarkStart w:id="202" w:name="_Toc61547539"/>
      <w:bookmarkStart w:id="203" w:name="_Toc61559098"/>
      <w:bookmarkStart w:id="204" w:name="_Toc61559321"/>
      <w:bookmarkStart w:id="205" w:name="_Toc61854479"/>
      <w:bookmarkStart w:id="206" w:name="_Toc61895529"/>
      <w:bookmarkStart w:id="207" w:name="_Toc61895647"/>
      <w:bookmarkStart w:id="208" w:name="_Toc68553149"/>
      <w:bookmarkStart w:id="209" w:name="_Toc54311503"/>
      <w:bookmarkStart w:id="210" w:name="_Toc54311603"/>
      <w:bookmarkStart w:id="211" w:name="_Toc54311798"/>
      <w:bookmarkStart w:id="212" w:name="_Toc54332051"/>
      <w:bookmarkStart w:id="213" w:name="_Toc54332729"/>
      <w:bookmarkStart w:id="214" w:name="_Toc54332773"/>
      <w:bookmarkStart w:id="215" w:name="_Toc54332815"/>
      <w:bookmarkStart w:id="216" w:name="_Toc54336715"/>
      <w:bookmarkStart w:id="217" w:name="_Toc54336876"/>
      <w:bookmarkStart w:id="218" w:name="_Toc54341453"/>
      <w:bookmarkStart w:id="219" w:name="_Toc54341511"/>
      <w:bookmarkStart w:id="220" w:name="_Toc54345800"/>
      <w:bookmarkStart w:id="221" w:name="_Toc68604760"/>
      <w:bookmarkStart w:id="222" w:name="_Toc68608877"/>
      <w:bookmarkStart w:id="223" w:name="_Toc68611509"/>
      <w:bookmarkStart w:id="224" w:name="_Toc68621474"/>
      <w:bookmarkStart w:id="225" w:name="_Toc68645545"/>
      <w:bookmarkStart w:id="226" w:name="_Toc71627800"/>
      <w:bookmarkStart w:id="227" w:name="_Toc71627850"/>
      <w:bookmarkStart w:id="228" w:name="_Toc71631396"/>
      <w:bookmarkStart w:id="229" w:name="_Toc71634736"/>
      <w:bookmarkStart w:id="230" w:name="_Toc71639082"/>
      <w:bookmarkStart w:id="231" w:name="_Toc71642081"/>
      <w:bookmarkStart w:id="232" w:name="_Toc71648834"/>
      <w:bookmarkStart w:id="233" w:name="_Toc71649584"/>
      <w:bookmarkStart w:id="234" w:name="_Toc71665429"/>
      <w:bookmarkStart w:id="235" w:name="_Toc71665678"/>
      <w:bookmarkStart w:id="236" w:name="_Toc71666697"/>
      <w:bookmarkStart w:id="237" w:name="_Toc79157025"/>
      <w:bookmarkStart w:id="238" w:name="_Toc79157217"/>
      <w:bookmarkStart w:id="239" w:name="_Toc79159807"/>
      <w:bookmarkStart w:id="240" w:name="_Toc79177828"/>
      <w:r w:rsidRPr="00DA0190">
        <w:t xml:space="preserve">Support </w:t>
      </w:r>
      <w:r w:rsidR="0094468A" w:rsidRPr="00DA0190">
        <w:t>signaling</w:t>
      </w:r>
      <w:r w:rsidRPr="00DA0190">
        <w:t xml:space="preserve"> IAB node capabilities </w:t>
      </w:r>
      <w:r w:rsidR="00175989" w:rsidRPr="00DA0190">
        <w:t xml:space="preserve">for </w:t>
      </w:r>
      <w:r w:rsidRPr="00DA0190">
        <w:t>timing alignment</w:t>
      </w:r>
      <w:r w:rsidR="003415D0">
        <w:t xml:space="preserve"> </w:t>
      </w:r>
      <w:r w:rsidRPr="00DA0190">
        <w:t>and multi-panel and baseband characteristics.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4969750" w14:textId="4030E4F1" w:rsidR="00164961" w:rsidRPr="00130BC9" w:rsidRDefault="005D02CF" w:rsidP="004E2463">
      <w:pPr>
        <w:rPr>
          <w:lang w:val="en-GB"/>
        </w:rPr>
      </w:pPr>
      <w:r w:rsidRPr="00130BC9">
        <w:rPr>
          <w:lang w:val="en-GB"/>
        </w:rPr>
        <w:t>Next</w:t>
      </w:r>
      <w:r w:rsidR="003159C8" w:rsidRPr="00130BC9">
        <w:rPr>
          <w:lang w:val="en-GB"/>
        </w:rPr>
        <w:t xml:space="preserve">, </w:t>
      </w:r>
      <w:r w:rsidRPr="00130BC9">
        <w:rPr>
          <w:lang w:val="en-GB"/>
        </w:rPr>
        <w:t>regarding operation constraints, dynamic signalling can be introduced by which an IAB node indicates to its parent node</w:t>
      </w:r>
      <w:r w:rsidR="00E40D87" w:rsidRPr="00130BC9">
        <w:rPr>
          <w:lang w:val="en-GB"/>
        </w:rPr>
        <w:t xml:space="preserve"> whether </w:t>
      </w:r>
      <w:r w:rsidRPr="00130BC9">
        <w:rPr>
          <w:lang w:val="en-GB"/>
        </w:rPr>
        <w:t xml:space="preserve">a multiplexing </w:t>
      </w:r>
      <w:r w:rsidR="00E40D87" w:rsidRPr="00130BC9">
        <w:rPr>
          <w:lang w:val="en-GB"/>
        </w:rPr>
        <w:t>(simultaneous operation) case is currently possible with the current operation (beam, power, interference, etc.) constraints. The indication message may be specified as an L1/L2 control message that includes the following additional information:</w:t>
      </w:r>
    </w:p>
    <w:p w14:paraId="2ECBC58C" w14:textId="3BDD92A8" w:rsidR="00E40D87" w:rsidRPr="00130BC9" w:rsidRDefault="00E40D87" w:rsidP="00B05C5E">
      <w:pPr>
        <w:pStyle w:val="ListParagraph"/>
        <w:numPr>
          <w:ilvl w:val="0"/>
          <w:numId w:val="11"/>
        </w:numPr>
        <w:rPr>
          <w:lang w:val="en-GB"/>
        </w:rPr>
      </w:pPr>
      <w:r w:rsidRPr="00130BC9">
        <w:rPr>
          <w:lang w:val="en-GB"/>
        </w:rPr>
        <w:t>time-frequency domain resources, including a temporal parameter such as a number of slots or subframes,</w:t>
      </w:r>
    </w:p>
    <w:p w14:paraId="41F843B4" w14:textId="22813738" w:rsidR="00E40D87" w:rsidRPr="00130BC9" w:rsidRDefault="00E40D87" w:rsidP="00B05C5E">
      <w:pPr>
        <w:pStyle w:val="ListParagraph"/>
        <w:numPr>
          <w:ilvl w:val="0"/>
          <w:numId w:val="11"/>
        </w:numPr>
        <w:rPr>
          <w:lang w:val="en-GB"/>
        </w:rPr>
      </w:pPr>
      <w:r w:rsidRPr="00130BC9">
        <w:rPr>
          <w:lang w:val="en-GB"/>
        </w:rPr>
        <w:t>spatial constraints, e.g., beams that cause excessive interference, hence not allowing a certain multiplexing case,</w:t>
      </w:r>
    </w:p>
    <w:p w14:paraId="523018D0" w14:textId="78FAAC72" w:rsidR="00E40D87" w:rsidRPr="00130BC9" w:rsidRDefault="00E40D87" w:rsidP="00B05C5E">
      <w:pPr>
        <w:pStyle w:val="ListParagraph"/>
        <w:numPr>
          <w:ilvl w:val="0"/>
          <w:numId w:val="11"/>
        </w:numPr>
        <w:rPr>
          <w:lang w:val="en-GB"/>
        </w:rPr>
      </w:pPr>
      <w:r w:rsidRPr="00130BC9">
        <w:rPr>
          <w:lang w:val="en-GB"/>
        </w:rPr>
        <w:t>TX power range or maximum TX power offset based on the TX/RX power for a downstream operation,</w:t>
      </w:r>
    </w:p>
    <w:p w14:paraId="43B69729" w14:textId="22427629" w:rsidR="00E40D87" w:rsidRPr="00130BC9" w:rsidRDefault="00E40D87" w:rsidP="00B05C5E">
      <w:pPr>
        <w:pStyle w:val="ListParagraph"/>
        <w:numPr>
          <w:ilvl w:val="0"/>
          <w:numId w:val="11"/>
        </w:numPr>
        <w:rPr>
          <w:lang w:val="en-GB"/>
        </w:rPr>
      </w:pPr>
      <w:r w:rsidRPr="00130BC9">
        <w:rPr>
          <w:lang w:val="en-GB"/>
        </w:rPr>
        <w:t>guard times, guard bands, etc.</w:t>
      </w:r>
    </w:p>
    <w:p w14:paraId="6ABBCB46" w14:textId="4B7EE35D" w:rsidR="00E40D87" w:rsidRPr="00130BC9" w:rsidRDefault="00E40D87" w:rsidP="00E40D87">
      <w:pPr>
        <w:rPr>
          <w:lang w:val="en-GB"/>
        </w:rPr>
      </w:pPr>
      <w:r w:rsidRPr="00130BC9">
        <w:rPr>
          <w:lang w:val="en-GB"/>
        </w:rPr>
        <w:t xml:space="preserve">Given hardware constraints and operation constraints at the IAB node, the parent node can then respond by applying the information for signalling </w:t>
      </w:r>
      <w:r w:rsidR="00175989" w:rsidRPr="00130BC9">
        <w:rPr>
          <w:lang w:val="en-GB"/>
        </w:rPr>
        <w:t xml:space="preserve">of </w:t>
      </w:r>
      <w:r w:rsidRPr="00130BC9">
        <w:rPr>
          <w:lang w:val="en-GB"/>
        </w:rPr>
        <w:t xml:space="preserve">scheduling, beam indication, link adaptation, </w:t>
      </w:r>
      <w:r w:rsidR="00175989" w:rsidRPr="00130BC9">
        <w:rPr>
          <w:lang w:val="en-GB"/>
        </w:rPr>
        <w:t>power control, timing alignment control, availability indication in time/frequency domains, and so on.</w:t>
      </w:r>
    </w:p>
    <w:p w14:paraId="21848CB9" w14:textId="5DE55321" w:rsidR="00175989" w:rsidRDefault="00175989" w:rsidP="00175989">
      <w:pPr>
        <w:pStyle w:val="Proposal"/>
        <w:rPr>
          <w:lang w:val="en-GB"/>
        </w:rPr>
      </w:pPr>
      <w:bookmarkStart w:id="241" w:name="_Toc68611510"/>
      <w:bookmarkStart w:id="242" w:name="_Toc68621475"/>
      <w:bookmarkStart w:id="243" w:name="_Toc68645546"/>
      <w:bookmarkStart w:id="244" w:name="_Toc71627801"/>
      <w:bookmarkStart w:id="245" w:name="_Toc71627851"/>
      <w:bookmarkStart w:id="246" w:name="_Toc71631397"/>
      <w:bookmarkStart w:id="247" w:name="_Toc71634737"/>
      <w:bookmarkStart w:id="248" w:name="_Toc71639083"/>
      <w:bookmarkStart w:id="249" w:name="_Toc71642082"/>
      <w:bookmarkStart w:id="250" w:name="_Toc71648835"/>
      <w:bookmarkStart w:id="251" w:name="_Toc71649585"/>
      <w:bookmarkStart w:id="252" w:name="_Toc71665430"/>
      <w:bookmarkStart w:id="253" w:name="_Toc71665679"/>
      <w:bookmarkStart w:id="254" w:name="_Toc71666698"/>
      <w:bookmarkStart w:id="255" w:name="_Toc79157026"/>
      <w:bookmarkStart w:id="256" w:name="_Toc79157218"/>
      <w:bookmarkStart w:id="257" w:name="_Toc79159808"/>
      <w:bookmarkStart w:id="258" w:name="_Toc79177829"/>
      <w:r w:rsidRPr="00130BC9">
        <w:rPr>
          <w:lang w:val="en-GB"/>
        </w:rPr>
        <w:t>Support dynamic signalling for communicating operation constraints such as beam, power, interference, and timing alignment constraints along with information of time, frequency, and spatial resources.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1B30BDB" w14:textId="529FDEB9" w:rsidR="00130BC9" w:rsidRDefault="00130BC9" w:rsidP="00130BC9">
      <w:pPr>
        <w:rPr>
          <w:lang w:val="en-GB"/>
        </w:rPr>
      </w:pPr>
      <w:r>
        <w:rPr>
          <w:lang w:val="en-GB"/>
        </w:rPr>
        <w:t>With respect to guard symbols, it can be easily shown that a change of timing alignment modes may lead to overlap between symbols of consecutive slots. Hence, a guard symbol may be reserved for switching between timing modes. There is need to specify a guard symbol for switching between multiplexing modes.</w:t>
      </w:r>
    </w:p>
    <w:p w14:paraId="1E764A7D" w14:textId="4AD8218C" w:rsidR="00AF4776" w:rsidRPr="00AF4776" w:rsidRDefault="000D1B65" w:rsidP="00AF4776">
      <w:pPr>
        <w:pStyle w:val="Proposal"/>
        <w:rPr>
          <w:lang w:val="en-GB"/>
        </w:rPr>
      </w:pPr>
      <w:bookmarkStart w:id="259" w:name="_Toc79157027"/>
      <w:bookmarkStart w:id="260" w:name="_Toc79157219"/>
      <w:bookmarkStart w:id="261" w:name="_Toc79159809"/>
      <w:bookmarkStart w:id="262" w:name="_Toc79177830"/>
      <w:r>
        <w:rPr>
          <w:lang w:val="en-GB"/>
        </w:rPr>
        <w:t xml:space="preserve">Support a guard symbol for switching between </w:t>
      </w:r>
      <w:r w:rsidR="00FC680D">
        <w:rPr>
          <w:lang w:val="en-GB"/>
        </w:rPr>
        <w:t xml:space="preserve">timing </w:t>
      </w:r>
      <w:r>
        <w:rPr>
          <w:lang w:val="en-GB"/>
        </w:rPr>
        <w:t>modes.</w:t>
      </w:r>
      <w:bookmarkEnd w:id="259"/>
      <w:bookmarkEnd w:id="260"/>
      <w:bookmarkEnd w:id="261"/>
      <w:bookmarkEnd w:id="262"/>
    </w:p>
    <w:p w14:paraId="7DB322CF" w14:textId="5A396875" w:rsidR="00EA1EE4" w:rsidRDefault="00D459DE" w:rsidP="00ED1FB7">
      <w:pPr>
        <w:pStyle w:val="Heading2"/>
      </w:pPr>
      <w:r>
        <w:t>Dual connectivity</w:t>
      </w:r>
    </w:p>
    <w:p w14:paraId="101C6225" w14:textId="6FC0A191" w:rsidR="00C4248E" w:rsidRDefault="00C4248E" w:rsidP="00887C39">
      <w:pPr>
        <w:rPr>
          <w:lang w:val="en-GB"/>
        </w:rPr>
      </w:pPr>
      <w:r>
        <w:rPr>
          <w:lang w:val="en-GB"/>
        </w:rPr>
        <w:t>The fol</w:t>
      </w:r>
      <w:r w:rsidR="00DD1C2A">
        <w:rPr>
          <w:lang w:val="en-GB"/>
        </w:rPr>
        <w:t>lowing is a list of DC-related agreement in the previous meetings</w:t>
      </w:r>
      <w:r w:rsidR="00E17405">
        <w:rPr>
          <w:lang w:val="en-GB"/>
        </w:rPr>
        <w:t xml:space="preserve"> </w:t>
      </w:r>
      <w:r w:rsidR="00E17405">
        <w:rPr>
          <w:lang w:val="en-GB"/>
        </w:rPr>
        <w:fldChar w:fldCharType="begin"/>
      </w:r>
      <w:r w:rsidR="00E17405">
        <w:rPr>
          <w:lang w:val="en-GB"/>
        </w:rPr>
        <w:instrText xml:space="preserve"> REF _Ref71645565 \r \h </w:instrText>
      </w:r>
      <w:r w:rsidR="00E17405">
        <w:rPr>
          <w:lang w:val="en-GB"/>
        </w:rPr>
      </w:r>
      <w:r w:rsidR="00E17405">
        <w:rPr>
          <w:lang w:val="en-GB"/>
        </w:rPr>
        <w:fldChar w:fldCharType="separate"/>
      </w:r>
      <w:r w:rsidR="00E17405">
        <w:rPr>
          <w:cs/>
          <w:lang w:val="en-GB"/>
        </w:rPr>
        <w:t>‎</w:t>
      </w:r>
      <w:r w:rsidR="00E17405">
        <w:rPr>
          <w:lang w:val="en-GB"/>
        </w:rPr>
        <w:fldChar w:fldCharType="end"/>
      </w:r>
      <w:r w:rsidR="00C477CC">
        <w:rPr>
          <w:lang w:val="en-GB"/>
        </w:rPr>
        <w:fldChar w:fldCharType="begin"/>
      </w:r>
      <w:r w:rsidR="00C477CC">
        <w:rPr>
          <w:lang w:val="en-GB"/>
        </w:rPr>
        <w:instrText xml:space="preserve"> REF _Ref79129427 \r \h </w:instrText>
      </w:r>
      <w:r w:rsidR="00C477CC">
        <w:rPr>
          <w:lang w:val="en-GB"/>
        </w:rPr>
      </w:r>
      <w:r w:rsidR="00C477CC">
        <w:rPr>
          <w:lang w:val="en-GB"/>
        </w:rPr>
        <w:fldChar w:fldCharType="separate"/>
      </w:r>
      <w:r w:rsidR="00C477CC">
        <w:rPr>
          <w:cs/>
          <w:lang w:val="en-GB"/>
        </w:rPr>
        <w:t>‎</w:t>
      </w:r>
      <w:r w:rsidR="00C477CC">
        <w:rPr>
          <w:lang w:val="en-GB"/>
        </w:rPr>
        <w:t>[2]</w:t>
      </w:r>
      <w:r w:rsidR="00C477CC">
        <w:rPr>
          <w:lang w:val="en-GB"/>
        </w:rPr>
        <w:fldChar w:fldCharType="end"/>
      </w:r>
      <w:r>
        <w:rPr>
          <w:lang w:val="en-GB"/>
        </w:rPr>
        <w:t>:</w:t>
      </w:r>
    </w:p>
    <w:p w14:paraId="4121AEFB" w14:textId="77777777" w:rsidR="00C477CC" w:rsidRPr="00C477CC" w:rsidRDefault="00C477CC" w:rsidP="00C477CC">
      <w:pPr>
        <w:jc w:val="both"/>
        <w:rPr>
          <w:rFonts w:eastAsia="SimSun" w:cs="Times"/>
          <w:i/>
          <w:iCs/>
        </w:rPr>
      </w:pPr>
      <w:r w:rsidRPr="00C477CC">
        <w:rPr>
          <w:rFonts w:cs="Times"/>
          <w:b/>
          <w:bCs/>
          <w:i/>
          <w:iCs/>
          <w:color w:val="000000"/>
          <w:highlight w:val="green"/>
          <w:shd w:val="clear" w:color="auto" w:fill="FFFF00"/>
        </w:rPr>
        <w:t>Agreement</w:t>
      </w:r>
    </w:p>
    <w:p w14:paraId="4442AA66" w14:textId="77777777" w:rsidR="00C477CC" w:rsidRPr="00C477CC" w:rsidRDefault="00C477CC" w:rsidP="00C477CC">
      <w:pPr>
        <w:shd w:val="clear" w:color="auto" w:fill="FFFFFF"/>
        <w:rPr>
          <w:rFonts w:eastAsia="SimSun" w:cs="Times"/>
          <w:i/>
          <w:iCs/>
        </w:rPr>
      </w:pPr>
      <w:r w:rsidRPr="00C477CC">
        <w:rPr>
          <w:rFonts w:cs="Times"/>
          <w:bCs/>
          <w:i/>
          <w:iCs/>
          <w:color w:val="000000"/>
        </w:rPr>
        <w:lastRenderedPageBreak/>
        <w:t>In case of intra-band inter-carrier dual connectivity for both inter-donor and intra-donor scenarios the following are supported:</w:t>
      </w:r>
    </w:p>
    <w:p w14:paraId="4C8FF561" w14:textId="77777777" w:rsidR="00C477CC" w:rsidRPr="00C477CC" w:rsidRDefault="00C477CC" w:rsidP="00C477CC">
      <w:pPr>
        <w:numPr>
          <w:ilvl w:val="0"/>
          <w:numId w:val="18"/>
        </w:numPr>
        <w:shd w:val="clear" w:color="auto" w:fill="FFFFFF"/>
        <w:spacing w:after="0" w:line="240" w:lineRule="auto"/>
        <w:jc w:val="both"/>
        <w:rPr>
          <w:rFonts w:eastAsia="Times New Roman" w:cs="Times"/>
          <w:i/>
          <w:iCs/>
          <w:sz w:val="16"/>
          <w:szCs w:val="20"/>
        </w:rPr>
      </w:pPr>
      <w:r w:rsidRPr="00C477CC">
        <w:rPr>
          <w:rFonts w:eastAsia="Times New Roman" w:cs="Times"/>
          <w:bCs/>
          <w:i/>
          <w:iCs/>
          <w:color w:val="000000"/>
        </w:rPr>
        <w:t>Reusing the Rel-16 CA TDD prioritization rules in case of UL/DL conflict when applicable</w:t>
      </w:r>
      <w:r w:rsidRPr="00C477CC">
        <w:rPr>
          <w:rFonts w:eastAsia="Times New Roman" w:cs="Times"/>
          <w:i/>
          <w:iCs/>
          <w:color w:val="000000"/>
          <w:sz w:val="16"/>
          <w:szCs w:val="20"/>
        </w:rPr>
        <w:t xml:space="preserve"> </w:t>
      </w:r>
    </w:p>
    <w:p w14:paraId="49C55A69" w14:textId="77777777" w:rsidR="00C477CC" w:rsidRPr="00C477CC" w:rsidRDefault="00C477CC" w:rsidP="00C477CC">
      <w:pPr>
        <w:numPr>
          <w:ilvl w:val="1"/>
          <w:numId w:val="18"/>
        </w:numPr>
        <w:shd w:val="clear" w:color="auto" w:fill="FFFFFF"/>
        <w:spacing w:after="0" w:line="240" w:lineRule="auto"/>
        <w:jc w:val="both"/>
        <w:rPr>
          <w:rFonts w:eastAsia="Times New Roman" w:cs="Times"/>
          <w:i/>
          <w:iCs/>
          <w:sz w:val="16"/>
          <w:szCs w:val="20"/>
        </w:rPr>
      </w:pPr>
      <w:r w:rsidRPr="00C477CC">
        <w:rPr>
          <w:rFonts w:eastAsia="Times New Roman" w:cs="Times"/>
          <w:bCs/>
          <w:i/>
          <w:iCs/>
          <w:color w:val="000000"/>
        </w:rPr>
        <w:t>FFS: Whether all prioritization rules apply in case of NR-DC</w:t>
      </w:r>
    </w:p>
    <w:p w14:paraId="332A559F" w14:textId="77777777" w:rsidR="00C477CC" w:rsidRPr="00C477CC" w:rsidRDefault="00C477CC" w:rsidP="00C477CC">
      <w:pPr>
        <w:numPr>
          <w:ilvl w:val="1"/>
          <w:numId w:val="18"/>
        </w:numPr>
        <w:shd w:val="clear" w:color="auto" w:fill="FFFFFF"/>
        <w:spacing w:after="0" w:line="240" w:lineRule="auto"/>
        <w:jc w:val="both"/>
        <w:rPr>
          <w:rFonts w:eastAsia="Times New Roman" w:cs="Times"/>
          <w:i/>
          <w:iCs/>
          <w:sz w:val="16"/>
          <w:szCs w:val="20"/>
        </w:rPr>
      </w:pPr>
      <w:r w:rsidRPr="00C477CC">
        <w:rPr>
          <w:rFonts w:eastAsia="Times New Roman" w:cs="Times"/>
          <w:bCs/>
          <w:i/>
          <w:iCs/>
          <w:color w:val="000000"/>
        </w:rPr>
        <w:t>FFS: Need of new prioritization rules in case of NR-DC</w:t>
      </w:r>
    </w:p>
    <w:p w14:paraId="7A2388AE" w14:textId="77777777" w:rsidR="00C477CC" w:rsidRPr="00C477CC" w:rsidRDefault="00C477CC" w:rsidP="00C477CC">
      <w:pPr>
        <w:numPr>
          <w:ilvl w:val="0"/>
          <w:numId w:val="18"/>
        </w:numPr>
        <w:shd w:val="clear" w:color="auto" w:fill="FFFFFF"/>
        <w:spacing w:after="0" w:line="240" w:lineRule="auto"/>
        <w:jc w:val="both"/>
        <w:rPr>
          <w:rFonts w:eastAsia="Times New Roman" w:cs="Times"/>
          <w:bCs/>
          <w:i/>
          <w:iCs/>
          <w:color w:val="000000"/>
        </w:rPr>
      </w:pPr>
      <w:r w:rsidRPr="00C477CC">
        <w:rPr>
          <w:rFonts w:eastAsia="Times New Roman" w:cs="Times"/>
          <w:bCs/>
          <w:i/>
          <w:iCs/>
          <w:color w:val="000000"/>
        </w:rPr>
        <w:t>Coordinating the IAB-MT’s TDD configurations to avoid conflicts from different parent nodes in case the child IAB-MT does not support simultaneous TX and RX on different carries</w:t>
      </w:r>
    </w:p>
    <w:p w14:paraId="403F65D6" w14:textId="77777777" w:rsidR="00C477CC" w:rsidRPr="00C477CC" w:rsidRDefault="00C477CC" w:rsidP="00C477CC">
      <w:pPr>
        <w:numPr>
          <w:ilvl w:val="1"/>
          <w:numId w:val="18"/>
        </w:numPr>
        <w:shd w:val="clear" w:color="auto" w:fill="FFFFFF"/>
        <w:spacing w:after="0" w:line="240" w:lineRule="auto"/>
        <w:jc w:val="both"/>
        <w:rPr>
          <w:rFonts w:eastAsia="Times New Roman" w:cs="Times"/>
          <w:bCs/>
          <w:i/>
          <w:iCs/>
          <w:color w:val="000000"/>
        </w:rPr>
      </w:pPr>
      <w:r w:rsidRPr="00C477CC">
        <w:rPr>
          <w:rFonts w:eastAsia="Times New Roman" w:cs="Times"/>
          <w:bCs/>
          <w:i/>
          <w:iCs/>
          <w:color w:val="000000"/>
        </w:rPr>
        <w:t>FFS: Coordination for scheduling conflicts involving at least DCI Format 2_0 usage (e.g. usage of flexible symbols)</w:t>
      </w:r>
    </w:p>
    <w:p w14:paraId="5B328880" w14:textId="77777777" w:rsidR="00C477CC" w:rsidRPr="00C477CC" w:rsidRDefault="00C477CC" w:rsidP="00C477CC">
      <w:pPr>
        <w:numPr>
          <w:ilvl w:val="0"/>
          <w:numId w:val="18"/>
        </w:numPr>
        <w:shd w:val="clear" w:color="auto" w:fill="FFFFFF"/>
        <w:spacing w:after="0" w:line="240" w:lineRule="auto"/>
        <w:jc w:val="both"/>
        <w:rPr>
          <w:rFonts w:eastAsia="Times New Roman" w:cs="Times"/>
          <w:bCs/>
          <w:i/>
          <w:iCs/>
          <w:color w:val="000000"/>
        </w:rPr>
      </w:pPr>
      <w:r w:rsidRPr="00C477CC">
        <w:rPr>
          <w:rFonts w:eastAsia="Times New Roman" w:cs="Times"/>
          <w:bCs/>
          <w:i/>
          <w:iCs/>
          <w:color w:val="000000"/>
        </w:rPr>
        <w:t>Exchanging H/S/NA configurations between parent nodes/donors</w:t>
      </w:r>
    </w:p>
    <w:p w14:paraId="74F8C325" w14:textId="77777777" w:rsidR="00453B11" w:rsidRPr="00453B11" w:rsidRDefault="00453B11" w:rsidP="00A51664">
      <w:pPr>
        <w:spacing w:before="120"/>
      </w:pPr>
    </w:p>
    <w:p w14:paraId="36D8ACEC" w14:textId="10FDB0B0" w:rsidR="002D34F5" w:rsidRPr="000A3582" w:rsidRDefault="002D34F5" w:rsidP="002D34F5">
      <w:pPr>
        <w:rPr>
          <w:lang w:val="en-GB"/>
        </w:rPr>
      </w:pPr>
      <w:r w:rsidRPr="000A3582">
        <w:rPr>
          <w:lang w:val="en-GB"/>
        </w:rPr>
        <w:t xml:space="preserve">We address </w:t>
      </w:r>
      <w:r w:rsidR="00045AB2" w:rsidRPr="000A3582">
        <w:rPr>
          <w:lang w:val="en-GB"/>
        </w:rPr>
        <w:t xml:space="preserve">some of </w:t>
      </w:r>
      <w:r w:rsidRPr="000A3582">
        <w:rPr>
          <w:lang w:val="en-GB"/>
        </w:rPr>
        <w:t>the outstanding issues in this section.</w:t>
      </w:r>
    </w:p>
    <w:p w14:paraId="7D23FA0B" w14:textId="211C8BE1" w:rsidR="00575A18" w:rsidRPr="000A3582" w:rsidRDefault="00575A18" w:rsidP="00887C39">
      <w:pPr>
        <w:rPr>
          <w:lang w:val="en-GB"/>
        </w:rPr>
      </w:pPr>
      <w:r w:rsidRPr="000A3582">
        <w:rPr>
          <w:lang w:val="en-GB"/>
        </w:rPr>
        <w:t xml:space="preserve">Consider the following </w:t>
      </w:r>
      <w:r w:rsidR="00E029BD" w:rsidRPr="000A3582">
        <w:rPr>
          <w:lang w:val="en-GB"/>
        </w:rPr>
        <w:t>DC scenario</w:t>
      </w:r>
      <w:r w:rsidRPr="000A3582">
        <w:rPr>
          <w:lang w:val="en-GB"/>
        </w:rPr>
        <w:t>.</w:t>
      </w:r>
    </w:p>
    <w:p w14:paraId="762B4049" w14:textId="10D97715" w:rsidR="00575A18" w:rsidRPr="000A3582" w:rsidRDefault="00E54231" w:rsidP="00575A18">
      <w:pPr>
        <w:pStyle w:val="Figure"/>
      </w:pPr>
      <w:r>
        <w:pict w14:anchorId="5F81C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20pt">
            <v:imagedata r:id="rId13" o:title=""/>
          </v:shape>
        </w:pict>
      </w:r>
    </w:p>
    <w:p w14:paraId="159EECE0" w14:textId="02C73944" w:rsidR="00575A18" w:rsidRPr="000A3582" w:rsidRDefault="00575A18" w:rsidP="00575A18">
      <w:pPr>
        <w:pStyle w:val="Caption"/>
      </w:pPr>
      <w:r w:rsidRPr="000A3582">
        <w:t>. IAB dual connectivity</w:t>
      </w:r>
    </w:p>
    <w:p w14:paraId="64548ABB" w14:textId="57EBF13D" w:rsidR="00DB4489" w:rsidRPr="000A3582" w:rsidRDefault="006F2A5F" w:rsidP="00887C39">
      <w:pPr>
        <w:rPr>
          <w:lang w:val="en-GB"/>
        </w:rPr>
      </w:pPr>
      <w:r w:rsidRPr="000A3582">
        <w:rPr>
          <w:lang w:val="en-GB"/>
        </w:rPr>
        <w:t>In this figure,</w:t>
      </w:r>
      <w:r w:rsidR="00C46095" w:rsidRPr="000A3582">
        <w:rPr>
          <w:lang w:val="en-GB"/>
        </w:rPr>
        <w:t xml:space="preserve"> </w:t>
      </w:r>
      <w:r w:rsidRPr="000A3582">
        <w:rPr>
          <w:lang w:val="en-GB"/>
        </w:rPr>
        <w:t xml:space="preserve">both </w:t>
      </w:r>
      <w:r w:rsidR="00C46095" w:rsidRPr="000A3582">
        <w:rPr>
          <w:lang w:val="en-GB"/>
        </w:rPr>
        <w:t xml:space="preserve">parent IAB node </w:t>
      </w:r>
      <w:r w:rsidRPr="000A3582">
        <w:rPr>
          <w:lang w:val="en-GB"/>
        </w:rPr>
        <w:t>1 (PN1) and parent node 2 (PN2) can</w:t>
      </w:r>
      <w:r w:rsidR="00C46095" w:rsidRPr="000A3582">
        <w:rPr>
          <w:lang w:val="en-GB"/>
        </w:rPr>
        <w:t xml:space="preserve"> be informed of </w:t>
      </w:r>
      <w:r w:rsidRPr="000A3582">
        <w:rPr>
          <w:lang w:val="en-GB"/>
        </w:rPr>
        <w:t xml:space="preserve">H/S/NA </w:t>
      </w:r>
      <w:r w:rsidR="00C46095" w:rsidRPr="000A3582">
        <w:rPr>
          <w:lang w:val="en-GB"/>
        </w:rPr>
        <w:t xml:space="preserve">resource configurations for </w:t>
      </w:r>
      <w:r w:rsidRPr="000A3582">
        <w:rPr>
          <w:lang w:val="en-GB"/>
        </w:rPr>
        <w:t>the IAB node (</w:t>
      </w:r>
      <w:r w:rsidR="00C46095" w:rsidRPr="000A3582">
        <w:rPr>
          <w:lang w:val="en-GB"/>
        </w:rPr>
        <w:t>N</w:t>
      </w:r>
      <w:r w:rsidRPr="000A3582">
        <w:rPr>
          <w:lang w:val="en-GB"/>
        </w:rPr>
        <w:t>)</w:t>
      </w:r>
      <w:r w:rsidR="00C46095" w:rsidRPr="000A3582">
        <w:rPr>
          <w:lang w:val="en-GB"/>
        </w:rPr>
        <w:t xml:space="preserve"> according to IAB Rel-16. However, for example, if PN1 indicates soft resources available for N</w:t>
      </w:r>
      <w:r w:rsidR="00DB4489" w:rsidRPr="000A3582">
        <w:rPr>
          <w:lang w:val="en-GB"/>
        </w:rPr>
        <w:t xml:space="preserve"> through DCI 2_5 signaling</w:t>
      </w:r>
      <w:r w:rsidR="00C46095" w:rsidRPr="000A3582">
        <w:rPr>
          <w:lang w:val="en-GB"/>
        </w:rPr>
        <w:t>, PN2 does not have access to this information</w:t>
      </w:r>
      <w:r w:rsidR="00DB4489" w:rsidRPr="000A3582">
        <w:rPr>
          <w:lang w:val="en-GB"/>
        </w:rPr>
        <w:t>.</w:t>
      </w:r>
    </w:p>
    <w:p w14:paraId="2C2005E6" w14:textId="30E3C8FE" w:rsidR="00D14A3B" w:rsidRPr="000A3582" w:rsidRDefault="00DB4489" w:rsidP="00887C39">
      <w:pPr>
        <w:rPr>
          <w:lang w:val="en-GB"/>
        </w:rPr>
      </w:pPr>
      <w:r w:rsidRPr="000A3582">
        <w:rPr>
          <w:lang w:val="en-GB"/>
        </w:rPr>
        <w:t xml:space="preserve">That </w:t>
      </w:r>
      <w:r w:rsidR="00C46095" w:rsidRPr="000A3582">
        <w:rPr>
          <w:lang w:val="en-GB"/>
        </w:rPr>
        <w:t>raises issues. One issue is that if PN2 intends to avoid interference with transmissions scheduled by N</w:t>
      </w:r>
      <w:r w:rsidRPr="000A3582">
        <w:rPr>
          <w:lang w:val="en-GB"/>
        </w:rPr>
        <w:t xml:space="preserve"> on soft resources</w:t>
      </w:r>
      <w:r w:rsidR="00C46095" w:rsidRPr="000A3582">
        <w:rPr>
          <w:lang w:val="en-GB"/>
        </w:rPr>
        <w:t xml:space="preserve">, it does not </w:t>
      </w:r>
      <w:r w:rsidRPr="000A3582">
        <w:rPr>
          <w:lang w:val="en-GB"/>
        </w:rPr>
        <w:t>have a means to realize whether the soft resources are already available to N.</w:t>
      </w:r>
    </w:p>
    <w:p w14:paraId="2FDD4FEB" w14:textId="20F09D63" w:rsidR="00C46095" w:rsidRPr="000A3582" w:rsidRDefault="00DB4489" w:rsidP="00887C39">
      <w:pPr>
        <w:rPr>
          <w:lang w:val="en-GB"/>
        </w:rPr>
      </w:pPr>
      <w:r w:rsidRPr="000A3582">
        <w:rPr>
          <w:lang w:val="en-GB"/>
        </w:rPr>
        <w:t>Another issue</w:t>
      </w:r>
      <w:r w:rsidR="00D14A3B" w:rsidRPr="000A3582">
        <w:rPr>
          <w:lang w:val="en-GB"/>
        </w:rPr>
        <w:t xml:space="preserve"> that may be raised</w:t>
      </w:r>
      <w:r w:rsidRPr="000A3582">
        <w:rPr>
          <w:lang w:val="en-GB"/>
        </w:rPr>
        <w:t xml:space="preserve"> </w:t>
      </w:r>
      <w:r w:rsidR="00D14A3B" w:rsidRPr="000A3582">
        <w:rPr>
          <w:lang w:val="en-GB"/>
        </w:rPr>
        <w:t xml:space="preserve">in intra-band DC </w:t>
      </w:r>
      <w:r w:rsidR="00CA3F84" w:rsidRPr="000A3582">
        <w:rPr>
          <w:lang w:val="en-GB"/>
        </w:rPr>
        <w:t xml:space="preserve">is </w:t>
      </w:r>
      <w:r w:rsidR="00D14A3B" w:rsidRPr="000A3582">
        <w:rPr>
          <w:lang w:val="en-GB"/>
        </w:rPr>
        <w:t xml:space="preserve">that </w:t>
      </w:r>
      <w:r w:rsidR="00CA3F84" w:rsidRPr="000A3582">
        <w:rPr>
          <w:lang w:val="en-GB"/>
        </w:rPr>
        <w:t xml:space="preserve">during </w:t>
      </w:r>
      <w:r w:rsidRPr="000A3582">
        <w:rPr>
          <w:lang w:val="en-GB"/>
        </w:rPr>
        <w:t>transition times</w:t>
      </w:r>
      <w:r w:rsidR="00D14A3B" w:rsidRPr="000A3582">
        <w:rPr>
          <w:lang w:val="en-GB"/>
        </w:rPr>
        <w:t>,</w:t>
      </w:r>
      <w:r w:rsidRPr="000A3582">
        <w:rPr>
          <w:lang w:val="en-GB"/>
        </w:rPr>
        <w:t xml:space="preserve"> when the link between N and PN1 is not available</w:t>
      </w:r>
      <w:r w:rsidR="00D14A3B" w:rsidRPr="000A3582">
        <w:rPr>
          <w:lang w:val="en-GB"/>
        </w:rPr>
        <w:t>,</w:t>
      </w:r>
      <w:r w:rsidRPr="000A3582">
        <w:rPr>
          <w:lang w:val="en-GB"/>
        </w:rPr>
        <w:t xml:space="preserve"> PN2 should take control of resource availability for N and other child nodes without knowing which soft resources are already indicated available to N.</w:t>
      </w:r>
    </w:p>
    <w:p w14:paraId="523030DA" w14:textId="47E94AE2" w:rsidR="00DB4489" w:rsidRPr="000A3582" w:rsidRDefault="00DB4489" w:rsidP="00887C39">
      <w:pPr>
        <w:rPr>
          <w:lang w:val="en-GB"/>
        </w:rPr>
      </w:pPr>
      <w:r w:rsidRPr="000A3582">
        <w:rPr>
          <w:lang w:val="en-GB"/>
        </w:rPr>
        <w:t xml:space="preserve">In order to address these issues, signalling can be introduced between parent nodes, or from an IAB node to its parent node, that informs the parent node of the current status of </w:t>
      </w:r>
      <w:r w:rsidR="0094468A" w:rsidRPr="000A3582">
        <w:rPr>
          <w:lang w:val="en-GB"/>
        </w:rPr>
        <w:t xml:space="preserve">availability indication </w:t>
      </w:r>
      <w:r w:rsidRPr="000A3582">
        <w:rPr>
          <w:lang w:val="en-GB"/>
        </w:rPr>
        <w:t xml:space="preserve">for soft resources </w:t>
      </w:r>
      <w:r w:rsidR="00C4248E" w:rsidRPr="000A3582">
        <w:rPr>
          <w:lang w:val="en-GB"/>
        </w:rPr>
        <w:t>of</w:t>
      </w:r>
      <w:r w:rsidRPr="000A3582">
        <w:rPr>
          <w:lang w:val="en-GB"/>
        </w:rPr>
        <w:t xml:space="preserve"> a </w:t>
      </w:r>
      <w:r w:rsidR="00D459DE" w:rsidRPr="000A3582">
        <w:rPr>
          <w:lang w:val="en-GB"/>
        </w:rPr>
        <w:t>dually connected</w:t>
      </w:r>
      <w:r w:rsidRPr="000A3582">
        <w:rPr>
          <w:lang w:val="en-GB"/>
        </w:rPr>
        <w:t xml:space="preserve"> IAB node.</w:t>
      </w:r>
    </w:p>
    <w:p w14:paraId="4A068B15" w14:textId="5550DD52" w:rsidR="00D94456" w:rsidRPr="000A3582" w:rsidRDefault="009B44C6" w:rsidP="00B35CD0">
      <w:pPr>
        <w:pStyle w:val="Proposal"/>
      </w:pPr>
      <w:bookmarkStart w:id="263" w:name="_Toc54311507"/>
      <w:bookmarkStart w:id="264" w:name="_Toc54311607"/>
      <w:bookmarkStart w:id="265" w:name="_Toc54311802"/>
      <w:bookmarkStart w:id="266" w:name="_Toc54332055"/>
      <w:bookmarkStart w:id="267" w:name="_Toc54332733"/>
      <w:bookmarkStart w:id="268" w:name="_Toc54332777"/>
      <w:bookmarkStart w:id="269" w:name="_Toc54332819"/>
      <w:bookmarkStart w:id="270" w:name="_Toc54336719"/>
      <w:bookmarkStart w:id="271" w:name="_Toc54336880"/>
      <w:bookmarkStart w:id="272" w:name="_Toc54341457"/>
      <w:bookmarkStart w:id="273" w:name="_Toc54341515"/>
      <w:bookmarkStart w:id="274" w:name="_Toc54345804"/>
      <w:bookmarkStart w:id="275" w:name="_Toc54393521"/>
      <w:bookmarkStart w:id="276" w:name="_Toc54393582"/>
      <w:bookmarkStart w:id="277" w:name="_Toc54393721"/>
      <w:bookmarkStart w:id="278" w:name="_Toc61520647"/>
      <w:bookmarkStart w:id="279" w:name="_Toc61536513"/>
      <w:bookmarkStart w:id="280" w:name="_Toc61541293"/>
      <w:bookmarkStart w:id="281" w:name="_Toc61541345"/>
      <w:bookmarkStart w:id="282" w:name="_Toc61544636"/>
      <w:bookmarkStart w:id="283" w:name="_Toc61547549"/>
      <w:bookmarkStart w:id="284" w:name="_Toc61559093"/>
      <w:bookmarkStart w:id="285" w:name="_Toc61559330"/>
      <w:bookmarkStart w:id="286" w:name="_Toc61854476"/>
      <w:bookmarkStart w:id="287" w:name="_Toc61858383"/>
      <w:bookmarkStart w:id="288" w:name="_Toc61858817"/>
      <w:bookmarkStart w:id="289" w:name="_Toc61859148"/>
      <w:bookmarkStart w:id="290" w:name="_Toc61895542"/>
      <w:bookmarkStart w:id="291" w:name="_Toc61895644"/>
      <w:bookmarkStart w:id="292" w:name="_Toc68553155"/>
      <w:bookmarkStart w:id="293" w:name="_Toc68604766"/>
      <w:bookmarkStart w:id="294" w:name="_Toc68608879"/>
      <w:bookmarkStart w:id="295" w:name="_Toc68611512"/>
      <w:bookmarkStart w:id="296" w:name="_Toc68621477"/>
      <w:bookmarkStart w:id="297" w:name="_Toc68645548"/>
      <w:bookmarkStart w:id="298" w:name="_Toc71627803"/>
      <w:bookmarkStart w:id="299" w:name="_Toc71627853"/>
      <w:bookmarkStart w:id="300" w:name="_Toc71631399"/>
      <w:bookmarkStart w:id="301" w:name="_Toc71634739"/>
      <w:bookmarkStart w:id="302" w:name="_Toc71639084"/>
      <w:bookmarkStart w:id="303" w:name="_Toc71642083"/>
      <w:bookmarkStart w:id="304" w:name="_Toc71648836"/>
      <w:bookmarkStart w:id="305" w:name="_Toc71649586"/>
      <w:bookmarkStart w:id="306" w:name="_Toc71665431"/>
      <w:bookmarkStart w:id="307" w:name="_Toc71665680"/>
      <w:bookmarkStart w:id="308" w:name="_Toc71666699"/>
      <w:bookmarkStart w:id="309" w:name="_Toc79157028"/>
      <w:bookmarkStart w:id="310" w:name="_Toc79157220"/>
      <w:bookmarkStart w:id="311" w:name="_Toc79159810"/>
      <w:bookmarkStart w:id="312" w:name="_Toc79177831"/>
      <w:r w:rsidRPr="000A3582">
        <w:t xml:space="preserve">Support </w:t>
      </w:r>
      <w:r w:rsidR="00A90CE4" w:rsidRPr="000A3582">
        <w:t xml:space="preserve">signaling </w:t>
      </w:r>
      <w:r w:rsidRPr="000A3582">
        <w:t xml:space="preserve">from an </w:t>
      </w:r>
      <w:r w:rsidR="00A90CE4" w:rsidRPr="000A3582">
        <w:t xml:space="preserve">IAB node in the DC mode to </w:t>
      </w:r>
      <w:r w:rsidR="00A973C7" w:rsidRPr="000A3582">
        <w:t xml:space="preserve">its </w:t>
      </w:r>
      <w:r w:rsidR="00A90CE4" w:rsidRPr="000A3582">
        <w:t xml:space="preserve">parent node </w:t>
      </w:r>
      <w:r w:rsidR="00D14A3B" w:rsidRPr="000A3582">
        <w:t>for</w:t>
      </w:r>
      <w:r w:rsidRPr="000A3582">
        <w:t xml:space="preserve"> inform</w:t>
      </w:r>
      <w:r w:rsidR="00D14A3B" w:rsidRPr="000A3582">
        <w:t>ing</w:t>
      </w:r>
      <w:r w:rsidRPr="000A3582">
        <w:t xml:space="preserve"> the parent node </w:t>
      </w:r>
      <w:r w:rsidR="00A90CE4" w:rsidRPr="000A3582">
        <w:t>of the status of availability of soft resources.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00CB6206" w:rsidRPr="000A3582">
        <w:t xml:space="preserve"> Further discuss specification of mechanisms to handle availability indication collisions by two parent nodes</w:t>
      </w:r>
      <w:r w:rsidR="00B25650" w:rsidRPr="000A3582">
        <w:t xml:space="preserve"> in the DC mode</w:t>
      </w:r>
      <w:r w:rsidR="00CB6206" w:rsidRPr="000A3582">
        <w: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AAEC2A0" w14:textId="2B37D383" w:rsidR="007166A0" w:rsidRPr="000A3582" w:rsidRDefault="00494A84" w:rsidP="007166A0">
      <w:pPr>
        <w:rPr>
          <w:rFonts w:asciiTheme="majorBidi" w:hAnsiTheme="majorBidi" w:cstheme="majorBidi"/>
        </w:rPr>
      </w:pPr>
      <w:r w:rsidRPr="000A3582">
        <w:t xml:space="preserve">Furthermore, </w:t>
      </w:r>
      <w:r w:rsidR="000A3582">
        <w:t>it was agreed to reuse</w:t>
      </w:r>
      <w:r w:rsidRPr="000A3582">
        <w:t xml:space="preserve"> the Rel-16 CA TDD conflict resolution framework for synchronous intra-band NR-DC operation.</w:t>
      </w:r>
      <w:r w:rsidR="00E837C2" w:rsidRPr="000A3582">
        <w:t xml:space="preserve"> The following table lists solutions agreed and adopted for a number of DL-UL conflict scenarios</w:t>
      </w:r>
      <w:r w:rsidR="004E58DF">
        <w:t xml:space="preserve"> </w:t>
      </w:r>
      <w:r w:rsidR="004E58DF">
        <w:fldChar w:fldCharType="begin"/>
      </w:r>
      <w:r w:rsidR="004E58DF">
        <w:instrText xml:space="preserve"> REF _Ref71645600 \r \h </w:instrText>
      </w:r>
      <w:r w:rsidR="004E58DF">
        <w:fldChar w:fldCharType="separate"/>
      </w:r>
      <w:r w:rsidR="004E58DF">
        <w:rPr>
          <w:cs/>
        </w:rPr>
        <w:t>‎</w:t>
      </w:r>
      <w:r w:rsidR="004E58DF">
        <w:t>[3]</w:t>
      </w:r>
      <w:r w:rsidR="004E58DF">
        <w:fldChar w:fldCharType="end"/>
      </w:r>
      <w:r w:rsidR="00E837C2" w:rsidRPr="000A3582">
        <w:t>.</w:t>
      </w:r>
    </w:p>
    <w:tbl>
      <w:tblPr>
        <w:tblW w:w="9650" w:type="dxa"/>
        <w:tblInd w:w="-10" w:type="dxa"/>
        <w:tblCellMar>
          <w:left w:w="0" w:type="dxa"/>
          <w:right w:w="0" w:type="dxa"/>
        </w:tblCellMar>
        <w:tblLook w:val="04A0" w:firstRow="1" w:lastRow="0" w:firstColumn="1" w:lastColumn="0" w:noHBand="0" w:noVBand="1"/>
      </w:tblPr>
      <w:tblGrid>
        <w:gridCol w:w="497"/>
        <w:gridCol w:w="1323"/>
        <w:gridCol w:w="1440"/>
        <w:gridCol w:w="3060"/>
        <w:gridCol w:w="3330"/>
      </w:tblGrid>
      <w:tr w:rsidR="007166A0" w:rsidRPr="000A3582" w14:paraId="6C35FBB4" w14:textId="77777777" w:rsidTr="007166A0">
        <w:trPr>
          <w:trHeight w:val="20"/>
        </w:trPr>
        <w:tc>
          <w:tcPr>
            <w:tcW w:w="497" w:type="dxa"/>
            <w:tcBorders>
              <w:top w:val="single" w:sz="8" w:space="0" w:color="auto"/>
              <w:left w:val="single" w:sz="8" w:space="0" w:color="auto"/>
              <w:bottom w:val="single" w:sz="8" w:space="0" w:color="auto"/>
              <w:right w:val="single" w:sz="8" w:space="0" w:color="auto"/>
            </w:tcBorders>
            <w:hideMark/>
          </w:tcPr>
          <w:p w14:paraId="0D6D3D2F" w14:textId="77777777" w:rsidR="007166A0" w:rsidRPr="000A3582" w:rsidRDefault="007166A0" w:rsidP="007324EA">
            <w:pPr>
              <w:pStyle w:val="TAH"/>
              <w:rPr>
                <w:rFonts w:asciiTheme="minorHAnsi" w:hAnsiTheme="minorHAnsi" w:cstheme="minorHAnsi"/>
                <w:b w:val="0"/>
                <w:sz w:val="20"/>
                <w:szCs w:val="20"/>
              </w:rPr>
            </w:pPr>
            <w:r w:rsidRPr="000A3582">
              <w:rPr>
                <w:rFonts w:asciiTheme="minorHAnsi" w:hAnsiTheme="minorHAnsi" w:cstheme="minorHAnsi"/>
                <w:b w:val="0"/>
                <w:sz w:val="20"/>
                <w:szCs w:val="20"/>
              </w:rPr>
              <w:lastRenderedPageBreak/>
              <w:t>No</w:t>
            </w:r>
          </w:p>
        </w:tc>
        <w:tc>
          <w:tcPr>
            <w:tcW w:w="132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2D0EB5F" w14:textId="77777777" w:rsidR="007166A0" w:rsidRPr="000A3582" w:rsidRDefault="007166A0" w:rsidP="007324EA">
            <w:pPr>
              <w:pStyle w:val="TAH"/>
              <w:rPr>
                <w:rFonts w:asciiTheme="minorHAnsi" w:hAnsiTheme="minorHAnsi" w:cstheme="minorHAnsi"/>
                <w:b w:val="0"/>
                <w:sz w:val="20"/>
                <w:szCs w:val="20"/>
              </w:rPr>
            </w:pPr>
            <w:r w:rsidRPr="000A3582">
              <w:rPr>
                <w:rFonts w:asciiTheme="minorHAnsi" w:hAnsiTheme="minorHAnsi" w:cstheme="minorHAnsi"/>
                <w:b w:val="0"/>
                <w:sz w:val="20"/>
                <w:szCs w:val="20"/>
              </w:rPr>
              <w:t>Ref cell</w:t>
            </w:r>
          </w:p>
        </w:tc>
        <w:tc>
          <w:tcPr>
            <w:tcW w:w="14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3E2774D" w14:textId="77777777" w:rsidR="007166A0" w:rsidRPr="000A3582" w:rsidRDefault="007166A0" w:rsidP="007324EA">
            <w:pPr>
              <w:pStyle w:val="TAH"/>
              <w:rPr>
                <w:rFonts w:asciiTheme="minorHAnsi" w:hAnsiTheme="minorHAnsi" w:cstheme="minorHAnsi"/>
                <w:b w:val="0"/>
                <w:sz w:val="20"/>
                <w:szCs w:val="20"/>
              </w:rPr>
            </w:pPr>
            <w:r w:rsidRPr="000A3582">
              <w:rPr>
                <w:rFonts w:asciiTheme="minorHAnsi" w:hAnsiTheme="minorHAnsi" w:cstheme="minorHAnsi"/>
                <w:b w:val="0"/>
                <w:sz w:val="20"/>
                <w:szCs w:val="20"/>
              </w:rPr>
              <w:t>Other cell</w:t>
            </w:r>
          </w:p>
        </w:tc>
        <w:tc>
          <w:tcPr>
            <w:tcW w:w="30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2078C00" w14:textId="77777777" w:rsidR="007166A0" w:rsidRPr="000A3582" w:rsidRDefault="007166A0" w:rsidP="007324EA">
            <w:pPr>
              <w:pStyle w:val="TAH"/>
              <w:rPr>
                <w:rFonts w:asciiTheme="minorHAnsi" w:hAnsiTheme="minorHAnsi" w:cstheme="minorHAnsi"/>
                <w:b w:val="0"/>
                <w:sz w:val="20"/>
                <w:szCs w:val="20"/>
              </w:rPr>
            </w:pPr>
            <w:r w:rsidRPr="000A3582">
              <w:rPr>
                <w:rFonts w:asciiTheme="minorHAnsi" w:hAnsiTheme="minorHAnsi" w:cstheme="minorHAnsi"/>
                <w:b w:val="0"/>
                <w:sz w:val="20"/>
                <w:szCs w:val="20"/>
              </w:rPr>
              <w:t>UE behavior</w:t>
            </w:r>
          </w:p>
        </w:tc>
        <w:tc>
          <w:tcPr>
            <w:tcW w:w="33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692E3B2" w14:textId="77777777" w:rsidR="007166A0" w:rsidRPr="000A3582" w:rsidRDefault="007166A0" w:rsidP="007324EA">
            <w:pPr>
              <w:pStyle w:val="TAH"/>
              <w:rPr>
                <w:rFonts w:asciiTheme="minorHAnsi" w:hAnsiTheme="minorHAnsi" w:cstheme="minorHAnsi"/>
                <w:b w:val="0"/>
                <w:sz w:val="20"/>
                <w:szCs w:val="20"/>
              </w:rPr>
            </w:pPr>
            <w:r w:rsidRPr="000A3582">
              <w:rPr>
                <w:rFonts w:asciiTheme="minorHAnsi" w:hAnsiTheme="minorHAnsi" w:cstheme="minorHAnsi"/>
                <w:b w:val="0"/>
                <w:sz w:val="20"/>
                <w:szCs w:val="20"/>
              </w:rPr>
              <w:t>Note</w:t>
            </w:r>
          </w:p>
        </w:tc>
      </w:tr>
      <w:tr w:rsidR="007166A0" w:rsidRPr="000A3582" w14:paraId="23C7CDA5"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6E0612A3" w14:textId="77777777" w:rsidR="007166A0" w:rsidRPr="000A3582" w:rsidRDefault="007166A0" w:rsidP="007324EA">
            <w:pPr>
              <w:pStyle w:val="TAC"/>
              <w:rPr>
                <w:rFonts w:asciiTheme="minorHAnsi" w:hAnsiTheme="minorHAnsi" w:cstheme="minorHAnsi"/>
                <w:sz w:val="20"/>
                <w:szCs w:val="20"/>
              </w:rPr>
            </w:pPr>
            <w:r w:rsidRPr="000A3582">
              <w:rPr>
                <w:rFonts w:asciiTheme="minorHAnsi" w:hAnsiTheme="minorHAnsi" w:cstheme="minorHAnsi"/>
                <w:sz w:val="20"/>
                <w:szCs w:val="20"/>
              </w:rPr>
              <w:t>1</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05E6EE"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Semi SFI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793212"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Semi SFI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82AEE2"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Allowed to drop U for inter-band</w:t>
            </w:r>
          </w:p>
          <w:p w14:paraId="6B7C05D7"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Error case in intra-band</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F8FF1F"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Dropping U on other cell</w:t>
            </w:r>
          </w:p>
          <w:p w14:paraId="5E5FFF08"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Error case in intra-band</w:t>
            </w:r>
          </w:p>
        </w:tc>
      </w:tr>
      <w:tr w:rsidR="007166A0" w:rsidRPr="000A3582" w14:paraId="40B69F45"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4328F075" w14:textId="77777777" w:rsidR="007166A0" w:rsidRPr="000A3582" w:rsidRDefault="007166A0" w:rsidP="007324EA">
            <w:pPr>
              <w:pStyle w:val="TAC"/>
              <w:rPr>
                <w:rFonts w:asciiTheme="minorHAnsi" w:hAnsiTheme="minorHAnsi" w:cstheme="minorHAnsi"/>
                <w:sz w:val="20"/>
                <w:szCs w:val="20"/>
              </w:rPr>
            </w:pPr>
            <w:r w:rsidRPr="000A3582">
              <w:rPr>
                <w:rFonts w:asciiTheme="minorHAnsi" w:hAnsiTheme="minorHAnsi" w:cstheme="minorHAnsi"/>
                <w:sz w:val="20"/>
                <w:szCs w:val="20"/>
              </w:rPr>
              <w:t>2</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9D9737"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Semi SFI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BEE33B"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RRC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204EDC"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 xml:space="preserve">Allowed to drop U </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7E34A5"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Dropping on other cell</w:t>
            </w:r>
          </w:p>
        </w:tc>
      </w:tr>
      <w:tr w:rsidR="007166A0" w:rsidRPr="000A3582" w14:paraId="5F4D3398"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3908E153" w14:textId="77777777" w:rsidR="007166A0" w:rsidRPr="000A3582" w:rsidRDefault="007166A0" w:rsidP="007324EA">
            <w:pPr>
              <w:pStyle w:val="TAC"/>
              <w:rPr>
                <w:rFonts w:asciiTheme="minorHAnsi" w:hAnsiTheme="minorHAnsi" w:cstheme="minorHAnsi"/>
                <w:sz w:val="20"/>
                <w:szCs w:val="20"/>
              </w:rPr>
            </w:pPr>
            <w:r w:rsidRPr="000A3582">
              <w:rPr>
                <w:rFonts w:asciiTheme="minorHAnsi" w:hAnsiTheme="minorHAnsi" w:cstheme="minorHAnsi"/>
                <w:sz w:val="20"/>
                <w:szCs w:val="20"/>
              </w:rPr>
              <w:t>3</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B8FD07"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Semi SFI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CFC125"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Dynamic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318CD9" w14:textId="5AD9ABE9"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Allowed to drop D for inter-band</w:t>
            </w:r>
          </w:p>
          <w:p w14:paraId="0FF52399"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Error case in intra-band</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6351FD"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Overriding semi SFI D to F on reference cell for the UE</w:t>
            </w:r>
          </w:p>
        </w:tc>
      </w:tr>
      <w:tr w:rsidR="007166A0" w:rsidRPr="000A3582" w14:paraId="1510F280"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41A4183C" w14:textId="77777777" w:rsidR="007166A0" w:rsidRPr="000A3582" w:rsidRDefault="007166A0" w:rsidP="007324EA">
            <w:pPr>
              <w:pStyle w:val="TAC"/>
              <w:rPr>
                <w:rFonts w:asciiTheme="minorHAnsi" w:hAnsiTheme="minorHAnsi" w:cstheme="minorHAnsi"/>
                <w:sz w:val="20"/>
                <w:szCs w:val="20"/>
              </w:rPr>
            </w:pPr>
            <w:r w:rsidRPr="000A3582">
              <w:rPr>
                <w:rFonts w:asciiTheme="minorHAnsi" w:hAnsiTheme="minorHAnsi" w:cstheme="minorHAnsi"/>
                <w:sz w:val="20"/>
                <w:szCs w:val="20"/>
              </w:rPr>
              <w:t>4</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42897E"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Semi SFI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A17C7E"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Semi SFI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31BFD2"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Allowed to drop D for inter-band</w:t>
            </w:r>
          </w:p>
          <w:p w14:paraId="5B98B128"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Error case in intra-band</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D12B85"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Dropping D on other cell</w:t>
            </w:r>
          </w:p>
          <w:p w14:paraId="727F3493"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Error case in intra-band</w:t>
            </w:r>
          </w:p>
        </w:tc>
      </w:tr>
      <w:tr w:rsidR="007166A0" w:rsidRPr="000A3582" w14:paraId="694A4B7F"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4633DF28" w14:textId="77777777" w:rsidR="007166A0" w:rsidRPr="000A3582" w:rsidRDefault="007166A0" w:rsidP="007324EA">
            <w:pPr>
              <w:pStyle w:val="TAC"/>
              <w:rPr>
                <w:rFonts w:asciiTheme="minorHAnsi" w:hAnsiTheme="minorHAnsi" w:cstheme="minorHAnsi"/>
                <w:sz w:val="20"/>
                <w:szCs w:val="20"/>
              </w:rPr>
            </w:pPr>
            <w:r w:rsidRPr="000A3582">
              <w:rPr>
                <w:rFonts w:asciiTheme="minorHAnsi" w:hAnsiTheme="minorHAnsi" w:cstheme="minorHAnsi"/>
                <w:sz w:val="20"/>
                <w:szCs w:val="20"/>
              </w:rPr>
              <w:t>5</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04E662"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Semi SFI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072A2D"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RRC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E9BB64"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 xml:space="preserve">Allowed to drop D </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C6CA43"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Dropping on other cell</w:t>
            </w:r>
          </w:p>
        </w:tc>
      </w:tr>
      <w:tr w:rsidR="007166A0" w:rsidRPr="000A3582" w14:paraId="60ADB297" w14:textId="77777777" w:rsidTr="007166A0">
        <w:trPr>
          <w:trHeight w:val="20"/>
        </w:trPr>
        <w:tc>
          <w:tcPr>
            <w:tcW w:w="497" w:type="dxa"/>
            <w:tcBorders>
              <w:top w:val="nil"/>
              <w:left w:val="single" w:sz="8" w:space="0" w:color="auto"/>
              <w:bottom w:val="single" w:sz="8" w:space="0" w:color="auto"/>
              <w:right w:val="single" w:sz="8" w:space="0" w:color="auto"/>
            </w:tcBorders>
            <w:vAlign w:val="center"/>
          </w:tcPr>
          <w:p w14:paraId="244A64C3" w14:textId="02A92F43" w:rsidR="007166A0" w:rsidRPr="000A3582" w:rsidRDefault="007166A0" w:rsidP="007324EA">
            <w:pPr>
              <w:pStyle w:val="TAC"/>
              <w:rPr>
                <w:rFonts w:asciiTheme="minorHAnsi" w:hAnsiTheme="minorHAnsi" w:cstheme="minorHAnsi"/>
                <w:sz w:val="20"/>
                <w:szCs w:val="20"/>
              </w:rPr>
            </w:pPr>
            <w:r w:rsidRPr="000A3582">
              <w:rPr>
                <w:rFonts w:asciiTheme="minorHAnsi" w:hAnsiTheme="minorHAnsi" w:cstheme="minorHAnsi"/>
                <w:sz w:val="20"/>
                <w:szCs w:val="20"/>
              </w:rPr>
              <w:t>6</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5085F56" w14:textId="6450193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Semi SFI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D3E3F8F" w14:textId="66BAD086"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Dynamic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8191835" w14:textId="51EE06E6"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Error</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5C27921" w14:textId="492887AB"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Error</w:t>
            </w:r>
          </w:p>
        </w:tc>
      </w:tr>
      <w:tr w:rsidR="007166A0" w:rsidRPr="000A3582" w14:paraId="4211F7A4"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1FB25CCD" w14:textId="77777777" w:rsidR="007166A0" w:rsidRPr="000A3582" w:rsidRDefault="007166A0" w:rsidP="007324EA">
            <w:pPr>
              <w:pStyle w:val="TAC"/>
              <w:rPr>
                <w:rFonts w:asciiTheme="minorHAnsi" w:hAnsiTheme="minorHAnsi" w:cstheme="minorHAnsi"/>
                <w:sz w:val="20"/>
                <w:szCs w:val="20"/>
              </w:rPr>
            </w:pPr>
            <w:r w:rsidRPr="000A3582">
              <w:rPr>
                <w:rFonts w:asciiTheme="minorHAnsi" w:hAnsiTheme="minorHAnsi" w:cstheme="minorHAnsi"/>
                <w:sz w:val="20"/>
                <w:szCs w:val="20"/>
              </w:rPr>
              <w:t>7</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9EDBEC"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RRC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67B019"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RRC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DB6DE0"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 xml:space="preserve">Allowed to drop U </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12E617"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Dropping on other cell</w:t>
            </w:r>
          </w:p>
        </w:tc>
      </w:tr>
      <w:tr w:rsidR="007166A0" w:rsidRPr="000A3582" w14:paraId="35F55DB9"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46562F03" w14:textId="77777777" w:rsidR="007166A0" w:rsidRPr="000A3582" w:rsidRDefault="007166A0" w:rsidP="007324EA">
            <w:pPr>
              <w:pStyle w:val="TAC"/>
              <w:rPr>
                <w:rFonts w:asciiTheme="minorHAnsi" w:hAnsiTheme="minorHAnsi" w:cstheme="minorHAnsi"/>
                <w:sz w:val="20"/>
                <w:szCs w:val="20"/>
              </w:rPr>
            </w:pPr>
            <w:r w:rsidRPr="000A3582">
              <w:rPr>
                <w:rFonts w:asciiTheme="minorHAnsi" w:hAnsiTheme="minorHAnsi" w:cstheme="minorHAnsi"/>
                <w:sz w:val="20"/>
                <w:szCs w:val="20"/>
              </w:rPr>
              <w:t>8</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565729"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RRC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5AAE43"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RRC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DC2F9B"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Allowed to drop D</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1B4365"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Dropping on other cell</w:t>
            </w:r>
          </w:p>
        </w:tc>
      </w:tr>
      <w:tr w:rsidR="007166A0" w:rsidRPr="000A3582" w14:paraId="6D54C588"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2119487E" w14:textId="77777777" w:rsidR="007166A0" w:rsidRPr="000A3582" w:rsidRDefault="007166A0" w:rsidP="007324EA">
            <w:pPr>
              <w:pStyle w:val="TAC"/>
              <w:rPr>
                <w:rFonts w:asciiTheme="minorHAnsi" w:hAnsiTheme="minorHAnsi" w:cstheme="minorHAnsi"/>
                <w:sz w:val="20"/>
                <w:szCs w:val="20"/>
              </w:rPr>
            </w:pPr>
            <w:r w:rsidRPr="000A3582">
              <w:rPr>
                <w:rFonts w:asciiTheme="minorHAnsi" w:hAnsiTheme="minorHAnsi" w:cstheme="minorHAnsi"/>
                <w:sz w:val="20"/>
                <w:szCs w:val="20"/>
              </w:rPr>
              <w:t>9</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FECBC9"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Dynamic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DCB8D6"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Dynamic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ABA2E9"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Error</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95B530"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Error</w:t>
            </w:r>
          </w:p>
        </w:tc>
      </w:tr>
      <w:tr w:rsidR="007166A0" w:rsidRPr="000A3582" w14:paraId="2EAC1D48"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682ADD1A" w14:textId="77777777" w:rsidR="007166A0" w:rsidRPr="000A3582" w:rsidRDefault="007166A0" w:rsidP="007324EA">
            <w:pPr>
              <w:pStyle w:val="TAC"/>
              <w:rPr>
                <w:rFonts w:asciiTheme="minorHAnsi" w:hAnsiTheme="minorHAnsi" w:cstheme="minorHAnsi"/>
                <w:sz w:val="20"/>
                <w:szCs w:val="20"/>
              </w:rPr>
            </w:pPr>
            <w:r w:rsidRPr="000A3582">
              <w:rPr>
                <w:rFonts w:asciiTheme="minorHAnsi" w:hAnsiTheme="minorHAnsi" w:cstheme="minorHAnsi"/>
                <w:sz w:val="20"/>
                <w:szCs w:val="20"/>
              </w:rPr>
              <w:t>10</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712176"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Dynamic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1D7EBD"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Dynamic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93EE75"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Error</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2FB128" w14:textId="77777777" w:rsidR="007166A0" w:rsidRPr="000A3582" w:rsidRDefault="007166A0" w:rsidP="007324EA">
            <w:pPr>
              <w:pStyle w:val="TAL"/>
              <w:rPr>
                <w:rFonts w:asciiTheme="minorHAnsi" w:hAnsiTheme="minorHAnsi" w:cstheme="minorHAnsi"/>
                <w:sz w:val="20"/>
                <w:szCs w:val="20"/>
              </w:rPr>
            </w:pPr>
            <w:r w:rsidRPr="000A3582">
              <w:rPr>
                <w:rFonts w:asciiTheme="minorHAnsi" w:hAnsiTheme="minorHAnsi" w:cstheme="minorHAnsi"/>
                <w:sz w:val="20"/>
                <w:szCs w:val="20"/>
              </w:rPr>
              <w:t>Error</w:t>
            </w:r>
          </w:p>
        </w:tc>
      </w:tr>
      <w:tr w:rsidR="007166A0" w:rsidRPr="000A3582" w14:paraId="0811D5C5"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799939CB" w14:textId="77777777" w:rsidR="007166A0" w:rsidRPr="000A3582" w:rsidRDefault="007166A0" w:rsidP="007166A0">
            <w:pPr>
              <w:pStyle w:val="TAC"/>
              <w:rPr>
                <w:rFonts w:asciiTheme="minorHAnsi" w:hAnsiTheme="minorHAnsi" w:cstheme="minorHAnsi"/>
                <w:sz w:val="20"/>
                <w:szCs w:val="20"/>
              </w:rPr>
            </w:pPr>
            <w:r w:rsidRPr="000A3582">
              <w:rPr>
                <w:rFonts w:asciiTheme="minorHAnsi" w:hAnsiTheme="minorHAnsi" w:cstheme="minorHAnsi"/>
                <w:sz w:val="20"/>
                <w:szCs w:val="20"/>
              </w:rPr>
              <w:t>11</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4B2453" w14:textId="77777777" w:rsidR="007166A0" w:rsidRPr="000A3582" w:rsidRDefault="007166A0" w:rsidP="007166A0">
            <w:pPr>
              <w:pStyle w:val="TAL"/>
              <w:rPr>
                <w:rFonts w:asciiTheme="minorHAnsi" w:hAnsiTheme="minorHAnsi" w:cstheme="minorHAnsi"/>
                <w:sz w:val="20"/>
                <w:szCs w:val="20"/>
              </w:rPr>
            </w:pPr>
            <w:r w:rsidRPr="000A3582">
              <w:rPr>
                <w:rFonts w:asciiTheme="minorHAnsi" w:hAnsiTheme="minorHAnsi" w:cstheme="minorHAnsi"/>
                <w:sz w:val="20"/>
                <w:szCs w:val="20"/>
              </w:rPr>
              <w:t>RRC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BD3622" w14:textId="77777777" w:rsidR="007166A0" w:rsidRPr="000A3582" w:rsidRDefault="007166A0" w:rsidP="007166A0">
            <w:pPr>
              <w:pStyle w:val="TAL"/>
              <w:rPr>
                <w:rFonts w:asciiTheme="minorHAnsi" w:hAnsiTheme="minorHAnsi" w:cstheme="minorHAnsi"/>
                <w:sz w:val="20"/>
                <w:szCs w:val="20"/>
              </w:rPr>
            </w:pPr>
            <w:r w:rsidRPr="000A3582">
              <w:rPr>
                <w:rFonts w:asciiTheme="minorHAnsi" w:hAnsiTheme="minorHAnsi" w:cstheme="minorHAnsi"/>
                <w:sz w:val="20"/>
                <w:szCs w:val="20"/>
              </w:rPr>
              <w:t>Semi SFI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D26FBE" w14:textId="77777777" w:rsidR="007166A0" w:rsidRPr="000A3582" w:rsidRDefault="007166A0" w:rsidP="007166A0">
            <w:pPr>
              <w:pStyle w:val="TAL"/>
              <w:rPr>
                <w:rFonts w:asciiTheme="minorHAnsi" w:hAnsiTheme="minorHAnsi" w:cstheme="minorHAnsi"/>
                <w:sz w:val="20"/>
                <w:szCs w:val="20"/>
              </w:rPr>
            </w:pPr>
            <w:r w:rsidRPr="000A3582">
              <w:rPr>
                <w:rFonts w:asciiTheme="minorHAnsi" w:hAnsiTheme="minorHAnsi" w:cstheme="minorHAnsi"/>
                <w:sz w:val="20"/>
                <w:szCs w:val="20"/>
              </w:rPr>
              <w:t>Allowed to drop D</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15D178" w14:textId="77777777" w:rsidR="007166A0" w:rsidRPr="000A3582" w:rsidRDefault="007166A0" w:rsidP="007166A0">
            <w:pPr>
              <w:pStyle w:val="TAL"/>
              <w:rPr>
                <w:rFonts w:asciiTheme="minorHAnsi" w:hAnsiTheme="minorHAnsi" w:cstheme="minorHAnsi"/>
                <w:sz w:val="20"/>
                <w:szCs w:val="20"/>
              </w:rPr>
            </w:pPr>
            <w:r w:rsidRPr="000A3582">
              <w:rPr>
                <w:rFonts w:asciiTheme="minorHAnsi" w:hAnsiTheme="minorHAnsi" w:cstheme="minorHAnsi"/>
                <w:sz w:val="20"/>
                <w:szCs w:val="20"/>
              </w:rPr>
              <w:t>Dropping on other cell</w:t>
            </w:r>
          </w:p>
        </w:tc>
      </w:tr>
      <w:tr w:rsidR="004F21C8" w:rsidRPr="000A3582" w14:paraId="4502F251" w14:textId="77777777" w:rsidTr="007166A0">
        <w:trPr>
          <w:trHeight w:val="20"/>
        </w:trPr>
        <w:tc>
          <w:tcPr>
            <w:tcW w:w="497" w:type="dxa"/>
            <w:tcBorders>
              <w:top w:val="nil"/>
              <w:left w:val="single" w:sz="8" w:space="0" w:color="auto"/>
              <w:bottom w:val="single" w:sz="8" w:space="0" w:color="auto"/>
              <w:right w:val="single" w:sz="8" w:space="0" w:color="auto"/>
            </w:tcBorders>
            <w:vAlign w:val="center"/>
          </w:tcPr>
          <w:p w14:paraId="2F7C29ED" w14:textId="218C5639" w:rsidR="004F21C8" w:rsidRPr="000A3582" w:rsidRDefault="004F21C8" w:rsidP="004F21C8">
            <w:pPr>
              <w:pStyle w:val="TAC"/>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12</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9614243" w14:textId="1FD4991B" w:rsidR="004F21C8" w:rsidRPr="000A3582" w:rsidRDefault="004F21C8" w:rsidP="004F21C8">
            <w:pPr>
              <w:pStyle w:val="TAL"/>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Dynamic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337E406" w14:textId="3A0276D4" w:rsidR="004F21C8" w:rsidRPr="000A3582" w:rsidRDefault="004F21C8" w:rsidP="004F21C8">
            <w:pPr>
              <w:pStyle w:val="TAL"/>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Semi SFI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233924D" w14:textId="0B956A93" w:rsidR="004F21C8" w:rsidRPr="000A3582" w:rsidRDefault="004F21C8" w:rsidP="004F21C8">
            <w:pPr>
              <w:pStyle w:val="TAL"/>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Allowed to drop D</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F803877" w14:textId="1EA95681" w:rsidR="004F21C8" w:rsidRPr="000A3582" w:rsidRDefault="004F21C8" w:rsidP="004F21C8">
            <w:pPr>
              <w:pStyle w:val="TAL"/>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Dropping on other cell</w:t>
            </w:r>
          </w:p>
        </w:tc>
      </w:tr>
      <w:tr w:rsidR="004F21C8" w:rsidRPr="000A3582" w14:paraId="661DDCEF"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2F428CA2" w14:textId="77777777" w:rsidR="004F21C8" w:rsidRPr="000A3582" w:rsidRDefault="004F21C8" w:rsidP="004F21C8">
            <w:pPr>
              <w:pStyle w:val="TAC"/>
              <w:rPr>
                <w:rFonts w:asciiTheme="minorHAnsi" w:hAnsiTheme="minorHAnsi" w:cstheme="minorHAnsi"/>
                <w:sz w:val="20"/>
                <w:szCs w:val="20"/>
              </w:rPr>
            </w:pPr>
            <w:r w:rsidRPr="000A3582">
              <w:rPr>
                <w:rFonts w:asciiTheme="minorHAnsi" w:hAnsiTheme="minorHAnsi" w:cstheme="minorHAnsi"/>
                <w:sz w:val="20"/>
                <w:szCs w:val="20"/>
              </w:rPr>
              <w:t>13</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19E0D2" w14:textId="77777777" w:rsidR="004F21C8" w:rsidRPr="000A3582" w:rsidRDefault="004F21C8" w:rsidP="004F21C8">
            <w:pPr>
              <w:pStyle w:val="TAL"/>
              <w:rPr>
                <w:rFonts w:asciiTheme="minorHAnsi" w:hAnsiTheme="minorHAnsi" w:cstheme="minorHAnsi"/>
                <w:sz w:val="20"/>
                <w:szCs w:val="20"/>
              </w:rPr>
            </w:pPr>
            <w:r w:rsidRPr="000A3582">
              <w:rPr>
                <w:rFonts w:asciiTheme="minorHAnsi" w:hAnsiTheme="minorHAnsi" w:cstheme="minorHAnsi"/>
                <w:sz w:val="20"/>
                <w:szCs w:val="20"/>
              </w:rPr>
              <w:t>RRC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D29415" w14:textId="77777777" w:rsidR="004F21C8" w:rsidRPr="000A3582" w:rsidRDefault="004F21C8" w:rsidP="004F21C8">
            <w:pPr>
              <w:pStyle w:val="TAL"/>
              <w:rPr>
                <w:rFonts w:asciiTheme="minorHAnsi" w:hAnsiTheme="minorHAnsi" w:cstheme="minorHAnsi"/>
                <w:sz w:val="20"/>
                <w:szCs w:val="20"/>
              </w:rPr>
            </w:pPr>
            <w:r w:rsidRPr="000A3582">
              <w:rPr>
                <w:rFonts w:asciiTheme="minorHAnsi" w:hAnsiTheme="minorHAnsi" w:cstheme="minorHAnsi"/>
                <w:sz w:val="20"/>
                <w:szCs w:val="20"/>
              </w:rPr>
              <w:t>Semi SFI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87C184" w14:textId="77777777" w:rsidR="004F21C8" w:rsidRPr="000A3582" w:rsidRDefault="004F21C8" w:rsidP="004F21C8">
            <w:pPr>
              <w:pStyle w:val="TAL"/>
              <w:rPr>
                <w:rFonts w:asciiTheme="minorHAnsi" w:hAnsiTheme="minorHAnsi" w:cstheme="minorHAnsi"/>
                <w:sz w:val="20"/>
                <w:szCs w:val="20"/>
              </w:rPr>
            </w:pPr>
            <w:r w:rsidRPr="000A3582">
              <w:rPr>
                <w:rFonts w:asciiTheme="minorHAnsi" w:hAnsiTheme="minorHAnsi" w:cstheme="minorHAnsi"/>
                <w:sz w:val="20"/>
                <w:szCs w:val="20"/>
              </w:rPr>
              <w:t>Allowed to drop U</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17E7A1" w14:textId="77777777" w:rsidR="004F21C8" w:rsidRPr="000A3582" w:rsidRDefault="004F21C8" w:rsidP="004F21C8">
            <w:pPr>
              <w:pStyle w:val="TAL"/>
              <w:rPr>
                <w:rFonts w:asciiTheme="minorHAnsi" w:hAnsiTheme="minorHAnsi" w:cstheme="minorHAnsi"/>
                <w:sz w:val="20"/>
                <w:szCs w:val="20"/>
              </w:rPr>
            </w:pPr>
            <w:r w:rsidRPr="000A3582">
              <w:rPr>
                <w:rFonts w:asciiTheme="minorHAnsi" w:hAnsiTheme="minorHAnsi" w:cstheme="minorHAnsi"/>
                <w:sz w:val="20"/>
                <w:szCs w:val="20"/>
              </w:rPr>
              <w:t>Dropping on other cell</w:t>
            </w:r>
          </w:p>
        </w:tc>
      </w:tr>
      <w:tr w:rsidR="004F21C8" w:rsidRPr="000A3582" w14:paraId="080972F4" w14:textId="77777777" w:rsidTr="007166A0">
        <w:trPr>
          <w:trHeight w:val="20"/>
        </w:trPr>
        <w:tc>
          <w:tcPr>
            <w:tcW w:w="497" w:type="dxa"/>
            <w:tcBorders>
              <w:top w:val="nil"/>
              <w:left w:val="single" w:sz="8" w:space="0" w:color="auto"/>
              <w:bottom w:val="single" w:sz="8" w:space="0" w:color="auto"/>
              <w:right w:val="single" w:sz="8" w:space="0" w:color="auto"/>
            </w:tcBorders>
            <w:vAlign w:val="center"/>
          </w:tcPr>
          <w:p w14:paraId="79992E32" w14:textId="7AB94941" w:rsidR="004F21C8" w:rsidRPr="000A3582" w:rsidRDefault="004F21C8" w:rsidP="004F21C8">
            <w:pPr>
              <w:pStyle w:val="TAC"/>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14</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48E39EA" w14:textId="313C47D6" w:rsidR="004F21C8" w:rsidRPr="000A3582" w:rsidRDefault="004F21C8" w:rsidP="004F21C8">
            <w:pPr>
              <w:pStyle w:val="TAL"/>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Dynamic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F508253" w14:textId="709CB514" w:rsidR="004F21C8" w:rsidRPr="000A3582" w:rsidRDefault="004F21C8" w:rsidP="004F21C8">
            <w:pPr>
              <w:pStyle w:val="TAL"/>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Semi SFI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EA48C76" w14:textId="46DBC663" w:rsidR="004F21C8" w:rsidRPr="000A3582" w:rsidRDefault="004F21C8" w:rsidP="004F21C8">
            <w:pPr>
              <w:pStyle w:val="TAL"/>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Allowed to drop U</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9AD4A54" w14:textId="2EBFB033" w:rsidR="004F21C8" w:rsidRPr="000A3582" w:rsidRDefault="004F21C8" w:rsidP="004F21C8">
            <w:pPr>
              <w:pStyle w:val="TAL"/>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Dropping on other cell</w:t>
            </w:r>
          </w:p>
        </w:tc>
      </w:tr>
      <w:tr w:rsidR="004F21C8" w:rsidRPr="000A3582" w14:paraId="2AA29C27"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22B1A7AD" w14:textId="77777777" w:rsidR="004F21C8" w:rsidRPr="000A3582" w:rsidRDefault="004F21C8" w:rsidP="004F21C8">
            <w:pPr>
              <w:pStyle w:val="TAC"/>
              <w:rPr>
                <w:rFonts w:asciiTheme="minorHAnsi" w:hAnsiTheme="minorHAnsi" w:cstheme="minorHAnsi"/>
                <w:sz w:val="20"/>
                <w:szCs w:val="20"/>
              </w:rPr>
            </w:pPr>
            <w:r w:rsidRPr="000A3582">
              <w:rPr>
                <w:rFonts w:asciiTheme="minorHAnsi" w:hAnsiTheme="minorHAnsi" w:cstheme="minorHAnsi"/>
                <w:sz w:val="20"/>
                <w:szCs w:val="20"/>
              </w:rPr>
              <w:t>15</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7A4C13" w14:textId="77777777" w:rsidR="004F21C8" w:rsidRPr="000A3582" w:rsidRDefault="004F21C8" w:rsidP="004F21C8">
            <w:pPr>
              <w:pStyle w:val="TAL"/>
              <w:rPr>
                <w:rFonts w:asciiTheme="minorHAnsi" w:hAnsiTheme="minorHAnsi" w:cstheme="minorHAnsi"/>
                <w:sz w:val="20"/>
                <w:szCs w:val="20"/>
              </w:rPr>
            </w:pPr>
            <w:r w:rsidRPr="000A3582">
              <w:rPr>
                <w:rFonts w:asciiTheme="minorHAnsi" w:hAnsiTheme="minorHAnsi" w:cstheme="minorHAnsi"/>
                <w:sz w:val="20"/>
                <w:szCs w:val="20"/>
              </w:rPr>
              <w:t>RRC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C53F88" w14:textId="77777777" w:rsidR="004F21C8" w:rsidRPr="000A3582" w:rsidRDefault="004F21C8" w:rsidP="004F21C8">
            <w:pPr>
              <w:pStyle w:val="TAL"/>
              <w:rPr>
                <w:rFonts w:asciiTheme="minorHAnsi" w:hAnsiTheme="minorHAnsi" w:cstheme="minorHAnsi"/>
                <w:sz w:val="20"/>
                <w:szCs w:val="20"/>
              </w:rPr>
            </w:pPr>
            <w:r w:rsidRPr="000A3582">
              <w:rPr>
                <w:rFonts w:asciiTheme="minorHAnsi" w:hAnsiTheme="minorHAnsi" w:cstheme="minorHAnsi"/>
                <w:sz w:val="20"/>
                <w:szCs w:val="20"/>
              </w:rPr>
              <w:t>Dynamic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231AF3" w14:textId="5A9E91D0" w:rsidR="004F21C8" w:rsidRPr="000A3582" w:rsidRDefault="004F21C8" w:rsidP="004F21C8">
            <w:pPr>
              <w:pStyle w:val="TAL"/>
              <w:rPr>
                <w:rFonts w:asciiTheme="minorHAnsi" w:hAnsiTheme="minorHAnsi" w:cstheme="minorHAnsi"/>
                <w:sz w:val="20"/>
                <w:szCs w:val="20"/>
              </w:rPr>
            </w:pPr>
            <w:r w:rsidRPr="000A3582">
              <w:rPr>
                <w:rFonts w:asciiTheme="minorHAnsi" w:hAnsiTheme="minorHAnsi" w:cstheme="minorHAnsi"/>
                <w:sz w:val="20"/>
                <w:szCs w:val="20"/>
              </w:rPr>
              <w:t>Error</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CDAE3F" w14:textId="77777777" w:rsidR="004F21C8" w:rsidRPr="000A3582" w:rsidRDefault="004F21C8" w:rsidP="004F21C8">
            <w:pPr>
              <w:pStyle w:val="TAL"/>
              <w:rPr>
                <w:rFonts w:asciiTheme="minorHAnsi" w:hAnsiTheme="minorHAnsi" w:cstheme="minorHAnsi"/>
                <w:sz w:val="20"/>
                <w:szCs w:val="20"/>
              </w:rPr>
            </w:pPr>
            <w:r w:rsidRPr="000A3582">
              <w:rPr>
                <w:rFonts w:asciiTheme="minorHAnsi" w:hAnsiTheme="minorHAnsi" w:cstheme="minorHAnsi"/>
                <w:sz w:val="20"/>
                <w:szCs w:val="20"/>
              </w:rPr>
              <w:t> </w:t>
            </w:r>
          </w:p>
        </w:tc>
      </w:tr>
      <w:tr w:rsidR="004F21C8" w:rsidRPr="000A3582" w14:paraId="76675C84"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3B4D41E9" w14:textId="77777777" w:rsidR="004F21C8" w:rsidRPr="000A3582" w:rsidRDefault="004F21C8" w:rsidP="004F21C8">
            <w:pPr>
              <w:pStyle w:val="TAC"/>
              <w:rPr>
                <w:rFonts w:asciiTheme="minorHAnsi" w:hAnsiTheme="minorHAnsi" w:cstheme="minorHAnsi"/>
                <w:sz w:val="20"/>
                <w:szCs w:val="20"/>
              </w:rPr>
            </w:pPr>
            <w:r w:rsidRPr="000A3582">
              <w:rPr>
                <w:rFonts w:asciiTheme="minorHAnsi" w:hAnsiTheme="minorHAnsi" w:cstheme="minorHAnsi"/>
                <w:sz w:val="20"/>
                <w:szCs w:val="20"/>
              </w:rPr>
              <w:t>16</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E654E6" w14:textId="77777777" w:rsidR="004F21C8" w:rsidRPr="000A3582" w:rsidRDefault="004F21C8" w:rsidP="004F21C8">
            <w:pPr>
              <w:pStyle w:val="TAL"/>
              <w:rPr>
                <w:rFonts w:asciiTheme="minorHAnsi" w:hAnsiTheme="minorHAnsi" w:cstheme="minorHAnsi"/>
                <w:sz w:val="20"/>
                <w:szCs w:val="20"/>
              </w:rPr>
            </w:pPr>
            <w:r w:rsidRPr="000A3582">
              <w:rPr>
                <w:rFonts w:asciiTheme="minorHAnsi" w:hAnsiTheme="minorHAnsi" w:cstheme="minorHAnsi"/>
                <w:sz w:val="20"/>
                <w:szCs w:val="20"/>
              </w:rPr>
              <w:t>RRC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53B972" w14:textId="77777777" w:rsidR="004F21C8" w:rsidRPr="000A3582" w:rsidRDefault="004F21C8" w:rsidP="004F21C8">
            <w:pPr>
              <w:pStyle w:val="TAL"/>
              <w:rPr>
                <w:rFonts w:asciiTheme="minorHAnsi" w:hAnsiTheme="minorHAnsi" w:cstheme="minorHAnsi"/>
                <w:sz w:val="20"/>
                <w:szCs w:val="20"/>
              </w:rPr>
            </w:pPr>
            <w:r w:rsidRPr="000A3582">
              <w:rPr>
                <w:rFonts w:asciiTheme="minorHAnsi" w:hAnsiTheme="minorHAnsi" w:cstheme="minorHAnsi"/>
                <w:sz w:val="20"/>
                <w:szCs w:val="20"/>
              </w:rPr>
              <w:t>Dynamic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FE259A" w14:textId="63AEB931" w:rsidR="004F21C8" w:rsidRPr="000A3582" w:rsidRDefault="004F21C8" w:rsidP="004F21C8">
            <w:pPr>
              <w:pStyle w:val="TAL"/>
              <w:rPr>
                <w:rFonts w:asciiTheme="minorHAnsi" w:hAnsiTheme="minorHAnsi" w:cstheme="minorHAnsi"/>
                <w:sz w:val="20"/>
                <w:szCs w:val="20"/>
              </w:rPr>
            </w:pPr>
            <w:r w:rsidRPr="000A3582">
              <w:rPr>
                <w:rFonts w:asciiTheme="minorHAnsi" w:hAnsiTheme="minorHAnsi" w:cstheme="minorHAnsi"/>
                <w:sz w:val="20"/>
                <w:szCs w:val="20"/>
              </w:rPr>
              <w:t>Allowed to drop D for inter-band</w:t>
            </w:r>
          </w:p>
          <w:p w14:paraId="66F560F5" w14:textId="77777777" w:rsidR="004F21C8" w:rsidRPr="000A3582" w:rsidRDefault="004F21C8" w:rsidP="004F21C8">
            <w:pPr>
              <w:pStyle w:val="TAL"/>
              <w:rPr>
                <w:rFonts w:asciiTheme="minorHAnsi" w:hAnsiTheme="minorHAnsi" w:cstheme="minorHAnsi"/>
                <w:sz w:val="20"/>
                <w:szCs w:val="20"/>
              </w:rPr>
            </w:pPr>
            <w:r w:rsidRPr="000A3582">
              <w:rPr>
                <w:rFonts w:asciiTheme="minorHAnsi" w:hAnsiTheme="minorHAnsi" w:cstheme="minorHAnsi"/>
                <w:sz w:val="20"/>
                <w:szCs w:val="20"/>
              </w:rPr>
              <w:t>Error case in intra-band</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9572F0" w14:textId="77777777" w:rsidR="004F21C8" w:rsidRPr="000A3582" w:rsidRDefault="004F21C8" w:rsidP="004F21C8">
            <w:pPr>
              <w:pStyle w:val="TAL"/>
              <w:rPr>
                <w:rFonts w:asciiTheme="minorHAnsi" w:hAnsiTheme="minorHAnsi" w:cstheme="minorHAnsi"/>
                <w:sz w:val="20"/>
                <w:szCs w:val="20"/>
              </w:rPr>
            </w:pPr>
            <w:r w:rsidRPr="000A3582">
              <w:rPr>
                <w:rFonts w:asciiTheme="minorHAnsi" w:hAnsiTheme="minorHAnsi" w:cstheme="minorHAnsi"/>
                <w:sz w:val="20"/>
                <w:szCs w:val="20"/>
              </w:rPr>
              <w:t> </w:t>
            </w:r>
          </w:p>
        </w:tc>
      </w:tr>
      <w:tr w:rsidR="004F21C8" w:rsidRPr="000A3582" w14:paraId="2AA37D57" w14:textId="77777777" w:rsidTr="004F21C8">
        <w:trPr>
          <w:trHeight w:val="20"/>
        </w:trPr>
        <w:tc>
          <w:tcPr>
            <w:tcW w:w="497" w:type="dxa"/>
            <w:tcBorders>
              <w:top w:val="nil"/>
              <w:left w:val="single" w:sz="8" w:space="0" w:color="auto"/>
              <w:bottom w:val="single" w:sz="8" w:space="0" w:color="auto"/>
              <w:right w:val="single" w:sz="8" w:space="0" w:color="auto"/>
            </w:tcBorders>
            <w:vAlign w:val="center"/>
            <w:hideMark/>
          </w:tcPr>
          <w:p w14:paraId="1CDF7D37" w14:textId="77777777" w:rsidR="004F21C8" w:rsidRPr="000A3582" w:rsidRDefault="004F21C8" w:rsidP="004F21C8">
            <w:pPr>
              <w:pStyle w:val="TAC"/>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17</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D36E2A" w14:textId="77777777" w:rsidR="004F21C8" w:rsidRPr="000A3582" w:rsidRDefault="004F21C8" w:rsidP="004F21C8">
            <w:pPr>
              <w:pStyle w:val="TAL"/>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Dynamic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360A29" w14:textId="77777777" w:rsidR="004F21C8" w:rsidRPr="000A3582" w:rsidRDefault="004F21C8" w:rsidP="004F21C8">
            <w:pPr>
              <w:pStyle w:val="TAL"/>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RRC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30BCFA" w14:textId="77777777" w:rsidR="004F21C8" w:rsidRPr="000A3582" w:rsidRDefault="004F21C8" w:rsidP="004F21C8">
            <w:pPr>
              <w:pStyle w:val="TAL"/>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Allowed to drop D</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CECD37" w14:textId="77777777" w:rsidR="004F21C8" w:rsidRPr="000A3582" w:rsidRDefault="004F21C8" w:rsidP="004F21C8">
            <w:pPr>
              <w:pStyle w:val="TAL"/>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Dropping on other cell</w:t>
            </w:r>
          </w:p>
        </w:tc>
      </w:tr>
      <w:tr w:rsidR="004F21C8" w:rsidRPr="000A3582" w14:paraId="4F7DA498" w14:textId="77777777" w:rsidTr="004F21C8">
        <w:trPr>
          <w:trHeight w:val="20"/>
        </w:trPr>
        <w:tc>
          <w:tcPr>
            <w:tcW w:w="497" w:type="dxa"/>
            <w:tcBorders>
              <w:top w:val="nil"/>
              <w:left w:val="single" w:sz="8" w:space="0" w:color="auto"/>
              <w:bottom w:val="single" w:sz="8" w:space="0" w:color="auto"/>
              <w:right w:val="single" w:sz="8" w:space="0" w:color="auto"/>
            </w:tcBorders>
            <w:vAlign w:val="center"/>
            <w:hideMark/>
          </w:tcPr>
          <w:p w14:paraId="5D0C3B96" w14:textId="77777777" w:rsidR="004F21C8" w:rsidRPr="000A3582" w:rsidRDefault="004F21C8" w:rsidP="004F21C8">
            <w:pPr>
              <w:pStyle w:val="TAC"/>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18</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56C02F" w14:textId="77777777" w:rsidR="004F21C8" w:rsidRPr="000A3582" w:rsidRDefault="004F21C8" w:rsidP="004F21C8">
            <w:pPr>
              <w:pStyle w:val="TAL"/>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Dynamic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17AAFB" w14:textId="77777777" w:rsidR="004F21C8" w:rsidRPr="000A3582" w:rsidRDefault="004F21C8" w:rsidP="004F21C8">
            <w:pPr>
              <w:pStyle w:val="TAL"/>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RRC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074C35" w14:textId="77777777" w:rsidR="004F21C8" w:rsidRPr="000A3582" w:rsidRDefault="004F21C8" w:rsidP="004F21C8">
            <w:pPr>
              <w:pStyle w:val="TAL"/>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Allowed to drop U</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034BBF" w14:textId="77777777" w:rsidR="004F21C8" w:rsidRPr="000A3582" w:rsidRDefault="004F21C8" w:rsidP="004F21C8">
            <w:pPr>
              <w:pStyle w:val="TAL"/>
              <w:rPr>
                <w:rFonts w:asciiTheme="minorHAnsi" w:hAnsiTheme="minorHAnsi" w:cstheme="minorHAnsi"/>
                <w:color w:val="A6A6A6" w:themeColor="background1" w:themeShade="A6"/>
                <w:sz w:val="20"/>
                <w:szCs w:val="20"/>
              </w:rPr>
            </w:pPr>
            <w:r w:rsidRPr="000A3582">
              <w:rPr>
                <w:rFonts w:asciiTheme="minorHAnsi" w:hAnsiTheme="minorHAnsi" w:cstheme="minorHAnsi"/>
                <w:color w:val="A6A6A6" w:themeColor="background1" w:themeShade="A6"/>
                <w:sz w:val="20"/>
                <w:szCs w:val="20"/>
              </w:rPr>
              <w:t>Dropping on other cell</w:t>
            </w:r>
          </w:p>
        </w:tc>
      </w:tr>
    </w:tbl>
    <w:p w14:paraId="54D4ADF2" w14:textId="3F78FBFD" w:rsidR="00494A84" w:rsidRPr="000A3582" w:rsidRDefault="00494A84" w:rsidP="00D16D80"/>
    <w:p w14:paraId="7918D8A7" w14:textId="125D590C" w:rsidR="00376BEF" w:rsidRPr="000A3582" w:rsidRDefault="00FA178C" w:rsidP="00D16D80">
      <w:r w:rsidRPr="000A3582">
        <w:t>There are a few points to be considered for extending the above framework to synchronous intra-band DC operation.</w:t>
      </w:r>
    </w:p>
    <w:p w14:paraId="691175FE" w14:textId="19ACB6FF" w:rsidR="00376BEF" w:rsidRPr="000A3582" w:rsidRDefault="00FA178C" w:rsidP="00695072">
      <w:r w:rsidRPr="000A3582">
        <w:t xml:space="preserve">First, </w:t>
      </w:r>
      <w:r w:rsidR="004F21C8" w:rsidRPr="000A3582">
        <w:t xml:space="preserve">“reference cell” </w:t>
      </w:r>
      <w:r w:rsidR="00B34464" w:rsidRPr="000A3582">
        <w:t xml:space="preserve">and “other cell” </w:t>
      </w:r>
      <w:r w:rsidR="004F21C8" w:rsidRPr="000A3582">
        <w:t>w</w:t>
      </w:r>
      <w:r w:rsidR="00B34464" w:rsidRPr="000A3582">
        <w:t>ere</w:t>
      </w:r>
      <w:r w:rsidR="004F21C8" w:rsidRPr="000A3582">
        <w:t xml:space="preserve"> defined </w:t>
      </w:r>
      <w:r w:rsidR="00B34464" w:rsidRPr="000A3582">
        <w:t>in</w:t>
      </w:r>
      <w:r w:rsidR="004F21C8" w:rsidRPr="000A3582">
        <w:t xml:space="preserve"> the Rel-16 TEI such that </w:t>
      </w:r>
      <w:r w:rsidR="00B34464" w:rsidRPr="000A3582">
        <w:t xml:space="preserve">in the case of direction conflict between a configured type (Semi SFI or RRC) with a </w:t>
      </w:r>
      <w:r w:rsidR="00376BEF" w:rsidRPr="000A3582">
        <w:t xml:space="preserve">dynamic </w:t>
      </w:r>
      <w:r w:rsidR="00B34464" w:rsidRPr="000A3582">
        <w:t>type, t</w:t>
      </w:r>
      <w:r w:rsidR="00376BEF" w:rsidRPr="000A3582">
        <w:t xml:space="preserve">he </w:t>
      </w:r>
      <w:r w:rsidR="00B34464" w:rsidRPr="000A3582">
        <w:t>reference cell</w:t>
      </w:r>
      <w:r w:rsidR="00376BEF" w:rsidRPr="000A3582">
        <w:t xml:space="preserve"> </w:t>
      </w:r>
      <w:r w:rsidR="00B34464" w:rsidRPr="000A3582">
        <w:t>is determined to be the</w:t>
      </w:r>
      <w:r w:rsidR="001A2438" w:rsidRPr="000A3582">
        <w:t xml:space="preserve"> </w:t>
      </w:r>
      <w:r w:rsidR="00B34464" w:rsidRPr="000A3582">
        <w:t>cell with the configured type</w:t>
      </w:r>
      <w:r w:rsidR="00376BEF" w:rsidRPr="000A3582">
        <w:t xml:space="preserve">. </w:t>
      </w:r>
      <w:r w:rsidR="00B34464" w:rsidRPr="000A3582">
        <w:t>As a result</w:t>
      </w:r>
      <w:r w:rsidR="00376BEF" w:rsidRPr="000A3582">
        <w:t>, scenarios 12, 14, 17, and 18 were excluded and not specified.</w:t>
      </w:r>
      <w:r w:rsidR="00695072" w:rsidRPr="000A3582">
        <w:t xml:space="preserve"> </w:t>
      </w:r>
      <w:r w:rsidR="00376BEF" w:rsidRPr="000A3582">
        <w:t>However, in the DC scenario, the reference cell c</w:t>
      </w:r>
      <w:r w:rsidR="00B34464" w:rsidRPr="000A3582">
        <w:t>ould</w:t>
      </w:r>
      <w:r w:rsidR="00376BEF" w:rsidRPr="000A3582">
        <w:t xml:space="preserve"> be defined as the cell in the MCG while the other cell </w:t>
      </w:r>
      <w:r w:rsidR="00B34464" w:rsidRPr="000A3582">
        <w:t>would be</w:t>
      </w:r>
      <w:r w:rsidR="00376BEF" w:rsidRPr="000A3582">
        <w:t xml:space="preserve"> from the SCG. In this case, </w:t>
      </w:r>
      <w:r w:rsidR="00695072" w:rsidRPr="000A3582">
        <w:t xml:space="preserve">the </w:t>
      </w:r>
      <w:r w:rsidR="00376BEF" w:rsidRPr="000A3582">
        <w:t xml:space="preserve">additional scenarios </w:t>
      </w:r>
      <w:r w:rsidR="00B34464" w:rsidRPr="000A3582">
        <w:t xml:space="preserve">would </w:t>
      </w:r>
      <w:r w:rsidR="00376BEF" w:rsidRPr="000A3582">
        <w:t xml:space="preserve">need to be considered. Furthermore, </w:t>
      </w:r>
      <w:r w:rsidR="00695072" w:rsidRPr="000A3582">
        <w:t xml:space="preserve">the MCG can be given higher priority in all DL-UL conflicts, hence resulting </w:t>
      </w:r>
      <w:r w:rsidR="00B34464" w:rsidRPr="000A3582">
        <w:t xml:space="preserve">in </w:t>
      </w:r>
      <w:r w:rsidR="00695072" w:rsidRPr="000A3582">
        <w:t>an error case or dropping the operation on the SCG cell.</w:t>
      </w:r>
    </w:p>
    <w:p w14:paraId="7B2E42B0" w14:textId="777556CF" w:rsidR="00B35CD0" w:rsidRPr="000A3582" w:rsidRDefault="00B35CD0" w:rsidP="00B34464">
      <w:r w:rsidRPr="000A3582">
        <w:t>Second, inter-parent coordination when the parent</w:t>
      </w:r>
      <w:r w:rsidR="00B34464" w:rsidRPr="000A3582">
        <w:t xml:space="preserve"> node</w:t>
      </w:r>
      <w:r w:rsidRPr="000A3582">
        <w:t xml:space="preserve">s </w:t>
      </w:r>
      <w:r w:rsidR="00B34464" w:rsidRPr="000A3582">
        <w:t xml:space="preserve">are configured by different </w:t>
      </w:r>
      <w:r w:rsidRPr="000A3582">
        <w:t>IAB donor</w:t>
      </w:r>
      <w:r w:rsidR="00B34464" w:rsidRPr="000A3582">
        <w:t>s</w:t>
      </w:r>
      <w:r w:rsidRPr="000A3582">
        <w:t xml:space="preserve"> may require higher-layer inter-donor signaling.</w:t>
      </w:r>
      <w:r w:rsidR="00B34464" w:rsidRPr="000A3582">
        <w:t xml:space="preserve"> Third, further IAB-specific resource conflicts need to be addressed. For example, Case-7 timing alignment can result in a timing conflict between two uplink transmissions.</w:t>
      </w:r>
    </w:p>
    <w:p w14:paraId="03092569" w14:textId="608BC6FB" w:rsidR="00D40485" w:rsidRDefault="00654348" w:rsidP="00654348">
      <w:pPr>
        <w:pStyle w:val="Proposal"/>
      </w:pPr>
      <w:bookmarkStart w:id="313" w:name="_Toc71642084"/>
      <w:bookmarkStart w:id="314" w:name="_Toc79157221"/>
      <w:bookmarkStart w:id="315" w:name="_Toc79159811"/>
      <w:bookmarkStart w:id="316" w:name="_Toc79177832"/>
      <w:r>
        <w:t>In order to reuse</w:t>
      </w:r>
      <w:r w:rsidRPr="00654348">
        <w:t xml:space="preserve"> the Rel-16 CA TDD prioritization rules</w:t>
      </w:r>
      <w:r w:rsidR="00D40485">
        <w:t>:</w:t>
      </w:r>
      <w:bookmarkStart w:id="317" w:name="_Toc71648838"/>
      <w:bookmarkStart w:id="318" w:name="_Toc71649588"/>
      <w:bookmarkStart w:id="319" w:name="_Toc71665433"/>
      <w:bookmarkStart w:id="320" w:name="_Toc71665682"/>
      <w:bookmarkStart w:id="321" w:name="_Toc71666701"/>
      <w:bookmarkStart w:id="322" w:name="_Toc79157030"/>
      <w:bookmarkEnd w:id="316"/>
    </w:p>
    <w:p w14:paraId="270277E1" w14:textId="6D5D8431" w:rsidR="00D40485" w:rsidRDefault="00654348" w:rsidP="00D40485">
      <w:pPr>
        <w:pStyle w:val="Proposal"/>
        <w:numPr>
          <w:ilvl w:val="0"/>
          <w:numId w:val="21"/>
        </w:numPr>
      </w:pPr>
      <w:bookmarkStart w:id="323" w:name="_Toc79177833"/>
      <w:r>
        <w:t>s</w:t>
      </w:r>
      <w:r w:rsidR="00E9570D" w:rsidRPr="000A3582">
        <w:t>upport inter-donor signaling for inter-parent coordination</w:t>
      </w:r>
      <w:bookmarkEnd w:id="317"/>
      <w:bookmarkEnd w:id="318"/>
      <w:bookmarkEnd w:id="319"/>
      <w:bookmarkEnd w:id="320"/>
      <w:bookmarkEnd w:id="321"/>
      <w:bookmarkEnd w:id="322"/>
      <w:r w:rsidR="00D40485">
        <w:t>;</w:t>
      </w:r>
      <w:bookmarkEnd w:id="323"/>
    </w:p>
    <w:p w14:paraId="788AE1DA" w14:textId="37A5330E" w:rsidR="00B35CD0" w:rsidRPr="000A3582" w:rsidRDefault="00654348" w:rsidP="00E54231">
      <w:pPr>
        <w:pStyle w:val="Proposal"/>
        <w:numPr>
          <w:ilvl w:val="0"/>
          <w:numId w:val="21"/>
        </w:numPr>
      </w:pPr>
      <w:bookmarkStart w:id="324" w:name="_Toc71648839"/>
      <w:bookmarkStart w:id="325" w:name="_Toc71649589"/>
      <w:bookmarkStart w:id="326" w:name="_Toc71665434"/>
      <w:bookmarkStart w:id="327" w:name="_Toc71665683"/>
      <w:bookmarkStart w:id="328" w:name="_Toc71666702"/>
      <w:bookmarkStart w:id="329" w:name="_Toc79157031"/>
      <w:bookmarkStart w:id="330" w:name="_Toc79177834"/>
      <w:r>
        <w:t>i</w:t>
      </w:r>
      <w:r w:rsidR="00E9570D" w:rsidRPr="000A3582">
        <w:t>nclude</w:t>
      </w:r>
      <w:r w:rsidR="00855D3E" w:rsidRPr="000A3582">
        <w:t xml:space="preserve"> </w:t>
      </w:r>
      <w:r w:rsidR="00B34464" w:rsidRPr="000A3582">
        <w:t xml:space="preserve">scenarios of resource </w:t>
      </w:r>
      <w:r w:rsidR="00E9570D" w:rsidRPr="000A3582">
        <w:t>conflict</w:t>
      </w:r>
      <w:r w:rsidR="00B34464" w:rsidRPr="000A3582">
        <w:t>s</w:t>
      </w:r>
      <w:r w:rsidR="00E9570D" w:rsidRPr="000A3582">
        <w:t xml:space="preserve"> </w:t>
      </w:r>
      <w:r w:rsidR="00B34464" w:rsidRPr="000A3582">
        <w:t xml:space="preserve">due to </w:t>
      </w:r>
      <w:r w:rsidR="00B35CD0" w:rsidRPr="000A3582">
        <w:t>timing misalignment</w:t>
      </w:r>
      <w:bookmarkEnd w:id="313"/>
      <w:bookmarkEnd w:id="324"/>
      <w:bookmarkEnd w:id="325"/>
      <w:bookmarkEnd w:id="326"/>
      <w:bookmarkEnd w:id="327"/>
      <w:bookmarkEnd w:id="328"/>
      <w:bookmarkEnd w:id="329"/>
      <w:r>
        <w:t>.</w:t>
      </w:r>
      <w:bookmarkEnd w:id="314"/>
      <w:bookmarkEnd w:id="315"/>
      <w:bookmarkEnd w:id="330"/>
    </w:p>
    <w:p w14:paraId="27D4F397" w14:textId="5BD92296" w:rsidR="00B1741F" w:rsidRPr="001B5AA8" w:rsidRDefault="00453465" w:rsidP="00B1741F">
      <w:pPr>
        <w:pStyle w:val="Heading1"/>
      </w:pPr>
      <w:r>
        <w:t>Conclusions</w:t>
      </w:r>
    </w:p>
    <w:p w14:paraId="2F91A1ED" w14:textId="0A1C35AF" w:rsidR="00B1741F" w:rsidRDefault="00B1741F" w:rsidP="00B1741F">
      <w:r>
        <w:t xml:space="preserve">In this contribution, we discussed </w:t>
      </w:r>
      <w:r w:rsidR="00F317D4">
        <w:t xml:space="preserve">resource multiplexing </w:t>
      </w:r>
      <w:r>
        <w:t>enhancements for simultaneous operation</w:t>
      </w:r>
      <w:r w:rsidR="00C124C4">
        <w:t>s on</w:t>
      </w:r>
      <w:r>
        <w:t xml:space="preserve"> child and parent links of an IAB</w:t>
      </w:r>
      <w:r w:rsidR="00DA2597">
        <w:t xml:space="preserve"> </w:t>
      </w:r>
      <w:r>
        <w:t xml:space="preserve">node and made the following </w:t>
      </w:r>
      <w:r w:rsidR="006F16D6">
        <w:t xml:space="preserve">observations and </w:t>
      </w:r>
      <w:r>
        <w:t>proposals:</w:t>
      </w:r>
    </w:p>
    <w:p w14:paraId="0B6A31F1" w14:textId="77777777" w:rsidR="00D459DE" w:rsidRDefault="006E4066">
      <w:pPr>
        <w:pStyle w:val="TableofFigures"/>
        <w:tabs>
          <w:tab w:val="left" w:pos="1701"/>
        </w:tabs>
        <w:rPr>
          <w:rFonts w:cstheme="minorBidi"/>
          <w:b w:val="0"/>
          <w:bCs w:val="0"/>
          <w:noProof/>
          <w:szCs w:val="22"/>
        </w:rPr>
      </w:pPr>
      <w:r>
        <w:fldChar w:fldCharType="begin"/>
      </w:r>
      <w:r>
        <w:instrText xml:space="preserve"> TOC \n \t "Observation" \c </w:instrText>
      </w:r>
      <w:r>
        <w:fldChar w:fldCharType="separate"/>
      </w:r>
      <w:r w:rsidR="00D459DE">
        <w:rPr>
          <w:noProof/>
        </w:rPr>
        <w:t>Observation 1:</w:t>
      </w:r>
      <w:r w:rsidR="00D459DE">
        <w:rPr>
          <w:rFonts w:cstheme="minorBidi"/>
          <w:b w:val="0"/>
          <w:bCs w:val="0"/>
          <w:noProof/>
          <w:szCs w:val="22"/>
        </w:rPr>
        <w:tab/>
      </w:r>
      <w:r w:rsidR="00D459DE">
        <w:rPr>
          <w:noProof/>
        </w:rPr>
        <w:t>The best-effort approach is insufficient for non-TDM operation in the presence of varying beam, power, interference, and timing alignment constraints.</w:t>
      </w:r>
    </w:p>
    <w:p w14:paraId="040AA1ED" w14:textId="77777777" w:rsidR="00D459DE" w:rsidRDefault="00D459DE">
      <w:pPr>
        <w:pStyle w:val="TableofFigures"/>
        <w:tabs>
          <w:tab w:val="left" w:pos="1701"/>
        </w:tabs>
        <w:rPr>
          <w:rFonts w:cstheme="minorBidi"/>
          <w:b w:val="0"/>
          <w:bCs w:val="0"/>
          <w:noProof/>
          <w:szCs w:val="22"/>
        </w:rPr>
      </w:pPr>
      <w:r>
        <w:rPr>
          <w:noProof/>
        </w:rPr>
        <w:t>Observation 2:</w:t>
      </w:r>
      <w:r>
        <w:rPr>
          <w:rFonts w:cstheme="minorBidi"/>
          <w:b w:val="0"/>
          <w:bCs w:val="0"/>
          <w:noProof/>
          <w:szCs w:val="22"/>
        </w:rPr>
        <w:tab/>
      </w:r>
      <w:r>
        <w:rPr>
          <w:noProof/>
        </w:rPr>
        <w:t>When non-TDM multiplexing between upstream and downstream links are intended, sending availability indication for IAB-DU resources solely based on IAB node’s non-TDM capability may result in shortage of resources for IAB-MT due to beamforming, power, interference, or timing alignment constraints at a moment.</w:t>
      </w:r>
    </w:p>
    <w:p w14:paraId="386B2511" w14:textId="26F2BD7E" w:rsidR="00FA6AE1" w:rsidRDefault="006E4066">
      <w:pPr>
        <w:pStyle w:val="TableofFigures"/>
      </w:pPr>
      <w:r>
        <w:lastRenderedPageBreak/>
        <w:fldChar w:fldCharType="end"/>
      </w:r>
    </w:p>
    <w:p w14:paraId="40C0228C" w14:textId="77777777" w:rsidR="00E54231" w:rsidRDefault="009A7FE7">
      <w:pPr>
        <w:pStyle w:val="TableofFigures"/>
        <w:rPr>
          <w:rFonts w:asciiTheme="minorHAnsi" w:eastAsiaTheme="minorEastAsia" w:hAnsiTheme="minorHAnsi" w:cstheme="minorBidi"/>
          <w:b w:val="0"/>
          <w:bCs w:val="0"/>
          <w:noProof/>
          <w:sz w:val="22"/>
          <w:szCs w:val="22"/>
        </w:rPr>
      </w:pPr>
      <w:r>
        <w:fldChar w:fldCharType="begin"/>
      </w:r>
      <w:r>
        <w:instrText xml:space="preserve"> TOC \n \t "Proposal" \c </w:instrText>
      </w:r>
      <w:r>
        <w:fldChar w:fldCharType="separate"/>
      </w:r>
      <w:r w:rsidR="00E54231" w:rsidRPr="00DC0F1E">
        <w:rPr>
          <w:noProof/>
          <w:lang w:val="en-GB"/>
        </w:rPr>
        <w:t>Proposal 1:</w:t>
      </w:r>
      <w:r w:rsidR="00E54231">
        <w:rPr>
          <w:rFonts w:asciiTheme="minorHAnsi" w:eastAsiaTheme="minorEastAsia" w:hAnsiTheme="minorHAnsi" w:cstheme="minorBidi"/>
          <w:b w:val="0"/>
          <w:bCs w:val="0"/>
          <w:noProof/>
          <w:sz w:val="22"/>
          <w:szCs w:val="22"/>
        </w:rPr>
        <w:tab/>
      </w:r>
      <w:r w:rsidR="00E54231" w:rsidRPr="00DC0F1E">
        <w:rPr>
          <w:noProof/>
          <w:lang w:val="en-GB"/>
        </w:rPr>
        <w:t>Support joint application of time- and frequency-domain H/S/NA configurations.</w:t>
      </w:r>
    </w:p>
    <w:p w14:paraId="25FA233C" w14:textId="77777777" w:rsidR="00E54231" w:rsidRDefault="00E54231">
      <w:pPr>
        <w:pStyle w:val="TableofFigures"/>
        <w:rPr>
          <w:rFonts w:asciiTheme="minorHAnsi" w:eastAsiaTheme="minorEastAsia" w:hAnsiTheme="minorHAnsi" w:cstheme="minorBidi"/>
          <w:b w:val="0"/>
          <w:bCs w:val="0"/>
          <w:noProof/>
          <w:sz w:val="22"/>
          <w:szCs w:val="22"/>
        </w:rPr>
      </w:pPr>
      <w:r>
        <w:rPr>
          <w:noProof/>
        </w:rPr>
        <w:t>Proposal 2:</w:t>
      </w:r>
      <w:r>
        <w:rPr>
          <w:rFonts w:asciiTheme="minorHAnsi" w:eastAsiaTheme="minorEastAsia" w:hAnsiTheme="minorHAnsi" w:cstheme="minorBidi"/>
          <w:b w:val="0"/>
          <w:bCs w:val="0"/>
          <w:noProof/>
          <w:sz w:val="22"/>
          <w:szCs w:val="22"/>
        </w:rPr>
        <w:tab/>
      </w:r>
      <w:r w:rsidRPr="00DC0F1E">
        <w:rPr>
          <w:noProof/>
          <w:lang w:val="en-GB"/>
        </w:rPr>
        <w:t>Specify rules for determining H/S/NA resource types for time-frequency resources based on separate configurations in time and frequency domains.</w:t>
      </w:r>
    </w:p>
    <w:p w14:paraId="08268E7D" w14:textId="77777777" w:rsidR="00E54231" w:rsidRDefault="00E54231">
      <w:pPr>
        <w:pStyle w:val="TableofFigures"/>
        <w:rPr>
          <w:rFonts w:asciiTheme="minorHAnsi" w:eastAsiaTheme="minorEastAsia" w:hAnsiTheme="minorHAnsi" w:cstheme="minorBidi"/>
          <w:b w:val="0"/>
          <w:bCs w:val="0"/>
          <w:noProof/>
          <w:sz w:val="22"/>
          <w:szCs w:val="22"/>
        </w:rPr>
      </w:pPr>
      <w:r w:rsidRPr="00DC0F1E">
        <w:rPr>
          <w:noProof/>
          <w:lang w:val="en-GB"/>
        </w:rPr>
        <w:t>Proposal 3:</w:t>
      </w:r>
      <w:r>
        <w:rPr>
          <w:rFonts w:asciiTheme="minorHAnsi" w:eastAsiaTheme="minorEastAsia" w:hAnsiTheme="minorHAnsi" w:cstheme="minorBidi"/>
          <w:b w:val="0"/>
          <w:bCs w:val="0"/>
          <w:noProof/>
          <w:sz w:val="22"/>
          <w:szCs w:val="22"/>
        </w:rPr>
        <w:tab/>
      </w:r>
      <w:r w:rsidRPr="00DC0F1E">
        <w:rPr>
          <w:noProof/>
          <w:lang w:val="en-GB"/>
        </w:rPr>
        <w:t>Support conditional availability indication as a balance between existing best-effort non-TDM and TDM-only availability indication.</w:t>
      </w:r>
    </w:p>
    <w:p w14:paraId="4A351525" w14:textId="77777777" w:rsidR="00E54231" w:rsidRDefault="00E54231">
      <w:pPr>
        <w:pStyle w:val="TableofFigures"/>
        <w:rPr>
          <w:rFonts w:asciiTheme="minorHAnsi" w:eastAsiaTheme="minorEastAsia" w:hAnsiTheme="minorHAnsi" w:cstheme="minorBidi"/>
          <w:b w:val="0"/>
          <w:bCs w:val="0"/>
          <w:noProof/>
          <w:sz w:val="22"/>
          <w:szCs w:val="22"/>
        </w:rPr>
      </w:pPr>
      <w:r w:rsidRPr="00DC0F1E">
        <w:rPr>
          <w:noProof/>
          <w:lang w:val="en-GB"/>
        </w:rPr>
        <w:t>Proposal 4:</w:t>
      </w:r>
      <w:r>
        <w:rPr>
          <w:rFonts w:asciiTheme="minorHAnsi" w:eastAsiaTheme="minorEastAsia" w:hAnsiTheme="minorHAnsi" w:cstheme="minorBidi"/>
          <w:b w:val="0"/>
          <w:bCs w:val="0"/>
          <w:noProof/>
          <w:sz w:val="22"/>
          <w:szCs w:val="22"/>
        </w:rPr>
        <w:tab/>
      </w:r>
      <w:r w:rsidRPr="00DC0F1E">
        <w:rPr>
          <w:noProof/>
          <w:lang w:val="en-GB"/>
        </w:rPr>
        <w:t>Extend DCI 2-5 to cover frequency-domain availability indication by replacing a unit of slots by a unit of N PRBs or N RBGs.</w:t>
      </w:r>
    </w:p>
    <w:p w14:paraId="71790E12" w14:textId="77777777" w:rsidR="00E54231" w:rsidRDefault="00E54231">
      <w:pPr>
        <w:pStyle w:val="TableofFigures"/>
        <w:rPr>
          <w:rFonts w:asciiTheme="minorHAnsi" w:eastAsiaTheme="minorEastAsia" w:hAnsiTheme="minorHAnsi" w:cstheme="minorBidi"/>
          <w:b w:val="0"/>
          <w:bCs w:val="0"/>
          <w:noProof/>
          <w:sz w:val="22"/>
          <w:szCs w:val="22"/>
        </w:rPr>
      </w:pPr>
      <w:r w:rsidRPr="00DC0F1E">
        <w:rPr>
          <w:noProof/>
          <w:lang w:val="en-GB"/>
        </w:rPr>
        <w:t>Proposal 5:</w:t>
      </w:r>
      <w:r>
        <w:rPr>
          <w:rFonts w:asciiTheme="minorHAnsi" w:eastAsiaTheme="minorEastAsia" w:hAnsiTheme="minorHAnsi" w:cstheme="minorBidi"/>
          <w:b w:val="0"/>
          <w:bCs w:val="0"/>
          <w:noProof/>
          <w:sz w:val="22"/>
          <w:szCs w:val="22"/>
        </w:rPr>
        <w:tab/>
      </w:r>
      <w:r w:rsidRPr="00DC0F1E">
        <w:rPr>
          <w:noProof/>
          <w:lang w:val="en-GB"/>
        </w:rPr>
        <w:t>No need to introduce scaling of N based on system BW or IAB-MT BWP.</w:t>
      </w:r>
    </w:p>
    <w:p w14:paraId="4C1DBC61" w14:textId="77777777" w:rsidR="00E54231" w:rsidRDefault="00E54231">
      <w:pPr>
        <w:pStyle w:val="TableofFigures"/>
        <w:rPr>
          <w:rFonts w:asciiTheme="minorHAnsi" w:eastAsiaTheme="minorEastAsia" w:hAnsiTheme="minorHAnsi" w:cstheme="minorBidi"/>
          <w:b w:val="0"/>
          <w:bCs w:val="0"/>
          <w:noProof/>
          <w:sz w:val="22"/>
          <w:szCs w:val="22"/>
        </w:rPr>
      </w:pPr>
      <w:r>
        <w:rPr>
          <w:noProof/>
        </w:rPr>
        <w:t>Proposal 6:</w:t>
      </w:r>
      <w:r>
        <w:rPr>
          <w:rFonts w:asciiTheme="minorHAnsi" w:eastAsiaTheme="minorEastAsia" w:hAnsiTheme="minorHAnsi" w:cstheme="minorBidi"/>
          <w:b w:val="0"/>
          <w:bCs w:val="0"/>
          <w:noProof/>
          <w:sz w:val="22"/>
          <w:szCs w:val="22"/>
        </w:rPr>
        <w:tab/>
      </w:r>
      <w:r>
        <w:rPr>
          <w:noProof/>
        </w:rPr>
        <w:t>Support per-panel granularity by allowing dynamic indication of restricting/using beams and their associated antenna panels for specific time-frequency resources.</w:t>
      </w:r>
    </w:p>
    <w:p w14:paraId="2BD0A82F" w14:textId="77777777" w:rsidR="00E54231" w:rsidRDefault="00E54231">
      <w:pPr>
        <w:pStyle w:val="TableofFigures"/>
        <w:rPr>
          <w:rFonts w:asciiTheme="minorHAnsi" w:eastAsiaTheme="minorEastAsia" w:hAnsiTheme="minorHAnsi" w:cstheme="minorBidi"/>
          <w:b w:val="0"/>
          <w:bCs w:val="0"/>
          <w:noProof/>
          <w:sz w:val="22"/>
          <w:szCs w:val="22"/>
        </w:rPr>
      </w:pPr>
      <w:r w:rsidRPr="00DC0F1E">
        <w:rPr>
          <w:noProof/>
          <w:lang w:val="en-GB"/>
        </w:rPr>
        <w:t>Proposal 7:</w:t>
      </w:r>
      <w:r>
        <w:rPr>
          <w:rFonts w:asciiTheme="minorHAnsi" w:eastAsiaTheme="minorEastAsia" w:hAnsiTheme="minorHAnsi" w:cstheme="minorBidi"/>
          <w:b w:val="0"/>
          <w:bCs w:val="0"/>
          <w:noProof/>
          <w:sz w:val="22"/>
          <w:szCs w:val="22"/>
        </w:rPr>
        <w:tab/>
      </w:r>
      <w:r w:rsidRPr="00DC0F1E">
        <w:rPr>
          <w:noProof/>
          <w:lang w:val="en-GB"/>
        </w:rPr>
        <w:t>Support early beam/panel indications for the upstream link in addition to downstream indications.</w:t>
      </w:r>
    </w:p>
    <w:p w14:paraId="7ED0EFD5" w14:textId="77777777" w:rsidR="00E54231" w:rsidRDefault="00E54231">
      <w:pPr>
        <w:pStyle w:val="TableofFigures"/>
        <w:rPr>
          <w:rFonts w:asciiTheme="minorHAnsi" w:eastAsiaTheme="minorEastAsia" w:hAnsiTheme="minorHAnsi" w:cstheme="minorBidi"/>
          <w:b w:val="0"/>
          <w:bCs w:val="0"/>
          <w:noProof/>
          <w:sz w:val="22"/>
          <w:szCs w:val="22"/>
        </w:rPr>
      </w:pPr>
      <w:r>
        <w:rPr>
          <w:noProof/>
        </w:rPr>
        <w:t>Proposal 8:</w:t>
      </w:r>
      <w:r>
        <w:rPr>
          <w:rFonts w:asciiTheme="minorHAnsi" w:eastAsiaTheme="minorEastAsia" w:hAnsiTheme="minorHAnsi" w:cstheme="minorBidi"/>
          <w:b w:val="0"/>
          <w:bCs w:val="0"/>
          <w:noProof/>
          <w:sz w:val="22"/>
          <w:szCs w:val="22"/>
        </w:rPr>
        <w:tab/>
      </w:r>
      <w:r>
        <w:rPr>
          <w:noProof/>
        </w:rPr>
        <w:t>Support applicability of beam/panel indications to specific time-frequency resources.</w:t>
      </w:r>
    </w:p>
    <w:p w14:paraId="308DB9A3" w14:textId="77777777" w:rsidR="00E54231" w:rsidRDefault="00E54231">
      <w:pPr>
        <w:pStyle w:val="TableofFigures"/>
        <w:rPr>
          <w:rFonts w:asciiTheme="minorHAnsi" w:eastAsiaTheme="minorEastAsia" w:hAnsiTheme="minorHAnsi" w:cstheme="minorBidi"/>
          <w:b w:val="0"/>
          <w:bCs w:val="0"/>
          <w:noProof/>
          <w:sz w:val="22"/>
          <w:szCs w:val="22"/>
        </w:rPr>
      </w:pPr>
      <w:r>
        <w:rPr>
          <w:noProof/>
        </w:rPr>
        <w:t>Proposal 9:</w:t>
      </w:r>
      <w:r>
        <w:rPr>
          <w:rFonts w:asciiTheme="minorHAnsi" w:eastAsiaTheme="minorEastAsia" w:hAnsiTheme="minorHAnsi" w:cstheme="minorBidi"/>
          <w:b w:val="0"/>
          <w:bCs w:val="0"/>
          <w:noProof/>
          <w:sz w:val="22"/>
          <w:szCs w:val="22"/>
        </w:rPr>
        <w:tab/>
      </w:r>
      <w:r>
        <w:rPr>
          <w:noProof/>
        </w:rPr>
        <w:t>Support signaling IAB node capabilities for timing alignment and multi-panel and baseband characteristics.</w:t>
      </w:r>
    </w:p>
    <w:p w14:paraId="48177469" w14:textId="77777777" w:rsidR="00E54231" w:rsidRDefault="00E54231">
      <w:pPr>
        <w:pStyle w:val="TableofFigures"/>
        <w:rPr>
          <w:rFonts w:asciiTheme="minorHAnsi" w:eastAsiaTheme="minorEastAsia" w:hAnsiTheme="minorHAnsi" w:cstheme="minorBidi"/>
          <w:b w:val="0"/>
          <w:bCs w:val="0"/>
          <w:noProof/>
          <w:sz w:val="22"/>
          <w:szCs w:val="22"/>
        </w:rPr>
      </w:pPr>
      <w:r w:rsidRPr="00DC0F1E">
        <w:rPr>
          <w:noProof/>
          <w:lang w:val="en-GB"/>
        </w:rPr>
        <w:t>Proposal 10:</w:t>
      </w:r>
      <w:r>
        <w:rPr>
          <w:rFonts w:asciiTheme="minorHAnsi" w:eastAsiaTheme="minorEastAsia" w:hAnsiTheme="minorHAnsi" w:cstheme="minorBidi"/>
          <w:b w:val="0"/>
          <w:bCs w:val="0"/>
          <w:noProof/>
          <w:sz w:val="22"/>
          <w:szCs w:val="22"/>
        </w:rPr>
        <w:tab/>
      </w:r>
      <w:r w:rsidRPr="00DC0F1E">
        <w:rPr>
          <w:noProof/>
          <w:lang w:val="en-GB"/>
        </w:rPr>
        <w:t>Support dynamic signalling for communicating operation constraints such as beam, power, interference, and timing alignment constraints along with information of time, frequency, and spatial resources.</w:t>
      </w:r>
    </w:p>
    <w:p w14:paraId="46D9C3F3" w14:textId="77777777" w:rsidR="00E54231" w:rsidRDefault="00E54231">
      <w:pPr>
        <w:pStyle w:val="TableofFigures"/>
        <w:rPr>
          <w:rFonts w:asciiTheme="minorHAnsi" w:eastAsiaTheme="minorEastAsia" w:hAnsiTheme="minorHAnsi" w:cstheme="minorBidi"/>
          <w:b w:val="0"/>
          <w:bCs w:val="0"/>
          <w:noProof/>
          <w:sz w:val="22"/>
          <w:szCs w:val="22"/>
        </w:rPr>
      </w:pPr>
      <w:r w:rsidRPr="00DC0F1E">
        <w:rPr>
          <w:noProof/>
          <w:lang w:val="en-GB"/>
        </w:rPr>
        <w:t>Proposal 11:</w:t>
      </w:r>
      <w:r>
        <w:rPr>
          <w:rFonts w:asciiTheme="minorHAnsi" w:eastAsiaTheme="minorEastAsia" w:hAnsiTheme="minorHAnsi" w:cstheme="minorBidi"/>
          <w:b w:val="0"/>
          <w:bCs w:val="0"/>
          <w:noProof/>
          <w:sz w:val="22"/>
          <w:szCs w:val="22"/>
        </w:rPr>
        <w:tab/>
      </w:r>
      <w:r w:rsidRPr="00DC0F1E">
        <w:rPr>
          <w:noProof/>
          <w:lang w:val="en-GB"/>
        </w:rPr>
        <w:t>Support a guard symbol for switching between timing modes.</w:t>
      </w:r>
    </w:p>
    <w:p w14:paraId="2B3F1905" w14:textId="77777777" w:rsidR="00E54231" w:rsidRDefault="00E54231">
      <w:pPr>
        <w:pStyle w:val="TableofFigures"/>
        <w:rPr>
          <w:rFonts w:asciiTheme="minorHAnsi" w:eastAsiaTheme="minorEastAsia" w:hAnsiTheme="minorHAnsi" w:cstheme="minorBidi"/>
          <w:b w:val="0"/>
          <w:bCs w:val="0"/>
          <w:noProof/>
          <w:sz w:val="22"/>
          <w:szCs w:val="22"/>
        </w:rPr>
      </w:pPr>
      <w:r>
        <w:rPr>
          <w:noProof/>
        </w:rPr>
        <w:t>Proposal 12:</w:t>
      </w:r>
      <w:r>
        <w:rPr>
          <w:rFonts w:asciiTheme="minorHAnsi" w:eastAsiaTheme="minorEastAsia" w:hAnsiTheme="minorHAnsi" w:cstheme="minorBidi"/>
          <w:b w:val="0"/>
          <w:bCs w:val="0"/>
          <w:noProof/>
          <w:sz w:val="22"/>
          <w:szCs w:val="22"/>
        </w:rPr>
        <w:tab/>
      </w:r>
      <w:r>
        <w:rPr>
          <w:noProof/>
        </w:rP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2EAFA331" w14:textId="77777777" w:rsidR="00E54231" w:rsidRDefault="00E54231">
      <w:pPr>
        <w:pStyle w:val="TableofFigures"/>
        <w:rPr>
          <w:rFonts w:asciiTheme="minorHAnsi" w:eastAsiaTheme="minorEastAsia" w:hAnsiTheme="minorHAnsi" w:cstheme="minorBidi"/>
          <w:b w:val="0"/>
          <w:bCs w:val="0"/>
          <w:noProof/>
          <w:sz w:val="22"/>
          <w:szCs w:val="22"/>
        </w:rPr>
      </w:pPr>
      <w:r>
        <w:rPr>
          <w:noProof/>
        </w:rPr>
        <w:t>Proposal 13:</w:t>
      </w:r>
      <w:r>
        <w:rPr>
          <w:rFonts w:asciiTheme="minorHAnsi" w:eastAsiaTheme="minorEastAsia" w:hAnsiTheme="minorHAnsi" w:cstheme="minorBidi"/>
          <w:b w:val="0"/>
          <w:bCs w:val="0"/>
          <w:noProof/>
          <w:sz w:val="22"/>
          <w:szCs w:val="22"/>
        </w:rPr>
        <w:tab/>
      </w:r>
      <w:r>
        <w:rPr>
          <w:noProof/>
        </w:rPr>
        <w:t>In order to reuse the Rel-16 CA TDD prioritization rules:</w:t>
      </w:r>
    </w:p>
    <w:p w14:paraId="2314687E" w14:textId="77777777" w:rsidR="00E54231" w:rsidRDefault="00E54231">
      <w:pPr>
        <w:pStyle w:val="TableofFigures"/>
        <w:rPr>
          <w:rFonts w:asciiTheme="minorHAnsi" w:eastAsiaTheme="minorEastAsia" w:hAnsiTheme="minorHAnsi" w:cstheme="minorBidi"/>
          <w:b w:val="0"/>
          <w:bCs w:val="0"/>
          <w:noProof/>
          <w:sz w:val="22"/>
          <w:szCs w:val="22"/>
        </w:rPr>
      </w:pPr>
      <w:r w:rsidRPr="00DC0F1E">
        <w:rPr>
          <w:rFonts w:ascii="Symbol" w:hAnsi="Symbol"/>
          <w:b w:val="0"/>
          <w:noProof/>
        </w:rPr>
        <w:t></w:t>
      </w:r>
      <w:r>
        <w:rPr>
          <w:rFonts w:asciiTheme="minorHAnsi" w:eastAsiaTheme="minorEastAsia" w:hAnsiTheme="minorHAnsi" w:cstheme="minorBidi"/>
          <w:b w:val="0"/>
          <w:bCs w:val="0"/>
          <w:noProof/>
          <w:sz w:val="22"/>
          <w:szCs w:val="22"/>
        </w:rPr>
        <w:tab/>
      </w:r>
      <w:r>
        <w:rPr>
          <w:noProof/>
        </w:rPr>
        <w:t>support inter-donor signaling for inter-parent coordination;</w:t>
      </w:r>
    </w:p>
    <w:p w14:paraId="60F96D82" w14:textId="77777777" w:rsidR="00E54231" w:rsidRDefault="00E54231">
      <w:pPr>
        <w:pStyle w:val="TableofFigures"/>
        <w:rPr>
          <w:rFonts w:asciiTheme="minorHAnsi" w:eastAsiaTheme="minorEastAsia" w:hAnsiTheme="minorHAnsi" w:cstheme="minorBidi"/>
          <w:b w:val="0"/>
          <w:bCs w:val="0"/>
          <w:noProof/>
          <w:sz w:val="22"/>
          <w:szCs w:val="22"/>
        </w:rPr>
      </w:pPr>
      <w:r w:rsidRPr="00DC0F1E">
        <w:rPr>
          <w:rFonts w:ascii="Symbol" w:hAnsi="Symbol"/>
          <w:b w:val="0"/>
          <w:noProof/>
        </w:rPr>
        <w:t></w:t>
      </w:r>
      <w:r>
        <w:rPr>
          <w:rFonts w:asciiTheme="minorHAnsi" w:eastAsiaTheme="minorEastAsia" w:hAnsiTheme="minorHAnsi" w:cstheme="minorBidi"/>
          <w:b w:val="0"/>
          <w:bCs w:val="0"/>
          <w:noProof/>
          <w:sz w:val="22"/>
          <w:szCs w:val="22"/>
        </w:rPr>
        <w:tab/>
      </w:r>
      <w:r>
        <w:rPr>
          <w:noProof/>
        </w:rPr>
        <w:t>include scenarios of resource conflicts due to timing misalignment.</w:t>
      </w:r>
    </w:p>
    <w:p w14:paraId="3D51BDC7" w14:textId="5BEAF5DB" w:rsidR="006055A3" w:rsidRDefault="009A7FE7" w:rsidP="00A51664">
      <w:pPr>
        <w:pStyle w:val="TableofFigures"/>
        <w:tabs>
          <w:tab w:val="clear" w:pos="1411"/>
          <w:tab w:val="left" w:pos="1418"/>
        </w:tabs>
      </w:pPr>
      <w:r>
        <w:fldChar w:fldCharType="end"/>
      </w:r>
    </w:p>
    <w:p w14:paraId="2AAA3E1B" w14:textId="7D685E96" w:rsidR="00B1741F" w:rsidRPr="001B5AA8" w:rsidRDefault="00B1741F" w:rsidP="00B1741F">
      <w:pPr>
        <w:pStyle w:val="Heading1"/>
      </w:pPr>
      <w:r>
        <w:rPr>
          <w:lang w:val="en-US"/>
        </w:rPr>
        <w:t>References</w:t>
      </w:r>
    </w:p>
    <w:p w14:paraId="32BAA834" w14:textId="545E6CC6" w:rsidR="00FF498A" w:rsidRPr="00F73FA0" w:rsidRDefault="00FF498A" w:rsidP="00B05C5E">
      <w:pPr>
        <w:pStyle w:val="References"/>
        <w:numPr>
          <w:ilvl w:val="0"/>
          <w:numId w:val="4"/>
        </w:numPr>
      </w:pPr>
      <w:bookmarkStart w:id="331" w:name="_Ref54187073"/>
      <w:bookmarkStart w:id="332" w:name="_Ref54186872"/>
      <w:bookmarkStart w:id="333" w:name="_Ref30491916"/>
      <w:bookmarkEnd w:id="2"/>
      <w:bookmarkEnd w:id="3"/>
      <w:r w:rsidRPr="00F73FA0">
        <w:t>R1-210</w:t>
      </w:r>
      <w:r w:rsidR="00F73FA0">
        <w:t>7189</w:t>
      </w:r>
      <w:r w:rsidRPr="00F73FA0">
        <w:t>, “Timing, interference, and power control in enhanced IAB systems,” Lenovo, Motorola Mobility, RAN1#10</w:t>
      </w:r>
      <w:r w:rsidR="00F73FA0">
        <w:t>6</w:t>
      </w:r>
      <w:r w:rsidRPr="00F73FA0">
        <w:t xml:space="preserve">-e, Electronic Meeting, </w:t>
      </w:r>
      <w:r w:rsidR="00F73FA0">
        <w:t>August</w:t>
      </w:r>
      <w:r w:rsidRPr="00F73FA0">
        <w:t xml:space="preserve"> 2021.</w:t>
      </w:r>
      <w:bookmarkEnd w:id="331"/>
    </w:p>
    <w:p w14:paraId="73C7AED5" w14:textId="08A638B1" w:rsidR="00CF228E" w:rsidRPr="004E58DF" w:rsidRDefault="00CF228E" w:rsidP="00B05C5E">
      <w:pPr>
        <w:pStyle w:val="References"/>
        <w:numPr>
          <w:ilvl w:val="0"/>
          <w:numId w:val="4"/>
        </w:numPr>
      </w:pPr>
      <w:bookmarkStart w:id="334" w:name="_Ref79129427"/>
      <w:bookmarkStart w:id="335" w:name="_Ref71645565"/>
      <w:r w:rsidRPr="004E58DF">
        <w:t>RAN1#105-e Chairman’s Notes.</w:t>
      </w:r>
      <w:bookmarkEnd w:id="334"/>
    </w:p>
    <w:p w14:paraId="3C829CDA" w14:textId="3D94E2C0" w:rsidR="00597C2C" w:rsidRPr="004E58DF" w:rsidRDefault="00597C2C" w:rsidP="00B05C5E">
      <w:pPr>
        <w:pStyle w:val="References"/>
        <w:numPr>
          <w:ilvl w:val="0"/>
          <w:numId w:val="4"/>
        </w:numPr>
      </w:pPr>
      <w:bookmarkStart w:id="336" w:name="_Ref71645600"/>
      <w:bookmarkEnd w:id="4"/>
      <w:bookmarkEnd w:id="332"/>
      <w:bookmarkEnd w:id="333"/>
      <w:bookmarkEnd w:id="335"/>
      <w:r w:rsidRPr="004E58DF">
        <w:t>RAN1#95</w:t>
      </w:r>
      <w:r w:rsidR="00AC7138" w:rsidRPr="004E58DF">
        <w:t>, RAN1#100 Chairman’s Notes.</w:t>
      </w:r>
      <w:bookmarkEnd w:id="336"/>
    </w:p>
    <w:sectPr w:rsidR="00597C2C" w:rsidRPr="004E58DF"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6C33F" w14:textId="77777777" w:rsidR="002777F5" w:rsidRDefault="002777F5">
      <w:r>
        <w:separator/>
      </w:r>
    </w:p>
  </w:endnote>
  <w:endnote w:type="continuationSeparator" w:id="0">
    <w:p w14:paraId="7E4FD59C" w14:textId="77777777" w:rsidR="002777F5" w:rsidRDefault="002777F5">
      <w:r>
        <w:continuationSeparator/>
      </w:r>
    </w:p>
  </w:endnote>
  <w:endnote w:type="continuationNotice" w:id="1">
    <w:p w14:paraId="663858AC" w14:textId="77777777" w:rsidR="002777F5" w:rsidRDefault="00277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78AE7" w14:textId="77777777" w:rsidR="007324EA" w:rsidRDefault="007324E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7324EA" w:rsidRDefault="007324E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45AE" w14:textId="2DA8EDFF" w:rsidR="007324EA" w:rsidRDefault="007324E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8E8854" w14:textId="77777777" w:rsidR="002777F5" w:rsidRDefault="002777F5">
      <w:r>
        <w:separator/>
      </w:r>
    </w:p>
  </w:footnote>
  <w:footnote w:type="continuationSeparator" w:id="0">
    <w:p w14:paraId="0AEF4E37" w14:textId="77777777" w:rsidR="002777F5" w:rsidRDefault="002777F5">
      <w:r>
        <w:continuationSeparator/>
      </w:r>
    </w:p>
  </w:footnote>
  <w:footnote w:type="continuationNotice" w:id="1">
    <w:p w14:paraId="7FE37D3A" w14:textId="77777777" w:rsidR="002777F5" w:rsidRDefault="002777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0A9B9" w14:textId="77777777" w:rsidR="007324EA" w:rsidRDefault="007324E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8C4EDE"/>
    <w:multiLevelType w:val="hybridMultilevel"/>
    <w:tmpl w:val="5F98B502"/>
    <w:lvl w:ilvl="0" w:tplc="8A9AC4E6">
      <w:start w:val="1"/>
      <w:numFmt w:val="decimal"/>
      <w:pStyle w:val="Observation"/>
      <w:lvlText w:val="Observa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4" w15:restartNumberingAfterBreak="0">
    <w:nsid w:val="1FD269EA"/>
    <w:multiLevelType w:val="hybridMultilevel"/>
    <w:tmpl w:val="46CA3B64"/>
    <w:lvl w:ilvl="0" w:tplc="DA00E52A">
      <w:start w:val="1"/>
      <w:numFmt w:val="decimal"/>
      <w:pStyle w:val="Proposal"/>
      <w:lvlText w:val="Proposal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D454C7"/>
    <w:multiLevelType w:val="hybridMultilevel"/>
    <w:tmpl w:val="5B9E2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5B64BD"/>
    <w:multiLevelType w:val="hybridMultilevel"/>
    <w:tmpl w:val="FAEE2638"/>
    <w:lvl w:ilvl="0" w:tplc="1944B562">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0A00EB"/>
    <w:multiLevelType w:val="hybridMultilevel"/>
    <w:tmpl w:val="40C402DC"/>
    <w:lvl w:ilvl="0" w:tplc="D7ECFDD0">
      <w:numFmt w:val="bullet"/>
      <w:lvlText w:val="-"/>
      <w:lvlJc w:val="left"/>
      <w:pPr>
        <w:ind w:left="1004" w:hanging="360"/>
      </w:pPr>
      <w:rPr>
        <w:rFonts w:ascii="Calibri" w:eastAsiaTheme="minorHAnsi" w:hAnsi="Calibri" w:cs="Calibri"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8B66B5"/>
    <w:multiLevelType w:val="hybridMultilevel"/>
    <w:tmpl w:val="E592D996"/>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11"/>
  </w:num>
  <w:num w:numId="4">
    <w:abstractNumId w:val="11"/>
    <w:lvlOverride w:ilvl="0">
      <w:startOverride w:val="1"/>
    </w:lvlOverride>
  </w:num>
  <w:num w:numId="5">
    <w:abstractNumId w:val="7"/>
  </w:num>
  <w:num w:numId="6">
    <w:abstractNumId w:val="19"/>
  </w:num>
  <w:num w:numId="7">
    <w:abstractNumId w:val="4"/>
  </w:num>
  <w:num w:numId="8">
    <w:abstractNumId w:val="15"/>
  </w:num>
  <w:num w:numId="9">
    <w:abstractNumId w:val="9"/>
  </w:num>
  <w:num w:numId="10">
    <w:abstractNumId w:val="1"/>
  </w:num>
  <w:num w:numId="11">
    <w:abstractNumId w:val="10"/>
  </w:num>
  <w:num w:numId="12">
    <w:abstractNumId w:val="18"/>
  </w:num>
  <w:num w:numId="13">
    <w:abstractNumId w:val="0"/>
  </w:num>
  <w:num w:numId="14">
    <w:abstractNumId w:val="14"/>
  </w:num>
  <w:num w:numId="15">
    <w:abstractNumId w:val="2"/>
  </w:num>
  <w:num w:numId="16">
    <w:abstractNumId w:val="6"/>
  </w:num>
  <w:num w:numId="17">
    <w:abstractNumId w:val="16"/>
  </w:num>
  <w:num w:numId="18">
    <w:abstractNumId w:val="17"/>
  </w:num>
  <w:num w:numId="19">
    <w:abstractNumId w:val="13"/>
  </w:num>
  <w:num w:numId="20">
    <w:abstractNumId w:val="12"/>
  </w:num>
  <w:num w:numId="2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2EA"/>
    <w:rsid w:val="000037FB"/>
    <w:rsid w:val="00003DAE"/>
    <w:rsid w:val="00003EF0"/>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661"/>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26ED0"/>
    <w:rsid w:val="0002735A"/>
    <w:rsid w:val="000300FE"/>
    <w:rsid w:val="00030F08"/>
    <w:rsid w:val="00030F74"/>
    <w:rsid w:val="000319C1"/>
    <w:rsid w:val="00031EDD"/>
    <w:rsid w:val="00032D1E"/>
    <w:rsid w:val="00032DAB"/>
    <w:rsid w:val="00032E45"/>
    <w:rsid w:val="00033796"/>
    <w:rsid w:val="000349B7"/>
    <w:rsid w:val="000349E0"/>
    <w:rsid w:val="00034B9E"/>
    <w:rsid w:val="00034C07"/>
    <w:rsid w:val="00034CFE"/>
    <w:rsid w:val="00035400"/>
    <w:rsid w:val="0003540B"/>
    <w:rsid w:val="000357CA"/>
    <w:rsid w:val="00035BA3"/>
    <w:rsid w:val="000377B8"/>
    <w:rsid w:val="00037A21"/>
    <w:rsid w:val="00037C88"/>
    <w:rsid w:val="000404F2"/>
    <w:rsid w:val="000417B6"/>
    <w:rsid w:val="000421A0"/>
    <w:rsid w:val="0004274B"/>
    <w:rsid w:val="000429D0"/>
    <w:rsid w:val="00042C2A"/>
    <w:rsid w:val="0004428E"/>
    <w:rsid w:val="0004434E"/>
    <w:rsid w:val="00044AFB"/>
    <w:rsid w:val="00044EFE"/>
    <w:rsid w:val="000451E5"/>
    <w:rsid w:val="000453F6"/>
    <w:rsid w:val="00045AB2"/>
    <w:rsid w:val="000467AB"/>
    <w:rsid w:val="000469C6"/>
    <w:rsid w:val="00046CD6"/>
    <w:rsid w:val="00047127"/>
    <w:rsid w:val="000477BB"/>
    <w:rsid w:val="00047AA9"/>
    <w:rsid w:val="00050068"/>
    <w:rsid w:val="0005055B"/>
    <w:rsid w:val="00050E72"/>
    <w:rsid w:val="00051135"/>
    <w:rsid w:val="00051173"/>
    <w:rsid w:val="00051711"/>
    <w:rsid w:val="00051BDC"/>
    <w:rsid w:val="00052588"/>
    <w:rsid w:val="00053782"/>
    <w:rsid w:val="00053A47"/>
    <w:rsid w:val="00053AB5"/>
    <w:rsid w:val="00054F5A"/>
    <w:rsid w:val="00055B35"/>
    <w:rsid w:val="0005602E"/>
    <w:rsid w:val="00056057"/>
    <w:rsid w:val="000565AE"/>
    <w:rsid w:val="000570A3"/>
    <w:rsid w:val="000570E2"/>
    <w:rsid w:val="0005759C"/>
    <w:rsid w:val="00057F6C"/>
    <w:rsid w:val="00060BE0"/>
    <w:rsid w:val="00060D34"/>
    <w:rsid w:val="00060FDB"/>
    <w:rsid w:val="000612C5"/>
    <w:rsid w:val="000619CC"/>
    <w:rsid w:val="00062551"/>
    <w:rsid w:val="00062963"/>
    <w:rsid w:val="00062CA8"/>
    <w:rsid w:val="00063E21"/>
    <w:rsid w:val="00063F57"/>
    <w:rsid w:val="00064E31"/>
    <w:rsid w:val="0006549C"/>
    <w:rsid w:val="0006633C"/>
    <w:rsid w:val="00066576"/>
    <w:rsid w:val="000665AA"/>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6C21"/>
    <w:rsid w:val="00077EB9"/>
    <w:rsid w:val="000801D8"/>
    <w:rsid w:val="00080783"/>
    <w:rsid w:val="00080C8B"/>
    <w:rsid w:val="0008115F"/>
    <w:rsid w:val="00081546"/>
    <w:rsid w:val="000820C9"/>
    <w:rsid w:val="0008257A"/>
    <w:rsid w:val="000827E6"/>
    <w:rsid w:val="00083322"/>
    <w:rsid w:val="000840E7"/>
    <w:rsid w:val="00084255"/>
    <w:rsid w:val="00084C78"/>
    <w:rsid w:val="00085465"/>
    <w:rsid w:val="00085C0B"/>
    <w:rsid w:val="00086602"/>
    <w:rsid w:val="00086864"/>
    <w:rsid w:val="00086B50"/>
    <w:rsid w:val="00087085"/>
    <w:rsid w:val="00087E29"/>
    <w:rsid w:val="000900D7"/>
    <w:rsid w:val="00090323"/>
    <w:rsid w:val="000913D5"/>
    <w:rsid w:val="00091978"/>
    <w:rsid w:val="000931C3"/>
    <w:rsid w:val="00093582"/>
    <w:rsid w:val="00093ED6"/>
    <w:rsid w:val="00094EF2"/>
    <w:rsid w:val="0009559C"/>
    <w:rsid w:val="00095B6A"/>
    <w:rsid w:val="000962D1"/>
    <w:rsid w:val="0009709B"/>
    <w:rsid w:val="000A0D72"/>
    <w:rsid w:val="000A0E99"/>
    <w:rsid w:val="000A19B6"/>
    <w:rsid w:val="000A1D49"/>
    <w:rsid w:val="000A1FB3"/>
    <w:rsid w:val="000A2AA6"/>
    <w:rsid w:val="000A356B"/>
    <w:rsid w:val="000A3582"/>
    <w:rsid w:val="000A3ACB"/>
    <w:rsid w:val="000A4B74"/>
    <w:rsid w:val="000A6466"/>
    <w:rsid w:val="000A6788"/>
    <w:rsid w:val="000A6CFE"/>
    <w:rsid w:val="000B051F"/>
    <w:rsid w:val="000B1B68"/>
    <w:rsid w:val="000B1CD3"/>
    <w:rsid w:val="000B1FBE"/>
    <w:rsid w:val="000B219A"/>
    <w:rsid w:val="000B23E2"/>
    <w:rsid w:val="000B245F"/>
    <w:rsid w:val="000B247A"/>
    <w:rsid w:val="000B256B"/>
    <w:rsid w:val="000B3F37"/>
    <w:rsid w:val="000B441A"/>
    <w:rsid w:val="000B4F62"/>
    <w:rsid w:val="000B546F"/>
    <w:rsid w:val="000B58B7"/>
    <w:rsid w:val="000B5E4A"/>
    <w:rsid w:val="000B60D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222"/>
    <w:rsid w:val="000C6447"/>
    <w:rsid w:val="000C64FB"/>
    <w:rsid w:val="000C657C"/>
    <w:rsid w:val="000C764F"/>
    <w:rsid w:val="000D037E"/>
    <w:rsid w:val="000D0C91"/>
    <w:rsid w:val="000D0F9A"/>
    <w:rsid w:val="000D11B1"/>
    <w:rsid w:val="000D148D"/>
    <w:rsid w:val="000D1570"/>
    <w:rsid w:val="000D1610"/>
    <w:rsid w:val="000D1842"/>
    <w:rsid w:val="000D1A08"/>
    <w:rsid w:val="000D1B65"/>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0D31"/>
    <w:rsid w:val="000F1313"/>
    <w:rsid w:val="000F15E6"/>
    <w:rsid w:val="000F1CF3"/>
    <w:rsid w:val="000F2944"/>
    <w:rsid w:val="000F2AD9"/>
    <w:rsid w:val="000F4734"/>
    <w:rsid w:val="000F4F44"/>
    <w:rsid w:val="000F6974"/>
    <w:rsid w:val="000F6AFA"/>
    <w:rsid w:val="000F6DDE"/>
    <w:rsid w:val="000F7452"/>
    <w:rsid w:val="000F794D"/>
    <w:rsid w:val="00100E41"/>
    <w:rsid w:val="00101489"/>
    <w:rsid w:val="00101ACE"/>
    <w:rsid w:val="00102147"/>
    <w:rsid w:val="00102FE9"/>
    <w:rsid w:val="00103E0E"/>
    <w:rsid w:val="00104058"/>
    <w:rsid w:val="0010405D"/>
    <w:rsid w:val="00104228"/>
    <w:rsid w:val="0010458A"/>
    <w:rsid w:val="00104A80"/>
    <w:rsid w:val="00105820"/>
    <w:rsid w:val="001059E6"/>
    <w:rsid w:val="00105CEE"/>
    <w:rsid w:val="00105FC2"/>
    <w:rsid w:val="00106117"/>
    <w:rsid w:val="00106CC3"/>
    <w:rsid w:val="00106E7E"/>
    <w:rsid w:val="00107123"/>
    <w:rsid w:val="00107A94"/>
    <w:rsid w:val="00110030"/>
    <w:rsid w:val="00110086"/>
    <w:rsid w:val="0011051C"/>
    <w:rsid w:val="0011093D"/>
    <w:rsid w:val="00110AE3"/>
    <w:rsid w:val="00111011"/>
    <w:rsid w:val="001115C0"/>
    <w:rsid w:val="00111AD9"/>
    <w:rsid w:val="00112B8F"/>
    <w:rsid w:val="00112CFB"/>
    <w:rsid w:val="001132E9"/>
    <w:rsid w:val="001133B5"/>
    <w:rsid w:val="001134DA"/>
    <w:rsid w:val="001140FA"/>
    <w:rsid w:val="001146A3"/>
    <w:rsid w:val="00114B8D"/>
    <w:rsid w:val="00114EA7"/>
    <w:rsid w:val="00115B96"/>
    <w:rsid w:val="00116B51"/>
    <w:rsid w:val="00117957"/>
    <w:rsid w:val="00117C13"/>
    <w:rsid w:val="00120545"/>
    <w:rsid w:val="00120B2D"/>
    <w:rsid w:val="00121412"/>
    <w:rsid w:val="00123993"/>
    <w:rsid w:val="0012453C"/>
    <w:rsid w:val="0012467D"/>
    <w:rsid w:val="00124A01"/>
    <w:rsid w:val="00124D4C"/>
    <w:rsid w:val="00125039"/>
    <w:rsid w:val="00126536"/>
    <w:rsid w:val="001267EE"/>
    <w:rsid w:val="00127299"/>
    <w:rsid w:val="001274AC"/>
    <w:rsid w:val="001275E6"/>
    <w:rsid w:val="00127B6B"/>
    <w:rsid w:val="00127DE2"/>
    <w:rsid w:val="0013017B"/>
    <w:rsid w:val="00130220"/>
    <w:rsid w:val="00130BC9"/>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2720"/>
    <w:rsid w:val="0014371C"/>
    <w:rsid w:val="001437AD"/>
    <w:rsid w:val="00143A51"/>
    <w:rsid w:val="00143FFE"/>
    <w:rsid w:val="0014452E"/>
    <w:rsid w:val="00144F22"/>
    <w:rsid w:val="001459EB"/>
    <w:rsid w:val="00145EA7"/>
    <w:rsid w:val="001461C2"/>
    <w:rsid w:val="00146540"/>
    <w:rsid w:val="00146B09"/>
    <w:rsid w:val="00146E5E"/>
    <w:rsid w:val="0014719D"/>
    <w:rsid w:val="001474D9"/>
    <w:rsid w:val="00147B5F"/>
    <w:rsid w:val="00147D67"/>
    <w:rsid w:val="00147E88"/>
    <w:rsid w:val="0015019F"/>
    <w:rsid w:val="00150577"/>
    <w:rsid w:val="00150616"/>
    <w:rsid w:val="0015135A"/>
    <w:rsid w:val="00151516"/>
    <w:rsid w:val="00151805"/>
    <w:rsid w:val="00151D5F"/>
    <w:rsid w:val="001529E0"/>
    <w:rsid w:val="00152BA8"/>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3EAD"/>
    <w:rsid w:val="0016465B"/>
    <w:rsid w:val="001647FA"/>
    <w:rsid w:val="00164961"/>
    <w:rsid w:val="00166868"/>
    <w:rsid w:val="001669CF"/>
    <w:rsid w:val="00167857"/>
    <w:rsid w:val="001678EF"/>
    <w:rsid w:val="00167C50"/>
    <w:rsid w:val="00167ECA"/>
    <w:rsid w:val="00170818"/>
    <w:rsid w:val="00172414"/>
    <w:rsid w:val="001724C5"/>
    <w:rsid w:val="00172C20"/>
    <w:rsid w:val="001746E6"/>
    <w:rsid w:val="00174883"/>
    <w:rsid w:val="00174DDB"/>
    <w:rsid w:val="001752EC"/>
    <w:rsid w:val="001755CA"/>
    <w:rsid w:val="00175891"/>
    <w:rsid w:val="001758E7"/>
    <w:rsid w:val="00175989"/>
    <w:rsid w:val="00175B5A"/>
    <w:rsid w:val="00177A0D"/>
    <w:rsid w:val="00177EBD"/>
    <w:rsid w:val="0018016C"/>
    <w:rsid w:val="00181B3A"/>
    <w:rsid w:val="001820B2"/>
    <w:rsid w:val="001828E0"/>
    <w:rsid w:val="00183A98"/>
    <w:rsid w:val="00185E59"/>
    <w:rsid w:val="001901BA"/>
    <w:rsid w:val="001907C8"/>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6220"/>
    <w:rsid w:val="0019734F"/>
    <w:rsid w:val="001977D0"/>
    <w:rsid w:val="00197FA7"/>
    <w:rsid w:val="001A019F"/>
    <w:rsid w:val="001A0303"/>
    <w:rsid w:val="001A037C"/>
    <w:rsid w:val="001A067A"/>
    <w:rsid w:val="001A0C40"/>
    <w:rsid w:val="001A0D8D"/>
    <w:rsid w:val="001A2438"/>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460"/>
    <w:rsid w:val="001B78D5"/>
    <w:rsid w:val="001B7AB3"/>
    <w:rsid w:val="001C0085"/>
    <w:rsid w:val="001C04A8"/>
    <w:rsid w:val="001C063F"/>
    <w:rsid w:val="001C16A9"/>
    <w:rsid w:val="001C1AD0"/>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39E"/>
    <w:rsid w:val="001D57BC"/>
    <w:rsid w:val="001D59DC"/>
    <w:rsid w:val="001D6EEB"/>
    <w:rsid w:val="001D6F30"/>
    <w:rsid w:val="001D7260"/>
    <w:rsid w:val="001D7816"/>
    <w:rsid w:val="001D784C"/>
    <w:rsid w:val="001D7B96"/>
    <w:rsid w:val="001E095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935"/>
    <w:rsid w:val="001F6A95"/>
    <w:rsid w:val="001F6D33"/>
    <w:rsid w:val="001F6D81"/>
    <w:rsid w:val="001F6E62"/>
    <w:rsid w:val="0020032D"/>
    <w:rsid w:val="002003F3"/>
    <w:rsid w:val="00200BF9"/>
    <w:rsid w:val="00201197"/>
    <w:rsid w:val="002015BA"/>
    <w:rsid w:val="00201661"/>
    <w:rsid w:val="00201ACB"/>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3C10"/>
    <w:rsid w:val="00213F4E"/>
    <w:rsid w:val="00213F9D"/>
    <w:rsid w:val="00214132"/>
    <w:rsid w:val="00214E0D"/>
    <w:rsid w:val="0021517F"/>
    <w:rsid w:val="002159DE"/>
    <w:rsid w:val="002165F9"/>
    <w:rsid w:val="00216685"/>
    <w:rsid w:val="00216B3C"/>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5164"/>
    <w:rsid w:val="00226460"/>
    <w:rsid w:val="0022657F"/>
    <w:rsid w:val="00226BD3"/>
    <w:rsid w:val="002279D2"/>
    <w:rsid w:val="00227C76"/>
    <w:rsid w:val="00227FF3"/>
    <w:rsid w:val="00230814"/>
    <w:rsid w:val="002309A5"/>
    <w:rsid w:val="00230AD3"/>
    <w:rsid w:val="00230D88"/>
    <w:rsid w:val="002314BC"/>
    <w:rsid w:val="002314EE"/>
    <w:rsid w:val="00231A4A"/>
    <w:rsid w:val="00231C70"/>
    <w:rsid w:val="00231D67"/>
    <w:rsid w:val="00233718"/>
    <w:rsid w:val="00235F2E"/>
    <w:rsid w:val="00236F71"/>
    <w:rsid w:val="00237779"/>
    <w:rsid w:val="00237D3F"/>
    <w:rsid w:val="00237E83"/>
    <w:rsid w:val="002400D6"/>
    <w:rsid w:val="002416E8"/>
    <w:rsid w:val="00241DAF"/>
    <w:rsid w:val="00242284"/>
    <w:rsid w:val="00242C9E"/>
    <w:rsid w:val="0024353D"/>
    <w:rsid w:val="0024379E"/>
    <w:rsid w:val="00243ACD"/>
    <w:rsid w:val="00244924"/>
    <w:rsid w:val="00244DF7"/>
    <w:rsid w:val="00244E50"/>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4519"/>
    <w:rsid w:val="002562E9"/>
    <w:rsid w:val="00256B8F"/>
    <w:rsid w:val="00257A62"/>
    <w:rsid w:val="002605CB"/>
    <w:rsid w:val="0026075E"/>
    <w:rsid w:val="00260906"/>
    <w:rsid w:val="00260998"/>
    <w:rsid w:val="00261142"/>
    <w:rsid w:val="002612AF"/>
    <w:rsid w:val="00261D05"/>
    <w:rsid w:val="00262830"/>
    <w:rsid w:val="00262952"/>
    <w:rsid w:val="00263BC6"/>
    <w:rsid w:val="00263C17"/>
    <w:rsid w:val="002644D5"/>
    <w:rsid w:val="00264B50"/>
    <w:rsid w:val="00265701"/>
    <w:rsid w:val="00265996"/>
    <w:rsid w:val="00265A57"/>
    <w:rsid w:val="00265B7E"/>
    <w:rsid w:val="00266210"/>
    <w:rsid w:val="00266FF8"/>
    <w:rsid w:val="0026716C"/>
    <w:rsid w:val="002676D3"/>
    <w:rsid w:val="002676EA"/>
    <w:rsid w:val="00270087"/>
    <w:rsid w:val="0027074B"/>
    <w:rsid w:val="00271501"/>
    <w:rsid w:val="002727C8"/>
    <w:rsid w:val="00272FEB"/>
    <w:rsid w:val="002738C9"/>
    <w:rsid w:val="00273B2D"/>
    <w:rsid w:val="00273CFB"/>
    <w:rsid w:val="00273E2E"/>
    <w:rsid w:val="00274B3C"/>
    <w:rsid w:val="002756D5"/>
    <w:rsid w:val="0027598E"/>
    <w:rsid w:val="00275AD2"/>
    <w:rsid w:val="00276AA1"/>
    <w:rsid w:val="0027702F"/>
    <w:rsid w:val="0027723B"/>
    <w:rsid w:val="0027731D"/>
    <w:rsid w:val="002777F5"/>
    <w:rsid w:val="00277E66"/>
    <w:rsid w:val="00277EB5"/>
    <w:rsid w:val="00277EC3"/>
    <w:rsid w:val="00277F86"/>
    <w:rsid w:val="002801E2"/>
    <w:rsid w:val="00280B1C"/>
    <w:rsid w:val="00282055"/>
    <w:rsid w:val="00283CB6"/>
    <w:rsid w:val="002841AB"/>
    <w:rsid w:val="00284796"/>
    <w:rsid w:val="00284B31"/>
    <w:rsid w:val="00285894"/>
    <w:rsid w:val="00286426"/>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EDF"/>
    <w:rsid w:val="00296FD8"/>
    <w:rsid w:val="0029743A"/>
    <w:rsid w:val="00297DBE"/>
    <w:rsid w:val="002A0724"/>
    <w:rsid w:val="002A07C1"/>
    <w:rsid w:val="002A08EC"/>
    <w:rsid w:val="002A1DF0"/>
    <w:rsid w:val="002A205B"/>
    <w:rsid w:val="002A3668"/>
    <w:rsid w:val="002A53DF"/>
    <w:rsid w:val="002A67AD"/>
    <w:rsid w:val="002B03CD"/>
    <w:rsid w:val="002B07BF"/>
    <w:rsid w:val="002B0805"/>
    <w:rsid w:val="002B0FD5"/>
    <w:rsid w:val="002B11A0"/>
    <w:rsid w:val="002B26D2"/>
    <w:rsid w:val="002B2C92"/>
    <w:rsid w:val="002B318B"/>
    <w:rsid w:val="002B3AB3"/>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6EB"/>
    <w:rsid w:val="002C3AE4"/>
    <w:rsid w:val="002C4749"/>
    <w:rsid w:val="002C4CB7"/>
    <w:rsid w:val="002C5235"/>
    <w:rsid w:val="002C5620"/>
    <w:rsid w:val="002C57BB"/>
    <w:rsid w:val="002C61E0"/>
    <w:rsid w:val="002C6221"/>
    <w:rsid w:val="002C6374"/>
    <w:rsid w:val="002C6BE0"/>
    <w:rsid w:val="002C7B03"/>
    <w:rsid w:val="002D0657"/>
    <w:rsid w:val="002D08DC"/>
    <w:rsid w:val="002D13B7"/>
    <w:rsid w:val="002D1A21"/>
    <w:rsid w:val="002D20FC"/>
    <w:rsid w:val="002D26FA"/>
    <w:rsid w:val="002D2B4E"/>
    <w:rsid w:val="002D34F5"/>
    <w:rsid w:val="002D40D9"/>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6BD6"/>
    <w:rsid w:val="002F7D48"/>
    <w:rsid w:val="002F7D9F"/>
    <w:rsid w:val="0030000D"/>
    <w:rsid w:val="003005AC"/>
    <w:rsid w:val="00300A26"/>
    <w:rsid w:val="003011C0"/>
    <w:rsid w:val="0030121F"/>
    <w:rsid w:val="00301890"/>
    <w:rsid w:val="003024DE"/>
    <w:rsid w:val="00302701"/>
    <w:rsid w:val="00302CBE"/>
    <w:rsid w:val="0030305A"/>
    <w:rsid w:val="00303442"/>
    <w:rsid w:val="003044B9"/>
    <w:rsid w:val="00304F48"/>
    <w:rsid w:val="003073BB"/>
    <w:rsid w:val="00307683"/>
    <w:rsid w:val="00307B27"/>
    <w:rsid w:val="00307D3F"/>
    <w:rsid w:val="0031013F"/>
    <w:rsid w:val="0031058E"/>
    <w:rsid w:val="00311941"/>
    <w:rsid w:val="003123EA"/>
    <w:rsid w:val="003125FA"/>
    <w:rsid w:val="00313982"/>
    <w:rsid w:val="00313C4F"/>
    <w:rsid w:val="00314280"/>
    <w:rsid w:val="003158FE"/>
    <w:rsid w:val="003159C8"/>
    <w:rsid w:val="00315DD9"/>
    <w:rsid w:val="00316717"/>
    <w:rsid w:val="00317050"/>
    <w:rsid w:val="00320B56"/>
    <w:rsid w:val="00320BED"/>
    <w:rsid w:val="00320F94"/>
    <w:rsid w:val="003230B0"/>
    <w:rsid w:val="00325F5C"/>
    <w:rsid w:val="003264D4"/>
    <w:rsid w:val="003268CF"/>
    <w:rsid w:val="00326974"/>
    <w:rsid w:val="003274C8"/>
    <w:rsid w:val="00327A0A"/>
    <w:rsid w:val="0033007D"/>
    <w:rsid w:val="0033027D"/>
    <w:rsid w:val="003308C4"/>
    <w:rsid w:val="00330DE8"/>
    <w:rsid w:val="00331EDC"/>
    <w:rsid w:val="00331FF4"/>
    <w:rsid w:val="003323F3"/>
    <w:rsid w:val="0033306E"/>
    <w:rsid w:val="00333DC8"/>
    <w:rsid w:val="00335250"/>
    <w:rsid w:val="0033592C"/>
    <w:rsid w:val="00335B9C"/>
    <w:rsid w:val="00335C8D"/>
    <w:rsid w:val="00336164"/>
    <w:rsid w:val="0034150F"/>
    <w:rsid w:val="003415D0"/>
    <w:rsid w:val="0034298C"/>
    <w:rsid w:val="0034305B"/>
    <w:rsid w:val="00343E84"/>
    <w:rsid w:val="003444EB"/>
    <w:rsid w:val="00344778"/>
    <w:rsid w:val="00344E12"/>
    <w:rsid w:val="00344F78"/>
    <w:rsid w:val="0034511B"/>
    <w:rsid w:val="00345740"/>
    <w:rsid w:val="00346871"/>
    <w:rsid w:val="00346F28"/>
    <w:rsid w:val="003504EC"/>
    <w:rsid w:val="00350996"/>
    <w:rsid w:val="003509B5"/>
    <w:rsid w:val="00350EF6"/>
    <w:rsid w:val="00351118"/>
    <w:rsid w:val="003523C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0C31"/>
    <w:rsid w:val="0036185C"/>
    <w:rsid w:val="00361AFA"/>
    <w:rsid w:val="00362C5A"/>
    <w:rsid w:val="00362FFF"/>
    <w:rsid w:val="00364283"/>
    <w:rsid w:val="003643CE"/>
    <w:rsid w:val="00364C7A"/>
    <w:rsid w:val="003661C5"/>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BEF"/>
    <w:rsid w:val="00376C0D"/>
    <w:rsid w:val="0037709A"/>
    <w:rsid w:val="003773C7"/>
    <w:rsid w:val="00377569"/>
    <w:rsid w:val="00377A0F"/>
    <w:rsid w:val="00377A68"/>
    <w:rsid w:val="00377C91"/>
    <w:rsid w:val="00377CE8"/>
    <w:rsid w:val="003810EA"/>
    <w:rsid w:val="003811F7"/>
    <w:rsid w:val="0038166A"/>
    <w:rsid w:val="0038187D"/>
    <w:rsid w:val="003821E7"/>
    <w:rsid w:val="00382B96"/>
    <w:rsid w:val="00383130"/>
    <w:rsid w:val="003834C7"/>
    <w:rsid w:val="00383881"/>
    <w:rsid w:val="00383D4B"/>
    <w:rsid w:val="00384735"/>
    <w:rsid w:val="003848D9"/>
    <w:rsid w:val="00384A11"/>
    <w:rsid w:val="00385614"/>
    <w:rsid w:val="00385DBB"/>
    <w:rsid w:val="00386B71"/>
    <w:rsid w:val="003871D9"/>
    <w:rsid w:val="00387636"/>
    <w:rsid w:val="00387771"/>
    <w:rsid w:val="00387B4D"/>
    <w:rsid w:val="003908C2"/>
    <w:rsid w:val="0039178D"/>
    <w:rsid w:val="00392C0A"/>
    <w:rsid w:val="00392D4A"/>
    <w:rsid w:val="00393367"/>
    <w:rsid w:val="003939F6"/>
    <w:rsid w:val="00393AA5"/>
    <w:rsid w:val="00393B78"/>
    <w:rsid w:val="00393B7F"/>
    <w:rsid w:val="003942A4"/>
    <w:rsid w:val="00394E4F"/>
    <w:rsid w:val="003959A9"/>
    <w:rsid w:val="0039665F"/>
    <w:rsid w:val="00396D81"/>
    <w:rsid w:val="0039732D"/>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A7AF7"/>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A23"/>
    <w:rsid w:val="003C1F75"/>
    <w:rsid w:val="003C23C3"/>
    <w:rsid w:val="003C28E6"/>
    <w:rsid w:val="003C44F9"/>
    <w:rsid w:val="003C45D9"/>
    <w:rsid w:val="003C4F25"/>
    <w:rsid w:val="003C5113"/>
    <w:rsid w:val="003C5399"/>
    <w:rsid w:val="003C5FE4"/>
    <w:rsid w:val="003C6E9F"/>
    <w:rsid w:val="003C78A0"/>
    <w:rsid w:val="003C7CE7"/>
    <w:rsid w:val="003D0246"/>
    <w:rsid w:val="003D09DA"/>
    <w:rsid w:val="003D0A1E"/>
    <w:rsid w:val="003D0AD2"/>
    <w:rsid w:val="003D12AF"/>
    <w:rsid w:val="003D132A"/>
    <w:rsid w:val="003D1529"/>
    <w:rsid w:val="003D2024"/>
    <w:rsid w:val="003D2339"/>
    <w:rsid w:val="003D26AA"/>
    <w:rsid w:val="003D26FE"/>
    <w:rsid w:val="003D3577"/>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E9D"/>
    <w:rsid w:val="003E2FAF"/>
    <w:rsid w:val="003E3524"/>
    <w:rsid w:val="003E363C"/>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17"/>
    <w:rsid w:val="003F7984"/>
    <w:rsid w:val="003F7DFF"/>
    <w:rsid w:val="0040042A"/>
    <w:rsid w:val="004009C5"/>
    <w:rsid w:val="00400E97"/>
    <w:rsid w:val="004024AB"/>
    <w:rsid w:val="0040303D"/>
    <w:rsid w:val="0040379F"/>
    <w:rsid w:val="00403883"/>
    <w:rsid w:val="00403F25"/>
    <w:rsid w:val="00404024"/>
    <w:rsid w:val="004041B2"/>
    <w:rsid w:val="004041BC"/>
    <w:rsid w:val="004051A4"/>
    <w:rsid w:val="004055EE"/>
    <w:rsid w:val="00405EFB"/>
    <w:rsid w:val="00406366"/>
    <w:rsid w:val="0040689B"/>
    <w:rsid w:val="00406E72"/>
    <w:rsid w:val="00406F4B"/>
    <w:rsid w:val="00406FEA"/>
    <w:rsid w:val="004073B0"/>
    <w:rsid w:val="004077CC"/>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192"/>
    <w:rsid w:val="0042156E"/>
    <w:rsid w:val="0042221A"/>
    <w:rsid w:val="004226D3"/>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4D0"/>
    <w:rsid w:val="0043270B"/>
    <w:rsid w:val="00432E20"/>
    <w:rsid w:val="00432F8F"/>
    <w:rsid w:val="0043424B"/>
    <w:rsid w:val="00434364"/>
    <w:rsid w:val="0043480E"/>
    <w:rsid w:val="004352B4"/>
    <w:rsid w:val="004355EB"/>
    <w:rsid w:val="00435602"/>
    <w:rsid w:val="00435635"/>
    <w:rsid w:val="004356FA"/>
    <w:rsid w:val="00435CCF"/>
    <w:rsid w:val="004365C5"/>
    <w:rsid w:val="00437179"/>
    <w:rsid w:val="004371AB"/>
    <w:rsid w:val="0044035D"/>
    <w:rsid w:val="0044166C"/>
    <w:rsid w:val="00441FE8"/>
    <w:rsid w:val="00442856"/>
    <w:rsid w:val="004429F5"/>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465"/>
    <w:rsid w:val="00453B11"/>
    <w:rsid w:val="00453DEF"/>
    <w:rsid w:val="00453FE0"/>
    <w:rsid w:val="004543E4"/>
    <w:rsid w:val="00454539"/>
    <w:rsid w:val="004548E5"/>
    <w:rsid w:val="004549AF"/>
    <w:rsid w:val="00454C27"/>
    <w:rsid w:val="00455B39"/>
    <w:rsid w:val="00456114"/>
    <w:rsid w:val="004562F8"/>
    <w:rsid w:val="00456971"/>
    <w:rsid w:val="00456DBF"/>
    <w:rsid w:val="0045742D"/>
    <w:rsid w:val="004574AB"/>
    <w:rsid w:val="0046027A"/>
    <w:rsid w:val="004607CD"/>
    <w:rsid w:val="004608A9"/>
    <w:rsid w:val="00460958"/>
    <w:rsid w:val="00460C5F"/>
    <w:rsid w:val="0046110A"/>
    <w:rsid w:val="004612C8"/>
    <w:rsid w:val="004616E5"/>
    <w:rsid w:val="0046194F"/>
    <w:rsid w:val="00461B3E"/>
    <w:rsid w:val="00461E80"/>
    <w:rsid w:val="00462420"/>
    <w:rsid w:val="004627B7"/>
    <w:rsid w:val="00463146"/>
    <w:rsid w:val="004641FE"/>
    <w:rsid w:val="0046434B"/>
    <w:rsid w:val="00465573"/>
    <w:rsid w:val="00465FF9"/>
    <w:rsid w:val="0046649C"/>
    <w:rsid w:val="004670B3"/>
    <w:rsid w:val="00467A56"/>
    <w:rsid w:val="00467B21"/>
    <w:rsid w:val="00470750"/>
    <w:rsid w:val="004707FD"/>
    <w:rsid w:val="00471856"/>
    <w:rsid w:val="004720EB"/>
    <w:rsid w:val="00472A81"/>
    <w:rsid w:val="00472D98"/>
    <w:rsid w:val="0047343E"/>
    <w:rsid w:val="00473779"/>
    <w:rsid w:val="00473839"/>
    <w:rsid w:val="00473AD0"/>
    <w:rsid w:val="0047400A"/>
    <w:rsid w:val="0047434F"/>
    <w:rsid w:val="004743E2"/>
    <w:rsid w:val="00474DBC"/>
    <w:rsid w:val="00475260"/>
    <w:rsid w:val="00475596"/>
    <w:rsid w:val="0047571D"/>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543"/>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A84"/>
    <w:rsid w:val="00494C33"/>
    <w:rsid w:val="00495AA2"/>
    <w:rsid w:val="004961DB"/>
    <w:rsid w:val="00496899"/>
    <w:rsid w:val="00496927"/>
    <w:rsid w:val="00496A97"/>
    <w:rsid w:val="00497E75"/>
    <w:rsid w:val="00497FF8"/>
    <w:rsid w:val="004A04B1"/>
    <w:rsid w:val="004A0C8F"/>
    <w:rsid w:val="004A11C3"/>
    <w:rsid w:val="004A15A9"/>
    <w:rsid w:val="004A201F"/>
    <w:rsid w:val="004A2EF3"/>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71E9"/>
    <w:rsid w:val="004C0346"/>
    <w:rsid w:val="004C0405"/>
    <w:rsid w:val="004C0B5B"/>
    <w:rsid w:val="004C0F99"/>
    <w:rsid w:val="004C130D"/>
    <w:rsid w:val="004C1E76"/>
    <w:rsid w:val="004C1F0C"/>
    <w:rsid w:val="004C20B1"/>
    <w:rsid w:val="004C255D"/>
    <w:rsid w:val="004C2D43"/>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63"/>
    <w:rsid w:val="004E2487"/>
    <w:rsid w:val="004E3FD8"/>
    <w:rsid w:val="004E4503"/>
    <w:rsid w:val="004E46BD"/>
    <w:rsid w:val="004E49DC"/>
    <w:rsid w:val="004E4FE3"/>
    <w:rsid w:val="004E53AE"/>
    <w:rsid w:val="004E58DF"/>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1C8"/>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42A"/>
    <w:rsid w:val="00502C24"/>
    <w:rsid w:val="00503210"/>
    <w:rsid w:val="00503EC5"/>
    <w:rsid w:val="00503F53"/>
    <w:rsid w:val="005043A3"/>
    <w:rsid w:val="00504FF2"/>
    <w:rsid w:val="005052AC"/>
    <w:rsid w:val="00505A2A"/>
    <w:rsid w:val="00505E39"/>
    <w:rsid w:val="00506571"/>
    <w:rsid w:val="00506700"/>
    <w:rsid w:val="00506984"/>
    <w:rsid w:val="00506C2E"/>
    <w:rsid w:val="00506D59"/>
    <w:rsid w:val="00507200"/>
    <w:rsid w:val="00507267"/>
    <w:rsid w:val="005072E8"/>
    <w:rsid w:val="00507CAF"/>
    <w:rsid w:val="00510444"/>
    <w:rsid w:val="00510644"/>
    <w:rsid w:val="00510BF8"/>
    <w:rsid w:val="005117A7"/>
    <w:rsid w:val="00511AC6"/>
    <w:rsid w:val="00512747"/>
    <w:rsid w:val="005137D0"/>
    <w:rsid w:val="005138A0"/>
    <w:rsid w:val="00513F8F"/>
    <w:rsid w:val="005147E7"/>
    <w:rsid w:val="005149A2"/>
    <w:rsid w:val="005150E4"/>
    <w:rsid w:val="00515585"/>
    <w:rsid w:val="005157A7"/>
    <w:rsid w:val="005157BE"/>
    <w:rsid w:val="00515E2B"/>
    <w:rsid w:val="00517326"/>
    <w:rsid w:val="00517B89"/>
    <w:rsid w:val="00517C3B"/>
    <w:rsid w:val="0052001B"/>
    <w:rsid w:val="00521D65"/>
    <w:rsid w:val="005223A4"/>
    <w:rsid w:val="00522592"/>
    <w:rsid w:val="00522E36"/>
    <w:rsid w:val="00523B71"/>
    <w:rsid w:val="00523F32"/>
    <w:rsid w:val="005251DA"/>
    <w:rsid w:val="00525515"/>
    <w:rsid w:val="005255CE"/>
    <w:rsid w:val="00525AA5"/>
    <w:rsid w:val="00525CAE"/>
    <w:rsid w:val="00526653"/>
    <w:rsid w:val="00526C8A"/>
    <w:rsid w:val="00527489"/>
    <w:rsid w:val="00527DB2"/>
    <w:rsid w:val="00530BD5"/>
    <w:rsid w:val="00531307"/>
    <w:rsid w:val="0053173A"/>
    <w:rsid w:val="00531824"/>
    <w:rsid w:val="00532462"/>
    <w:rsid w:val="00532976"/>
    <w:rsid w:val="00533215"/>
    <w:rsid w:val="005339D2"/>
    <w:rsid w:val="00533B96"/>
    <w:rsid w:val="0053437E"/>
    <w:rsid w:val="0053476E"/>
    <w:rsid w:val="005349EB"/>
    <w:rsid w:val="00534B42"/>
    <w:rsid w:val="00534D96"/>
    <w:rsid w:val="0053542C"/>
    <w:rsid w:val="005408FD"/>
    <w:rsid w:val="00540EC8"/>
    <w:rsid w:val="005412C8"/>
    <w:rsid w:val="005417A0"/>
    <w:rsid w:val="005422E8"/>
    <w:rsid w:val="005426C4"/>
    <w:rsid w:val="00543342"/>
    <w:rsid w:val="00543A66"/>
    <w:rsid w:val="0054556C"/>
    <w:rsid w:val="0054556F"/>
    <w:rsid w:val="00546738"/>
    <w:rsid w:val="005467D6"/>
    <w:rsid w:val="00546942"/>
    <w:rsid w:val="00546ACE"/>
    <w:rsid w:val="00546D42"/>
    <w:rsid w:val="005471F1"/>
    <w:rsid w:val="00547E9B"/>
    <w:rsid w:val="00550151"/>
    <w:rsid w:val="00551204"/>
    <w:rsid w:val="00552163"/>
    <w:rsid w:val="00552569"/>
    <w:rsid w:val="0055269F"/>
    <w:rsid w:val="005527EA"/>
    <w:rsid w:val="00552AC3"/>
    <w:rsid w:val="00552EC0"/>
    <w:rsid w:val="005533EA"/>
    <w:rsid w:val="0055348E"/>
    <w:rsid w:val="00553C13"/>
    <w:rsid w:val="00553D14"/>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5D9A"/>
    <w:rsid w:val="0056710F"/>
    <w:rsid w:val="0056719E"/>
    <w:rsid w:val="00567D6E"/>
    <w:rsid w:val="00570859"/>
    <w:rsid w:val="00570B67"/>
    <w:rsid w:val="00570C83"/>
    <w:rsid w:val="0057137A"/>
    <w:rsid w:val="005717E0"/>
    <w:rsid w:val="00572583"/>
    <w:rsid w:val="00572A3E"/>
    <w:rsid w:val="00572B21"/>
    <w:rsid w:val="00573146"/>
    <w:rsid w:val="005735E8"/>
    <w:rsid w:val="0057380A"/>
    <w:rsid w:val="00573A84"/>
    <w:rsid w:val="00573B1B"/>
    <w:rsid w:val="00573BC0"/>
    <w:rsid w:val="00573E29"/>
    <w:rsid w:val="00573F24"/>
    <w:rsid w:val="00575248"/>
    <w:rsid w:val="00575716"/>
    <w:rsid w:val="005758CE"/>
    <w:rsid w:val="00575A18"/>
    <w:rsid w:val="00575E94"/>
    <w:rsid w:val="005770BC"/>
    <w:rsid w:val="00577BE7"/>
    <w:rsid w:val="00580760"/>
    <w:rsid w:val="00581367"/>
    <w:rsid w:val="005819D7"/>
    <w:rsid w:val="00582D3E"/>
    <w:rsid w:val="00582E3D"/>
    <w:rsid w:val="0058314F"/>
    <w:rsid w:val="005836D0"/>
    <w:rsid w:val="00583766"/>
    <w:rsid w:val="005840CB"/>
    <w:rsid w:val="005840E5"/>
    <w:rsid w:val="0058445A"/>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7605"/>
    <w:rsid w:val="00597C2C"/>
    <w:rsid w:val="005A05C6"/>
    <w:rsid w:val="005A0753"/>
    <w:rsid w:val="005A0789"/>
    <w:rsid w:val="005A167B"/>
    <w:rsid w:val="005A2219"/>
    <w:rsid w:val="005A2229"/>
    <w:rsid w:val="005A2832"/>
    <w:rsid w:val="005A320D"/>
    <w:rsid w:val="005A3468"/>
    <w:rsid w:val="005A35EA"/>
    <w:rsid w:val="005A36E3"/>
    <w:rsid w:val="005A4A64"/>
    <w:rsid w:val="005A50A0"/>
    <w:rsid w:val="005A50FE"/>
    <w:rsid w:val="005A59CF"/>
    <w:rsid w:val="005A6CB4"/>
    <w:rsid w:val="005A75BA"/>
    <w:rsid w:val="005A7ECD"/>
    <w:rsid w:val="005A7F72"/>
    <w:rsid w:val="005B097C"/>
    <w:rsid w:val="005B1CC4"/>
    <w:rsid w:val="005B1D3E"/>
    <w:rsid w:val="005B2EB8"/>
    <w:rsid w:val="005B33A1"/>
    <w:rsid w:val="005B3946"/>
    <w:rsid w:val="005B4282"/>
    <w:rsid w:val="005B5251"/>
    <w:rsid w:val="005B54FE"/>
    <w:rsid w:val="005B5A55"/>
    <w:rsid w:val="005B5F56"/>
    <w:rsid w:val="005B67F6"/>
    <w:rsid w:val="005B7D8A"/>
    <w:rsid w:val="005C0904"/>
    <w:rsid w:val="005C09BF"/>
    <w:rsid w:val="005C0D61"/>
    <w:rsid w:val="005C0E62"/>
    <w:rsid w:val="005C17D4"/>
    <w:rsid w:val="005C18B0"/>
    <w:rsid w:val="005C1B10"/>
    <w:rsid w:val="005C1F40"/>
    <w:rsid w:val="005C2EA8"/>
    <w:rsid w:val="005C33AD"/>
    <w:rsid w:val="005C3A28"/>
    <w:rsid w:val="005C4037"/>
    <w:rsid w:val="005C5849"/>
    <w:rsid w:val="005C5AA6"/>
    <w:rsid w:val="005C5E0A"/>
    <w:rsid w:val="005C5E4D"/>
    <w:rsid w:val="005C6866"/>
    <w:rsid w:val="005C7CAD"/>
    <w:rsid w:val="005D02CF"/>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D7B01"/>
    <w:rsid w:val="005E0010"/>
    <w:rsid w:val="005E0EAD"/>
    <w:rsid w:val="005E0EB3"/>
    <w:rsid w:val="005E1F47"/>
    <w:rsid w:val="005E260D"/>
    <w:rsid w:val="005E35FD"/>
    <w:rsid w:val="005E383F"/>
    <w:rsid w:val="005E4972"/>
    <w:rsid w:val="005E5220"/>
    <w:rsid w:val="005E6DA7"/>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0E33"/>
    <w:rsid w:val="006012E3"/>
    <w:rsid w:val="0060194F"/>
    <w:rsid w:val="00601FCD"/>
    <w:rsid w:val="00602949"/>
    <w:rsid w:val="00602CFB"/>
    <w:rsid w:val="00602F2F"/>
    <w:rsid w:val="00602FB5"/>
    <w:rsid w:val="0060342E"/>
    <w:rsid w:val="0060384D"/>
    <w:rsid w:val="006039C5"/>
    <w:rsid w:val="0060515F"/>
    <w:rsid w:val="006055A3"/>
    <w:rsid w:val="00606C6F"/>
    <w:rsid w:val="00606FA6"/>
    <w:rsid w:val="00607079"/>
    <w:rsid w:val="00607ADE"/>
    <w:rsid w:val="00611C83"/>
    <w:rsid w:val="00612015"/>
    <w:rsid w:val="006120D1"/>
    <w:rsid w:val="006122CF"/>
    <w:rsid w:val="0061286E"/>
    <w:rsid w:val="00612C73"/>
    <w:rsid w:val="006133F5"/>
    <w:rsid w:val="006135B2"/>
    <w:rsid w:val="006144BB"/>
    <w:rsid w:val="00614CB4"/>
    <w:rsid w:val="00614EE6"/>
    <w:rsid w:val="006151F5"/>
    <w:rsid w:val="00615BDB"/>
    <w:rsid w:val="00616A04"/>
    <w:rsid w:val="0061717F"/>
    <w:rsid w:val="00617603"/>
    <w:rsid w:val="006179B1"/>
    <w:rsid w:val="00617D03"/>
    <w:rsid w:val="00617E9E"/>
    <w:rsid w:val="00620686"/>
    <w:rsid w:val="006209E8"/>
    <w:rsid w:val="00621B11"/>
    <w:rsid w:val="00621C0B"/>
    <w:rsid w:val="00621CAD"/>
    <w:rsid w:val="00622A7E"/>
    <w:rsid w:val="0062317C"/>
    <w:rsid w:val="00623253"/>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1D11"/>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29A"/>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6C3F"/>
    <w:rsid w:val="00647054"/>
    <w:rsid w:val="006478E6"/>
    <w:rsid w:val="00647D2D"/>
    <w:rsid w:val="00650854"/>
    <w:rsid w:val="00650A04"/>
    <w:rsid w:val="00650CAB"/>
    <w:rsid w:val="006510F4"/>
    <w:rsid w:val="006514E4"/>
    <w:rsid w:val="00651AD3"/>
    <w:rsid w:val="00651EAA"/>
    <w:rsid w:val="00651FA0"/>
    <w:rsid w:val="006526F3"/>
    <w:rsid w:val="0065293D"/>
    <w:rsid w:val="006536FE"/>
    <w:rsid w:val="00653C67"/>
    <w:rsid w:val="00654348"/>
    <w:rsid w:val="006544F6"/>
    <w:rsid w:val="00655070"/>
    <w:rsid w:val="00655763"/>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25EA"/>
    <w:rsid w:val="006730FA"/>
    <w:rsid w:val="00673D7C"/>
    <w:rsid w:val="00673FBF"/>
    <w:rsid w:val="00674460"/>
    <w:rsid w:val="006744FB"/>
    <w:rsid w:val="00675C2D"/>
    <w:rsid w:val="00676A4B"/>
    <w:rsid w:val="00676C9B"/>
    <w:rsid w:val="00676FFB"/>
    <w:rsid w:val="00677B01"/>
    <w:rsid w:val="00677E8D"/>
    <w:rsid w:val="00680A97"/>
    <w:rsid w:val="00680C3F"/>
    <w:rsid w:val="0068102D"/>
    <w:rsid w:val="0068226B"/>
    <w:rsid w:val="00682ED3"/>
    <w:rsid w:val="0068370B"/>
    <w:rsid w:val="00684BDE"/>
    <w:rsid w:val="00684FBD"/>
    <w:rsid w:val="00685535"/>
    <w:rsid w:val="00685D3B"/>
    <w:rsid w:val="006863EA"/>
    <w:rsid w:val="00687817"/>
    <w:rsid w:val="0069008A"/>
    <w:rsid w:val="00690881"/>
    <w:rsid w:val="00692799"/>
    <w:rsid w:val="00692A0D"/>
    <w:rsid w:val="00693077"/>
    <w:rsid w:val="00693295"/>
    <w:rsid w:val="006936BD"/>
    <w:rsid w:val="0069447C"/>
    <w:rsid w:val="00695072"/>
    <w:rsid w:val="00695E3A"/>
    <w:rsid w:val="00697076"/>
    <w:rsid w:val="006979CD"/>
    <w:rsid w:val="00697FE2"/>
    <w:rsid w:val="006A05E8"/>
    <w:rsid w:val="006A0B49"/>
    <w:rsid w:val="006A1313"/>
    <w:rsid w:val="006A1C6F"/>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A78EC"/>
    <w:rsid w:val="006B1229"/>
    <w:rsid w:val="006B1938"/>
    <w:rsid w:val="006B19B2"/>
    <w:rsid w:val="006B1A7C"/>
    <w:rsid w:val="006B1DA2"/>
    <w:rsid w:val="006B1F5F"/>
    <w:rsid w:val="006B2064"/>
    <w:rsid w:val="006B2AAC"/>
    <w:rsid w:val="006B3AD6"/>
    <w:rsid w:val="006B4F5B"/>
    <w:rsid w:val="006B5922"/>
    <w:rsid w:val="006B67DE"/>
    <w:rsid w:val="006B6C94"/>
    <w:rsid w:val="006B6E3E"/>
    <w:rsid w:val="006C0900"/>
    <w:rsid w:val="006C09DD"/>
    <w:rsid w:val="006C10C0"/>
    <w:rsid w:val="006C1AD5"/>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2E97"/>
    <w:rsid w:val="006D493C"/>
    <w:rsid w:val="006D4959"/>
    <w:rsid w:val="006D5FEE"/>
    <w:rsid w:val="006D5FEF"/>
    <w:rsid w:val="006D64D6"/>
    <w:rsid w:val="006D6A4C"/>
    <w:rsid w:val="006D6A95"/>
    <w:rsid w:val="006D6FC8"/>
    <w:rsid w:val="006E0240"/>
    <w:rsid w:val="006E0B10"/>
    <w:rsid w:val="006E0B16"/>
    <w:rsid w:val="006E22CC"/>
    <w:rsid w:val="006E3A2D"/>
    <w:rsid w:val="006E3B45"/>
    <w:rsid w:val="006E4066"/>
    <w:rsid w:val="006E512D"/>
    <w:rsid w:val="006E53A6"/>
    <w:rsid w:val="006E5C3A"/>
    <w:rsid w:val="006E610E"/>
    <w:rsid w:val="006E6F8F"/>
    <w:rsid w:val="006E6FC9"/>
    <w:rsid w:val="006E7093"/>
    <w:rsid w:val="006E7496"/>
    <w:rsid w:val="006E7969"/>
    <w:rsid w:val="006F0104"/>
    <w:rsid w:val="006F0B08"/>
    <w:rsid w:val="006F0C12"/>
    <w:rsid w:val="006F0EB1"/>
    <w:rsid w:val="006F1636"/>
    <w:rsid w:val="006F16B4"/>
    <w:rsid w:val="006F16D6"/>
    <w:rsid w:val="006F2A5F"/>
    <w:rsid w:val="006F2CCB"/>
    <w:rsid w:val="006F2E9D"/>
    <w:rsid w:val="006F314D"/>
    <w:rsid w:val="006F4252"/>
    <w:rsid w:val="006F57A2"/>
    <w:rsid w:val="006F59D4"/>
    <w:rsid w:val="006F5CDF"/>
    <w:rsid w:val="006F5FAA"/>
    <w:rsid w:val="006F61B8"/>
    <w:rsid w:val="006F6BE1"/>
    <w:rsid w:val="006F719C"/>
    <w:rsid w:val="006F738F"/>
    <w:rsid w:val="006F7E42"/>
    <w:rsid w:val="0070023A"/>
    <w:rsid w:val="00700EC2"/>
    <w:rsid w:val="00700F47"/>
    <w:rsid w:val="00700F6E"/>
    <w:rsid w:val="007014E1"/>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D4D"/>
    <w:rsid w:val="00710FF5"/>
    <w:rsid w:val="0071129C"/>
    <w:rsid w:val="00711AE4"/>
    <w:rsid w:val="0071240A"/>
    <w:rsid w:val="00712D0F"/>
    <w:rsid w:val="00713665"/>
    <w:rsid w:val="0071374D"/>
    <w:rsid w:val="007137DB"/>
    <w:rsid w:val="007146D9"/>
    <w:rsid w:val="00714D12"/>
    <w:rsid w:val="00714D3C"/>
    <w:rsid w:val="0071649C"/>
    <w:rsid w:val="007166A0"/>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566"/>
    <w:rsid w:val="0073171A"/>
    <w:rsid w:val="007324EA"/>
    <w:rsid w:val="0073278B"/>
    <w:rsid w:val="00733B78"/>
    <w:rsid w:val="00733FA0"/>
    <w:rsid w:val="00734049"/>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0D4B"/>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950"/>
    <w:rsid w:val="00755B06"/>
    <w:rsid w:val="0075603B"/>
    <w:rsid w:val="00756C09"/>
    <w:rsid w:val="007570E6"/>
    <w:rsid w:val="00757A61"/>
    <w:rsid w:val="00757C96"/>
    <w:rsid w:val="007600A8"/>
    <w:rsid w:val="0076015E"/>
    <w:rsid w:val="0076083D"/>
    <w:rsid w:val="00760D79"/>
    <w:rsid w:val="0076121D"/>
    <w:rsid w:val="007616CD"/>
    <w:rsid w:val="007619FB"/>
    <w:rsid w:val="00761C91"/>
    <w:rsid w:val="00762924"/>
    <w:rsid w:val="00762D30"/>
    <w:rsid w:val="00763339"/>
    <w:rsid w:val="00763355"/>
    <w:rsid w:val="00763522"/>
    <w:rsid w:val="00763FE8"/>
    <w:rsid w:val="00764A6B"/>
    <w:rsid w:val="00764E1D"/>
    <w:rsid w:val="00765327"/>
    <w:rsid w:val="007661E2"/>
    <w:rsid w:val="00766AE4"/>
    <w:rsid w:val="00766BFB"/>
    <w:rsid w:val="007678B6"/>
    <w:rsid w:val="00767DE2"/>
    <w:rsid w:val="00770CF3"/>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316"/>
    <w:rsid w:val="00780732"/>
    <w:rsid w:val="0078095A"/>
    <w:rsid w:val="0078146E"/>
    <w:rsid w:val="0078165E"/>
    <w:rsid w:val="00781B9A"/>
    <w:rsid w:val="0078243D"/>
    <w:rsid w:val="00783659"/>
    <w:rsid w:val="0078380D"/>
    <w:rsid w:val="00783BCC"/>
    <w:rsid w:val="007842F0"/>
    <w:rsid w:val="00784702"/>
    <w:rsid w:val="007847B9"/>
    <w:rsid w:val="00785381"/>
    <w:rsid w:val="007860C0"/>
    <w:rsid w:val="00786272"/>
    <w:rsid w:val="007864B2"/>
    <w:rsid w:val="00786620"/>
    <w:rsid w:val="00786D0A"/>
    <w:rsid w:val="00787736"/>
    <w:rsid w:val="00787A55"/>
    <w:rsid w:val="00787FF1"/>
    <w:rsid w:val="00790693"/>
    <w:rsid w:val="00790843"/>
    <w:rsid w:val="00790BD5"/>
    <w:rsid w:val="007916D2"/>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37A"/>
    <w:rsid w:val="007C09E4"/>
    <w:rsid w:val="007C0D95"/>
    <w:rsid w:val="007C0E3C"/>
    <w:rsid w:val="007C0F3A"/>
    <w:rsid w:val="007C1456"/>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252"/>
    <w:rsid w:val="007E276E"/>
    <w:rsid w:val="007E27CC"/>
    <w:rsid w:val="007E2B64"/>
    <w:rsid w:val="007E3051"/>
    <w:rsid w:val="007E4238"/>
    <w:rsid w:val="007E43A4"/>
    <w:rsid w:val="007E491B"/>
    <w:rsid w:val="007E4E4F"/>
    <w:rsid w:val="007E6477"/>
    <w:rsid w:val="007E686B"/>
    <w:rsid w:val="007E6D46"/>
    <w:rsid w:val="007E6DA8"/>
    <w:rsid w:val="007E73ED"/>
    <w:rsid w:val="007E7A3E"/>
    <w:rsid w:val="007E7C75"/>
    <w:rsid w:val="007F04E6"/>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838"/>
    <w:rsid w:val="00801909"/>
    <w:rsid w:val="00801F82"/>
    <w:rsid w:val="008029DF"/>
    <w:rsid w:val="00802AC5"/>
    <w:rsid w:val="00803016"/>
    <w:rsid w:val="00804867"/>
    <w:rsid w:val="0080486F"/>
    <w:rsid w:val="00804B2F"/>
    <w:rsid w:val="008058D2"/>
    <w:rsid w:val="00805DA9"/>
    <w:rsid w:val="008064A1"/>
    <w:rsid w:val="008064F4"/>
    <w:rsid w:val="00806A9F"/>
    <w:rsid w:val="00806B9C"/>
    <w:rsid w:val="00807316"/>
    <w:rsid w:val="0080770D"/>
    <w:rsid w:val="00807D28"/>
    <w:rsid w:val="00807D5E"/>
    <w:rsid w:val="0081012C"/>
    <w:rsid w:val="008102B3"/>
    <w:rsid w:val="00810847"/>
    <w:rsid w:val="00810D60"/>
    <w:rsid w:val="00811036"/>
    <w:rsid w:val="00811DF9"/>
    <w:rsid w:val="008122CD"/>
    <w:rsid w:val="008123D5"/>
    <w:rsid w:val="008127B0"/>
    <w:rsid w:val="00813B25"/>
    <w:rsid w:val="00813C7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0FE6"/>
    <w:rsid w:val="00821167"/>
    <w:rsid w:val="0082126F"/>
    <w:rsid w:val="00821737"/>
    <w:rsid w:val="00821B0B"/>
    <w:rsid w:val="00821D40"/>
    <w:rsid w:val="008233F8"/>
    <w:rsid w:val="008237B2"/>
    <w:rsid w:val="00827A8A"/>
    <w:rsid w:val="00830D11"/>
    <w:rsid w:val="008314F0"/>
    <w:rsid w:val="008319D3"/>
    <w:rsid w:val="00832C18"/>
    <w:rsid w:val="0083388D"/>
    <w:rsid w:val="00833A21"/>
    <w:rsid w:val="0083411C"/>
    <w:rsid w:val="008343CB"/>
    <w:rsid w:val="00834512"/>
    <w:rsid w:val="00835544"/>
    <w:rsid w:val="00835967"/>
    <w:rsid w:val="00835B82"/>
    <w:rsid w:val="00836157"/>
    <w:rsid w:val="0083657B"/>
    <w:rsid w:val="00836762"/>
    <w:rsid w:val="00837D50"/>
    <w:rsid w:val="00837D87"/>
    <w:rsid w:val="0084059F"/>
    <w:rsid w:val="0084062D"/>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D97"/>
    <w:rsid w:val="00845F51"/>
    <w:rsid w:val="00846069"/>
    <w:rsid w:val="0084637B"/>
    <w:rsid w:val="00846467"/>
    <w:rsid w:val="0084760D"/>
    <w:rsid w:val="00847991"/>
    <w:rsid w:val="008479F4"/>
    <w:rsid w:val="00847C4E"/>
    <w:rsid w:val="0085172A"/>
    <w:rsid w:val="008517E2"/>
    <w:rsid w:val="008535B0"/>
    <w:rsid w:val="00853A21"/>
    <w:rsid w:val="00853BD0"/>
    <w:rsid w:val="008544D2"/>
    <w:rsid w:val="00854983"/>
    <w:rsid w:val="00854DBE"/>
    <w:rsid w:val="00855C75"/>
    <w:rsid w:val="00855D3E"/>
    <w:rsid w:val="008569DF"/>
    <w:rsid w:val="00856B6B"/>
    <w:rsid w:val="00856E4A"/>
    <w:rsid w:val="00856EEA"/>
    <w:rsid w:val="008579B1"/>
    <w:rsid w:val="00857DB5"/>
    <w:rsid w:val="00857F97"/>
    <w:rsid w:val="0086007E"/>
    <w:rsid w:val="0086037F"/>
    <w:rsid w:val="00860777"/>
    <w:rsid w:val="00860AD4"/>
    <w:rsid w:val="0086119E"/>
    <w:rsid w:val="008614CF"/>
    <w:rsid w:val="00861590"/>
    <w:rsid w:val="00861B0E"/>
    <w:rsid w:val="00861B16"/>
    <w:rsid w:val="00861B41"/>
    <w:rsid w:val="00861DA1"/>
    <w:rsid w:val="00862173"/>
    <w:rsid w:val="008621F7"/>
    <w:rsid w:val="008626B0"/>
    <w:rsid w:val="00864A2A"/>
    <w:rsid w:val="00864E86"/>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3DF"/>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3D6"/>
    <w:rsid w:val="008B07C0"/>
    <w:rsid w:val="008B0872"/>
    <w:rsid w:val="008B0DCC"/>
    <w:rsid w:val="008B1651"/>
    <w:rsid w:val="008B27A6"/>
    <w:rsid w:val="008B2DEB"/>
    <w:rsid w:val="008B3537"/>
    <w:rsid w:val="008B3D4F"/>
    <w:rsid w:val="008B4B0D"/>
    <w:rsid w:val="008B4B33"/>
    <w:rsid w:val="008B511C"/>
    <w:rsid w:val="008B530B"/>
    <w:rsid w:val="008B5464"/>
    <w:rsid w:val="008B5578"/>
    <w:rsid w:val="008B5867"/>
    <w:rsid w:val="008B5A81"/>
    <w:rsid w:val="008B721D"/>
    <w:rsid w:val="008B7441"/>
    <w:rsid w:val="008B763A"/>
    <w:rsid w:val="008B767A"/>
    <w:rsid w:val="008C0743"/>
    <w:rsid w:val="008C084B"/>
    <w:rsid w:val="008C0DB5"/>
    <w:rsid w:val="008C1581"/>
    <w:rsid w:val="008C17CD"/>
    <w:rsid w:val="008C2453"/>
    <w:rsid w:val="008C2920"/>
    <w:rsid w:val="008C32F7"/>
    <w:rsid w:val="008C39B0"/>
    <w:rsid w:val="008C436D"/>
    <w:rsid w:val="008C4853"/>
    <w:rsid w:val="008C48F2"/>
    <w:rsid w:val="008C5040"/>
    <w:rsid w:val="008C5BE7"/>
    <w:rsid w:val="008C74CC"/>
    <w:rsid w:val="008C7737"/>
    <w:rsid w:val="008C7C3C"/>
    <w:rsid w:val="008C7F77"/>
    <w:rsid w:val="008D095D"/>
    <w:rsid w:val="008D0EB5"/>
    <w:rsid w:val="008D13DC"/>
    <w:rsid w:val="008D1980"/>
    <w:rsid w:val="008D1E23"/>
    <w:rsid w:val="008D2461"/>
    <w:rsid w:val="008D2C0B"/>
    <w:rsid w:val="008D34B7"/>
    <w:rsid w:val="008D39AB"/>
    <w:rsid w:val="008D3CF6"/>
    <w:rsid w:val="008D4025"/>
    <w:rsid w:val="008D479A"/>
    <w:rsid w:val="008D4EA1"/>
    <w:rsid w:val="008D538D"/>
    <w:rsid w:val="008D5924"/>
    <w:rsid w:val="008D5E0F"/>
    <w:rsid w:val="008D5FCD"/>
    <w:rsid w:val="008D6288"/>
    <w:rsid w:val="008D6C6B"/>
    <w:rsid w:val="008D6F90"/>
    <w:rsid w:val="008D7615"/>
    <w:rsid w:val="008D76A0"/>
    <w:rsid w:val="008E0E8C"/>
    <w:rsid w:val="008E16C5"/>
    <w:rsid w:val="008E2051"/>
    <w:rsid w:val="008E2525"/>
    <w:rsid w:val="008E303D"/>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09AF"/>
    <w:rsid w:val="008F23C7"/>
    <w:rsid w:val="008F2A4E"/>
    <w:rsid w:val="008F2EB2"/>
    <w:rsid w:val="008F3DC9"/>
    <w:rsid w:val="008F4107"/>
    <w:rsid w:val="008F4807"/>
    <w:rsid w:val="008F4BFE"/>
    <w:rsid w:val="008F4F27"/>
    <w:rsid w:val="008F56B5"/>
    <w:rsid w:val="008F594D"/>
    <w:rsid w:val="008F595E"/>
    <w:rsid w:val="008F5B72"/>
    <w:rsid w:val="008F62E5"/>
    <w:rsid w:val="008F7697"/>
    <w:rsid w:val="008F7AEE"/>
    <w:rsid w:val="009003A0"/>
    <w:rsid w:val="00900A18"/>
    <w:rsid w:val="00900BAA"/>
    <w:rsid w:val="00901845"/>
    <w:rsid w:val="00901AAA"/>
    <w:rsid w:val="0090242C"/>
    <w:rsid w:val="00902740"/>
    <w:rsid w:val="00902D62"/>
    <w:rsid w:val="00902EF7"/>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07F41"/>
    <w:rsid w:val="009108A7"/>
    <w:rsid w:val="009114A5"/>
    <w:rsid w:val="00911E1A"/>
    <w:rsid w:val="009123B9"/>
    <w:rsid w:val="00912DDD"/>
    <w:rsid w:val="00913F4C"/>
    <w:rsid w:val="0091404B"/>
    <w:rsid w:val="0091423A"/>
    <w:rsid w:val="00914307"/>
    <w:rsid w:val="00914370"/>
    <w:rsid w:val="00914AD4"/>
    <w:rsid w:val="00914CA0"/>
    <w:rsid w:val="00914DE2"/>
    <w:rsid w:val="0091537E"/>
    <w:rsid w:val="00915DE0"/>
    <w:rsid w:val="009167FB"/>
    <w:rsid w:val="00916CCF"/>
    <w:rsid w:val="00920236"/>
    <w:rsid w:val="00920B65"/>
    <w:rsid w:val="00920BC8"/>
    <w:rsid w:val="00920D4C"/>
    <w:rsid w:val="00921169"/>
    <w:rsid w:val="009215FA"/>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93E"/>
    <w:rsid w:val="00941A1C"/>
    <w:rsid w:val="00942CAE"/>
    <w:rsid w:val="00943048"/>
    <w:rsid w:val="0094335F"/>
    <w:rsid w:val="00943704"/>
    <w:rsid w:val="00943951"/>
    <w:rsid w:val="00944202"/>
    <w:rsid w:val="0094468A"/>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890"/>
    <w:rsid w:val="009515E0"/>
    <w:rsid w:val="00951995"/>
    <w:rsid w:val="00951B63"/>
    <w:rsid w:val="00951C7E"/>
    <w:rsid w:val="00951CF6"/>
    <w:rsid w:val="00951D2A"/>
    <w:rsid w:val="00951EA3"/>
    <w:rsid w:val="00951FFF"/>
    <w:rsid w:val="009520A6"/>
    <w:rsid w:val="009526F7"/>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A1"/>
    <w:rsid w:val="009726F5"/>
    <w:rsid w:val="009728FB"/>
    <w:rsid w:val="0097298A"/>
    <w:rsid w:val="0097373B"/>
    <w:rsid w:val="00973BAF"/>
    <w:rsid w:val="00974182"/>
    <w:rsid w:val="00975236"/>
    <w:rsid w:val="0097579F"/>
    <w:rsid w:val="00975CBD"/>
    <w:rsid w:val="0097672C"/>
    <w:rsid w:val="009769BA"/>
    <w:rsid w:val="00976E39"/>
    <w:rsid w:val="009773CE"/>
    <w:rsid w:val="0097780F"/>
    <w:rsid w:val="009778AB"/>
    <w:rsid w:val="0097796A"/>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30C0"/>
    <w:rsid w:val="00994344"/>
    <w:rsid w:val="00994D1C"/>
    <w:rsid w:val="009950A1"/>
    <w:rsid w:val="009951BE"/>
    <w:rsid w:val="009952D9"/>
    <w:rsid w:val="009958D0"/>
    <w:rsid w:val="009961C9"/>
    <w:rsid w:val="00996354"/>
    <w:rsid w:val="00996A8B"/>
    <w:rsid w:val="009974A0"/>
    <w:rsid w:val="00997A5C"/>
    <w:rsid w:val="009A013B"/>
    <w:rsid w:val="009A0212"/>
    <w:rsid w:val="009A031F"/>
    <w:rsid w:val="009A0878"/>
    <w:rsid w:val="009A0E12"/>
    <w:rsid w:val="009A10D5"/>
    <w:rsid w:val="009A119C"/>
    <w:rsid w:val="009A2261"/>
    <w:rsid w:val="009A253A"/>
    <w:rsid w:val="009A2968"/>
    <w:rsid w:val="009A3DBF"/>
    <w:rsid w:val="009A43FF"/>
    <w:rsid w:val="009A637B"/>
    <w:rsid w:val="009A67CD"/>
    <w:rsid w:val="009A788B"/>
    <w:rsid w:val="009A7E1C"/>
    <w:rsid w:val="009A7FE7"/>
    <w:rsid w:val="009B003C"/>
    <w:rsid w:val="009B0A32"/>
    <w:rsid w:val="009B0DFC"/>
    <w:rsid w:val="009B114C"/>
    <w:rsid w:val="009B2465"/>
    <w:rsid w:val="009B285A"/>
    <w:rsid w:val="009B300F"/>
    <w:rsid w:val="009B3745"/>
    <w:rsid w:val="009B3C7E"/>
    <w:rsid w:val="009B3CC7"/>
    <w:rsid w:val="009B44C6"/>
    <w:rsid w:val="009B468E"/>
    <w:rsid w:val="009B46E0"/>
    <w:rsid w:val="009B521B"/>
    <w:rsid w:val="009B59A5"/>
    <w:rsid w:val="009B5DD5"/>
    <w:rsid w:val="009B5E49"/>
    <w:rsid w:val="009B629D"/>
    <w:rsid w:val="009B6970"/>
    <w:rsid w:val="009B74E2"/>
    <w:rsid w:val="009C00EF"/>
    <w:rsid w:val="009C064F"/>
    <w:rsid w:val="009C1566"/>
    <w:rsid w:val="009C245B"/>
    <w:rsid w:val="009C281C"/>
    <w:rsid w:val="009C3440"/>
    <w:rsid w:val="009C4E6E"/>
    <w:rsid w:val="009C520B"/>
    <w:rsid w:val="009C5874"/>
    <w:rsid w:val="009C5A49"/>
    <w:rsid w:val="009C6768"/>
    <w:rsid w:val="009C6894"/>
    <w:rsid w:val="009C68C6"/>
    <w:rsid w:val="009C6B3B"/>
    <w:rsid w:val="009C6B7B"/>
    <w:rsid w:val="009C6DA9"/>
    <w:rsid w:val="009D14E9"/>
    <w:rsid w:val="009D22EA"/>
    <w:rsid w:val="009D2A1A"/>
    <w:rsid w:val="009D2C4C"/>
    <w:rsid w:val="009D2C71"/>
    <w:rsid w:val="009D341F"/>
    <w:rsid w:val="009D3508"/>
    <w:rsid w:val="009D3879"/>
    <w:rsid w:val="009D4303"/>
    <w:rsid w:val="009D4A8E"/>
    <w:rsid w:val="009D50E8"/>
    <w:rsid w:val="009D5637"/>
    <w:rsid w:val="009D57D5"/>
    <w:rsid w:val="009D5D05"/>
    <w:rsid w:val="009D6245"/>
    <w:rsid w:val="009D62E7"/>
    <w:rsid w:val="009D6E3B"/>
    <w:rsid w:val="009D6F0D"/>
    <w:rsid w:val="009D7423"/>
    <w:rsid w:val="009D7576"/>
    <w:rsid w:val="009D7776"/>
    <w:rsid w:val="009D7C4F"/>
    <w:rsid w:val="009D7E3F"/>
    <w:rsid w:val="009D7E7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732A"/>
    <w:rsid w:val="009E73D9"/>
    <w:rsid w:val="009F01C9"/>
    <w:rsid w:val="009F0433"/>
    <w:rsid w:val="009F0BCF"/>
    <w:rsid w:val="009F0CD1"/>
    <w:rsid w:val="009F115A"/>
    <w:rsid w:val="009F15B3"/>
    <w:rsid w:val="009F187B"/>
    <w:rsid w:val="009F21DD"/>
    <w:rsid w:val="009F23DC"/>
    <w:rsid w:val="009F3CC3"/>
    <w:rsid w:val="009F3F25"/>
    <w:rsid w:val="009F42FA"/>
    <w:rsid w:val="009F4375"/>
    <w:rsid w:val="009F4769"/>
    <w:rsid w:val="009F4F05"/>
    <w:rsid w:val="009F4FB7"/>
    <w:rsid w:val="009F5218"/>
    <w:rsid w:val="009F6420"/>
    <w:rsid w:val="009F68BE"/>
    <w:rsid w:val="00A0004F"/>
    <w:rsid w:val="00A0039D"/>
    <w:rsid w:val="00A00574"/>
    <w:rsid w:val="00A00ABE"/>
    <w:rsid w:val="00A00B85"/>
    <w:rsid w:val="00A0101E"/>
    <w:rsid w:val="00A010FB"/>
    <w:rsid w:val="00A0196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2E4"/>
    <w:rsid w:val="00A157EC"/>
    <w:rsid w:val="00A17345"/>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5FDF"/>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B7B"/>
    <w:rsid w:val="00A5044D"/>
    <w:rsid w:val="00A50B00"/>
    <w:rsid w:val="00A50C99"/>
    <w:rsid w:val="00A50E51"/>
    <w:rsid w:val="00A514EB"/>
    <w:rsid w:val="00A51664"/>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1CB"/>
    <w:rsid w:val="00A61828"/>
    <w:rsid w:val="00A61E26"/>
    <w:rsid w:val="00A622E2"/>
    <w:rsid w:val="00A62B97"/>
    <w:rsid w:val="00A62F30"/>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2824"/>
    <w:rsid w:val="00A7337F"/>
    <w:rsid w:val="00A7469D"/>
    <w:rsid w:val="00A74E04"/>
    <w:rsid w:val="00A74F6C"/>
    <w:rsid w:val="00A750D3"/>
    <w:rsid w:val="00A75212"/>
    <w:rsid w:val="00A75795"/>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4C6"/>
    <w:rsid w:val="00A8523D"/>
    <w:rsid w:val="00A85300"/>
    <w:rsid w:val="00A853A6"/>
    <w:rsid w:val="00A905F1"/>
    <w:rsid w:val="00A90CE4"/>
    <w:rsid w:val="00A90E27"/>
    <w:rsid w:val="00A90F65"/>
    <w:rsid w:val="00A911C3"/>
    <w:rsid w:val="00A91218"/>
    <w:rsid w:val="00A913B4"/>
    <w:rsid w:val="00A92A8E"/>
    <w:rsid w:val="00A92BA5"/>
    <w:rsid w:val="00A934FE"/>
    <w:rsid w:val="00A94B41"/>
    <w:rsid w:val="00A95933"/>
    <w:rsid w:val="00A959DF"/>
    <w:rsid w:val="00A96D7E"/>
    <w:rsid w:val="00A97060"/>
    <w:rsid w:val="00A973C7"/>
    <w:rsid w:val="00A9777F"/>
    <w:rsid w:val="00A97B8C"/>
    <w:rsid w:val="00A97BCD"/>
    <w:rsid w:val="00A97EB5"/>
    <w:rsid w:val="00AA0C88"/>
    <w:rsid w:val="00AA158B"/>
    <w:rsid w:val="00AA1D12"/>
    <w:rsid w:val="00AA2003"/>
    <w:rsid w:val="00AA216B"/>
    <w:rsid w:val="00AA2CD8"/>
    <w:rsid w:val="00AA30A2"/>
    <w:rsid w:val="00AA35D2"/>
    <w:rsid w:val="00AA37AC"/>
    <w:rsid w:val="00AA398E"/>
    <w:rsid w:val="00AA3CB1"/>
    <w:rsid w:val="00AA49B7"/>
    <w:rsid w:val="00AA5F24"/>
    <w:rsid w:val="00AA61DD"/>
    <w:rsid w:val="00AA630A"/>
    <w:rsid w:val="00AA64FA"/>
    <w:rsid w:val="00AA69EF"/>
    <w:rsid w:val="00AA6F9A"/>
    <w:rsid w:val="00AA70B8"/>
    <w:rsid w:val="00AA7159"/>
    <w:rsid w:val="00AA7A0E"/>
    <w:rsid w:val="00AB02C8"/>
    <w:rsid w:val="00AB0C7A"/>
    <w:rsid w:val="00AB102D"/>
    <w:rsid w:val="00AB1A33"/>
    <w:rsid w:val="00AB2224"/>
    <w:rsid w:val="00AB2857"/>
    <w:rsid w:val="00AB2AB9"/>
    <w:rsid w:val="00AB3299"/>
    <w:rsid w:val="00AB3B95"/>
    <w:rsid w:val="00AB3E16"/>
    <w:rsid w:val="00AB3F97"/>
    <w:rsid w:val="00AB46A5"/>
    <w:rsid w:val="00AB5000"/>
    <w:rsid w:val="00AB53BA"/>
    <w:rsid w:val="00AB55A8"/>
    <w:rsid w:val="00AB5702"/>
    <w:rsid w:val="00AB583A"/>
    <w:rsid w:val="00AB657E"/>
    <w:rsid w:val="00AB6872"/>
    <w:rsid w:val="00AB7192"/>
    <w:rsid w:val="00AB76D5"/>
    <w:rsid w:val="00AB78AC"/>
    <w:rsid w:val="00AC0F0B"/>
    <w:rsid w:val="00AC2520"/>
    <w:rsid w:val="00AC2671"/>
    <w:rsid w:val="00AC27BD"/>
    <w:rsid w:val="00AC2D25"/>
    <w:rsid w:val="00AC2E78"/>
    <w:rsid w:val="00AC33F9"/>
    <w:rsid w:val="00AC3431"/>
    <w:rsid w:val="00AC34AE"/>
    <w:rsid w:val="00AC367D"/>
    <w:rsid w:val="00AC3727"/>
    <w:rsid w:val="00AC4379"/>
    <w:rsid w:val="00AC4D53"/>
    <w:rsid w:val="00AC4E7D"/>
    <w:rsid w:val="00AC52F4"/>
    <w:rsid w:val="00AC5521"/>
    <w:rsid w:val="00AC55D6"/>
    <w:rsid w:val="00AC6071"/>
    <w:rsid w:val="00AC62C7"/>
    <w:rsid w:val="00AC63F4"/>
    <w:rsid w:val="00AC7138"/>
    <w:rsid w:val="00AC7483"/>
    <w:rsid w:val="00AC755E"/>
    <w:rsid w:val="00AC7BC4"/>
    <w:rsid w:val="00AC7E9D"/>
    <w:rsid w:val="00AD067C"/>
    <w:rsid w:val="00AD163D"/>
    <w:rsid w:val="00AD1744"/>
    <w:rsid w:val="00AD1A8C"/>
    <w:rsid w:val="00AD1B03"/>
    <w:rsid w:val="00AD1D48"/>
    <w:rsid w:val="00AD1DFE"/>
    <w:rsid w:val="00AD1F3F"/>
    <w:rsid w:val="00AD2C1A"/>
    <w:rsid w:val="00AD2D96"/>
    <w:rsid w:val="00AD3328"/>
    <w:rsid w:val="00AD3B9D"/>
    <w:rsid w:val="00AD3BEC"/>
    <w:rsid w:val="00AD5B99"/>
    <w:rsid w:val="00AD6A20"/>
    <w:rsid w:val="00AD732B"/>
    <w:rsid w:val="00AD7927"/>
    <w:rsid w:val="00AD7E7F"/>
    <w:rsid w:val="00AE0B70"/>
    <w:rsid w:val="00AE0F2E"/>
    <w:rsid w:val="00AE2083"/>
    <w:rsid w:val="00AE2205"/>
    <w:rsid w:val="00AE26E7"/>
    <w:rsid w:val="00AE3128"/>
    <w:rsid w:val="00AE31D7"/>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4776"/>
    <w:rsid w:val="00AF5363"/>
    <w:rsid w:val="00AF5494"/>
    <w:rsid w:val="00AF5CB8"/>
    <w:rsid w:val="00AF5F78"/>
    <w:rsid w:val="00AF6600"/>
    <w:rsid w:val="00AF66F1"/>
    <w:rsid w:val="00AF6C00"/>
    <w:rsid w:val="00B00306"/>
    <w:rsid w:val="00B00A5B"/>
    <w:rsid w:val="00B010D3"/>
    <w:rsid w:val="00B017CA"/>
    <w:rsid w:val="00B01CC2"/>
    <w:rsid w:val="00B01F0D"/>
    <w:rsid w:val="00B0238F"/>
    <w:rsid w:val="00B02A4C"/>
    <w:rsid w:val="00B0312E"/>
    <w:rsid w:val="00B03D26"/>
    <w:rsid w:val="00B03E14"/>
    <w:rsid w:val="00B04047"/>
    <w:rsid w:val="00B04D36"/>
    <w:rsid w:val="00B04F11"/>
    <w:rsid w:val="00B05155"/>
    <w:rsid w:val="00B055A9"/>
    <w:rsid w:val="00B05688"/>
    <w:rsid w:val="00B05A41"/>
    <w:rsid w:val="00B05C5E"/>
    <w:rsid w:val="00B06241"/>
    <w:rsid w:val="00B07988"/>
    <w:rsid w:val="00B07EDA"/>
    <w:rsid w:val="00B11AC8"/>
    <w:rsid w:val="00B11C22"/>
    <w:rsid w:val="00B11E9A"/>
    <w:rsid w:val="00B13818"/>
    <w:rsid w:val="00B13C59"/>
    <w:rsid w:val="00B14939"/>
    <w:rsid w:val="00B14DDF"/>
    <w:rsid w:val="00B14E6C"/>
    <w:rsid w:val="00B14F21"/>
    <w:rsid w:val="00B151C6"/>
    <w:rsid w:val="00B15CC4"/>
    <w:rsid w:val="00B1741F"/>
    <w:rsid w:val="00B17793"/>
    <w:rsid w:val="00B17D79"/>
    <w:rsid w:val="00B17F5F"/>
    <w:rsid w:val="00B20057"/>
    <w:rsid w:val="00B208A5"/>
    <w:rsid w:val="00B209B5"/>
    <w:rsid w:val="00B20E2B"/>
    <w:rsid w:val="00B21CA7"/>
    <w:rsid w:val="00B21D24"/>
    <w:rsid w:val="00B22137"/>
    <w:rsid w:val="00B22651"/>
    <w:rsid w:val="00B22CE2"/>
    <w:rsid w:val="00B2312F"/>
    <w:rsid w:val="00B23216"/>
    <w:rsid w:val="00B23960"/>
    <w:rsid w:val="00B23C80"/>
    <w:rsid w:val="00B24165"/>
    <w:rsid w:val="00B2484E"/>
    <w:rsid w:val="00B24C37"/>
    <w:rsid w:val="00B24F49"/>
    <w:rsid w:val="00B25064"/>
    <w:rsid w:val="00B255A7"/>
    <w:rsid w:val="00B25650"/>
    <w:rsid w:val="00B25A70"/>
    <w:rsid w:val="00B25F9A"/>
    <w:rsid w:val="00B263DD"/>
    <w:rsid w:val="00B265B9"/>
    <w:rsid w:val="00B27080"/>
    <w:rsid w:val="00B272D3"/>
    <w:rsid w:val="00B27F0A"/>
    <w:rsid w:val="00B315B1"/>
    <w:rsid w:val="00B31F85"/>
    <w:rsid w:val="00B3245C"/>
    <w:rsid w:val="00B32D9A"/>
    <w:rsid w:val="00B33105"/>
    <w:rsid w:val="00B336EB"/>
    <w:rsid w:val="00B3396B"/>
    <w:rsid w:val="00B33C09"/>
    <w:rsid w:val="00B34464"/>
    <w:rsid w:val="00B34CA0"/>
    <w:rsid w:val="00B35846"/>
    <w:rsid w:val="00B35CD0"/>
    <w:rsid w:val="00B35E23"/>
    <w:rsid w:val="00B36447"/>
    <w:rsid w:val="00B364F3"/>
    <w:rsid w:val="00B36892"/>
    <w:rsid w:val="00B36993"/>
    <w:rsid w:val="00B40294"/>
    <w:rsid w:val="00B40C22"/>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55F9"/>
    <w:rsid w:val="00B46FB7"/>
    <w:rsid w:val="00B477AA"/>
    <w:rsid w:val="00B4783F"/>
    <w:rsid w:val="00B47CEF"/>
    <w:rsid w:val="00B50A13"/>
    <w:rsid w:val="00B50D90"/>
    <w:rsid w:val="00B5230B"/>
    <w:rsid w:val="00B52A20"/>
    <w:rsid w:val="00B52D01"/>
    <w:rsid w:val="00B54374"/>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77E12"/>
    <w:rsid w:val="00B8041E"/>
    <w:rsid w:val="00B80D16"/>
    <w:rsid w:val="00B814AA"/>
    <w:rsid w:val="00B81684"/>
    <w:rsid w:val="00B817F4"/>
    <w:rsid w:val="00B821AB"/>
    <w:rsid w:val="00B82721"/>
    <w:rsid w:val="00B82BBC"/>
    <w:rsid w:val="00B830F7"/>
    <w:rsid w:val="00B8358C"/>
    <w:rsid w:val="00B83DF6"/>
    <w:rsid w:val="00B83FEF"/>
    <w:rsid w:val="00B84F7F"/>
    <w:rsid w:val="00B8620A"/>
    <w:rsid w:val="00B86DBB"/>
    <w:rsid w:val="00B86FC3"/>
    <w:rsid w:val="00B906D0"/>
    <w:rsid w:val="00B9086A"/>
    <w:rsid w:val="00B915BE"/>
    <w:rsid w:val="00B91AD7"/>
    <w:rsid w:val="00B91DBA"/>
    <w:rsid w:val="00B92037"/>
    <w:rsid w:val="00B92189"/>
    <w:rsid w:val="00B93093"/>
    <w:rsid w:val="00B93392"/>
    <w:rsid w:val="00B93412"/>
    <w:rsid w:val="00B93453"/>
    <w:rsid w:val="00B93664"/>
    <w:rsid w:val="00B93C36"/>
    <w:rsid w:val="00B93CF1"/>
    <w:rsid w:val="00B93DEE"/>
    <w:rsid w:val="00B94054"/>
    <w:rsid w:val="00B9422E"/>
    <w:rsid w:val="00B94253"/>
    <w:rsid w:val="00B94AC1"/>
    <w:rsid w:val="00B950E8"/>
    <w:rsid w:val="00B954FC"/>
    <w:rsid w:val="00B959B1"/>
    <w:rsid w:val="00B960B4"/>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38E"/>
    <w:rsid w:val="00BA44AB"/>
    <w:rsid w:val="00BA48E0"/>
    <w:rsid w:val="00BA50DD"/>
    <w:rsid w:val="00BA5EFB"/>
    <w:rsid w:val="00BA659A"/>
    <w:rsid w:val="00BA6874"/>
    <w:rsid w:val="00BA68C1"/>
    <w:rsid w:val="00BA6E74"/>
    <w:rsid w:val="00BA715B"/>
    <w:rsid w:val="00BA73CD"/>
    <w:rsid w:val="00BA79BC"/>
    <w:rsid w:val="00BA7EB0"/>
    <w:rsid w:val="00BB022B"/>
    <w:rsid w:val="00BB0528"/>
    <w:rsid w:val="00BB07FA"/>
    <w:rsid w:val="00BB0986"/>
    <w:rsid w:val="00BB1D67"/>
    <w:rsid w:val="00BB214E"/>
    <w:rsid w:val="00BB23BD"/>
    <w:rsid w:val="00BB301E"/>
    <w:rsid w:val="00BB3F4C"/>
    <w:rsid w:val="00BB5260"/>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5C95"/>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6DC"/>
    <w:rsid w:val="00BD5A65"/>
    <w:rsid w:val="00BD689C"/>
    <w:rsid w:val="00BD68BE"/>
    <w:rsid w:val="00BD6EC0"/>
    <w:rsid w:val="00BD7F9E"/>
    <w:rsid w:val="00BE09DC"/>
    <w:rsid w:val="00BE0D74"/>
    <w:rsid w:val="00BE1378"/>
    <w:rsid w:val="00BE1A06"/>
    <w:rsid w:val="00BE20F7"/>
    <w:rsid w:val="00BE2BB7"/>
    <w:rsid w:val="00BE3FE8"/>
    <w:rsid w:val="00BE40F3"/>
    <w:rsid w:val="00BE65B3"/>
    <w:rsid w:val="00BE69FE"/>
    <w:rsid w:val="00BE6D95"/>
    <w:rsid w:val="00BE742D"/>
    <w:rsid w:val="00BE779A"/>
    <w:rsid w:val="00BE7BB6"/>
    <w:rsid w:val="00BE7D51"/>
    <w:rsid w:val="00BF0487"/>
    <w:rsid w:val="00BF0ACA"/>
    <w:rsid w:val="00BF0FD5"/>
    <w:rsid w:val="00BF10D2"/>
    <w:rsid w:val="00BF116C"/>
    <w:rsid w:val="00BF120B"/>
    <w:rsid w:val="00BF19D1"/>
    <w:rsid w:val="00BF22EE"/>
    <w:rsid w:val="00BF28C2"/>
    <w:rsid w:val="00BF2AF0"/>
    <w:rsid w:val="00BF31CB"/>
    <w:rsid w:val="00BF4881"/>
    <w:rsid w:val="00BF4B69"/>
    <w:rsid w:val="00BF51F0"/>
    <w:rsid w:val="00BF60E3"/>
    <w:rsid w:val="00BF67D2"/>
    <w:rsid w:val="00BF6ECD"/>
    <w:rsid w:val="00BF70A1"/>
    <w:rsid w:val="00BF72DF"/>
    <w:rsid w:val="00BF752F"/>
    <w:rsid w:val="00BF7D43"/>
    <w:rsid w:val="00C00B95"/>
    <w:rsid w:val="00C00D06"/>
    <w:rsid w:val="00C00D60"/>
    <w:rsid w:val="00C00E26"/>
    <w:rsid w:val="00C013A3"/>
    <w:rsid w:val="00C01B4D"/>
    <w:rsid w:val="00C02C93"/>
    <w:rsid w:val="00C0409F"/>
    <w:rsid w:val="00C045D1"/>
    <w:rsid w:val="00C04BF0"/>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8DA"/>
    <w:rsid w:val="00C10F74"/>
    <w:rsid w:val="00C11183"/>
    <w:rsid w:val="00C118E4"/>
    <w:rsid w:val="00C11CA8"/>
    <w:rsid w:val="00C11FA5"/>
    <w:rsid w:val="00C11FE5"/>
    <w:rsid w:val="00C11FF6"/>
    <w:rsid w:val="00C122BF"/>
    <w:rsid w:val="00C124C4"/>
    <w:rsid w:val="00C12D59"/>
    <w:rsid w:val="00C13AD5"/>
    <w:rsid w:val="00C13C8A"/>
    <w:rsid w:val="00C14FE4"/>
    <w:rsid w:val="00C15135"/>
    <w:rsid w:val="00C17D89"/>
    <w:rsid w:val="00C20049"/>
    <w:rsid w:val="00C2068D"/>
    <w:rsid w:val="00C206C4"/>
    <w:rsid w:val="00C20D6F"/>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25D2"/>
    <w:rsid w:val="00C337F3"/>
    <w:rsid w:val="00C33B98"/>
    <w:rsid w:val="00C33FF0"/>
    <w:rsid w:val="00C34751"/>
    <w:rsid w:val="00C34C05"/>
    <w:rsid w:val="00C34E0B"/>
    <w:rsid w:val="00C3566B"/>
    <w:rsid w:val="00C35A2B"/>
    <w:rsid w:val="00C35B23"/>
    <w:rsid w:val="00C35BE3"/>
    <w:rsid w:val="00C36064"/>
    <w:rsid w:val="00C36BFA"/>
    <w:rsid w:val="00C37050"/>
    <w:rsid w:val="00C37D75"/>
    <w:rsid w:val="00C4018E"/>
    <w:rsid w:val="00C40FA9"/>
    <w:rsid w:val="00C41332"/>
    <w:rsid w:val="00C419A3"/>
    <w:rsid w:val="00C41B56"/>
    <w:rsid w:val="00C41D2B"/>
    <w:rsid w:val="00C4248E"/>
    <w:rsid w:val="00C42A8C"/>
    <w:rsid w:val="00C444D9"/>
    <w:rsid w:val="00C44500"/>
    <w:rsid w:val="00C447FB"/>
    <w:rsid w:val="00C45B4A"/>
    <w:rsid w:val="00C46095"/>
    <w:rsid w:val="00C460CA"/>
    <w:rsid w:val="00C46264"/>
    <w:rsid w:val="00C46896"/>
    <w:rsid w:val="00C477CC"/>
    <w:rsid w:val="00C479D8"/>
    <w:rsid w:val="00C47AE8"/>
    <w:rsid w:val="00C50066"/>
    <w:rsid w:val="00C5017F"/>
    <w:rsid w:val="00C5027B"/>
    <w:rsid w:val="00C51B51"/>
    <w:rsid w:val="00C51F1A"/>
    <w:rsid w:val="00C522F8"/>
    <w:rsid w:val="00C5256D"/>
    <w:rsid w:val="00C5257E"/>
    <w:rsid w:val="00C52BD9"/>
    <w:rsid w:val="00C52FE0"/>
    <w:rsid w:val="00C5337B"/>
    <w:rsid w:val="00C544CA"/>
    <w:rsid w:val="00C54C62"/>
    <w:rsid w:val="00C55231"/>
    <w:rsid w:val="00C563DF"/>
    <w:rsid w:val="00C57750"/>
    <w:rsid w:val="00C57CC6"/>
    <w:rsid w:val="00C604D8"/>
    <w:rsid w:val="00C60D3B"/>
    <w:rsid w:val="00C60EC1"/>
    <w:rsid w:val="00C61F3D"/>
    <w:rsid w:val="00C620E3"/>
    <w:rsid w:val="00C62997"/>
    <w:rsid w:val="00C62B6B"/>
    <w:rsid w:val="00C62DA9"/>
    <w:rsid w:val="00C62DEF"/>
    <w:rsid w:val="00C62F42"/>
    <w:rsid w:val="00C633AB"/>
    <w:rsid w:val="00C64849"/>
    <w:rsid w:val="00C65F58"/>
    <w:rsid w:val="00C661CD"/>
    <w:rsid w:val="00C66571"/>
    <w:rsid w:val="00C667F6"/>
    <w:rsid w:val="00C66941"/>
    <w:rsid w:val="00C66B7F"/>
    <w:rsid w:val="00C66C4B"/>
    <w:rsid w:val="00C66CA7"/>
    <w:rsid w:val="00C66E0C"/>
    <w:rsid w:val="00C67420"/>
    <w:rsid w:val="00C679BA"/>
    <w:rsid w:val="00C70551"/>
    <w:rsid w:val="00C7094D"/>
    <w:rsid w:val="00C71CB1"/>
    <w:rsid w:val="00C7296E"/>
    <w:rsid w:val="00C72AD3"/>
    <w:rsid w:val="00C73242"/>
    <w:rsid w:val="00C7357D"/>
    <w:rsid w:val="00C741B5"/>
    <w:rsid w:val="00C74467"/>
    <w:rsid w:val="00C74C3E"/>
    <w:rsid w:val="00C75004"/>
    <w:rsid w:val="00C755E8"/>
    <w:rsid w:val="00C75970"/>
    <w:rsid w:val="00C75A42"/>
    <w:rsid w:val="00C75C9D"/>
    <w:rsid w:val="00C77113"/>
    <w:rsid w:val="00C8009E"/>
    <w:rsid w:val="00C811D4"/>
    <w:rsid w:val="00C8128C"/>
    <w:rsid w:val="00C8198E"/>
    <w:rsid w:val="00C81A28"/>
    <w:rsid w:val="00C82AE6"/>
    <w:rsid w:val="00C82C71"/>
    <w:rsid w:val="00C82E5F"/>
    <w:rsid w:val="00C83234"/>
    <w:rsid w:val="00C8338A"/>
    <w:rsid w:val="00C83FEB"/>
    <w:rsid w:val="00C84103"/>
    <w:rsid w:val="00C8567F"/>
    <w:rsid w:val="00C8572A"/>
    <w:rsid w:val="00C85784"/>
    <w:rsid w:val="00C85BCA"/>
    <w:rsid w:val="00C8614D"/>
    <w:rsid w:val="00C8650D"/>
    <w:rsid w:val="00C8781D"/>
    <w:rsid w:val="00C87C97"/>
    <w:rsid w:val="00C87CCD"/>
    <w:rsid w:val="00C905AC"/>
    <w:rsid w:val="00C90B13"/>
    <w:rsid w:val="00C90F7A"/>
    <w:rsid w:val="00C917AD"/>
    <w:rsid w:val="00C91B3B"/>
    <w:rsid w:val="00C91CFB"/>
    <w:rsid w:val="00C91FAC"/>
    <w:rsid w:val="00C922C5"/>
    <w:rsid w:val="00C93297"/>
    <w:rsid w:val="00C93600"/>
    <w:rsid w:val="00C93DE2"/>
    <w:rsid w:val="00C94BD7"/>
    <w:rsid w:val="00C95730"/>
    <w:rsid w:val="00C95962"/>
    <w:rsid w:val="00C95B1E"/>
    <w:rsid w:val="00C95DB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F84"/>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206"/>
    <w:rsid w:val="00CB6343"/>
    <w:rsid w:val="00CB6A43"/>
    <w:rsid w:val="00CB6BF1"/>
    <w:rsid w:val="00CB7648"/>
    <w:rsid w:val="00CB7B6B"/>
    <w:rsid w:val="00CC0FAB"/>
    <w:rsid w:val="00CC11B5"/>
    <w:rsid w:val="00CC1E3E"/>
    <w:rsid w:val="00CC1E40"/>
    <w:rsid w:val="00CC27F5"/>
    <w:rsid w:val="00CC2965"/>
    <w:rsid w:val="00CC3929"/>
    <w:rsid w:val="00CC3F83"/>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665"/>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D37"/>
    <w:rsid w:val="00CF228E"/>
    <w:rsid w:val="00CF2304"/>
    <w:rsid w:val="00CF2639"/>
    <w:rsid w:val="00CF2C82"/>
    <w:rsid w:val="00CF2ED9"/>
    <w:rsid w:val="00CF35E4"/>
    <w:rsid w:val="00CF399F"/>
    <w:rsid w:val="00CF3F01"/>
    <w:rsid w:val="00CF4219"/>
    <w:rsid w:val="00CF4D18"/>
    <w:rsid w:val="00CF557C"/>
    <w:rsid w:val="00CF6AF3"/>
    <w:rsid w:val="00CF75C7"/>
    <w:rsid w:val="00D014A9"/>
    <w:rsid w:val="00D017EE"/>
    <w:rsid w:val="00D02369"/>
    <w:rsid w:val="00D02621"/>
    <w:rsid w:val="00D02AC8"/>
    <w:rsid w:val="00D02C36"/>
    <w:rsid w:val="00D03684"/>
    <w:rsid w:val="00D038A2"/>
    <w:rsid w:val="00D03FC3"/>
    <w:rsid w:val="00D04718"/>
    <w:rsid w:val="00D04FC8"/>
    <w:rsid w:val="00D05BC3"/>
    <w:rsid w:val="00D05FD4"/>
    <w:rsid w:val="00D06088"/>
    <w:rsid w:val="00D065A5"/>
    <w:rsid w:val="00D066CD"/>
    <w:rsid w:val="00D0675C"/>
    <w:rsid w:val="00D06800"/>
    <w:rsid w:val="00D06BB8"/>
    <w:rsid w:val="00D06EF9"/>
    <w:rsid w:val="00D0798F"/>
    <w:rsid w:val="00D07A46"/>
    <w:rsid w:val="00D07ADD"/>
    <w:rsid w:val="00D10199"/>
    <w:rsid w:val="00D10E49"/>
    <w:rsid w:val="00D10FB7"/>
    <w:rsid w:val="00D11683"/>
    <w:rsid w:val="00D11873"/>
    <w:rsid w:val="00D12BDB"/>
    <w:rsid w:val="00D12BF8"/>
    <w:rsid w:val="00D13880"/>
    <w:rsid w:val="00D14204"/>
    <w:rsid w:val="00D14A3B"/>
    <w:rsid w:val="00D14F37"/>
    <w:rsid w:val="00D1624D"/>
    <w:rsid w:val="00D164BF"/>
    <w:rsid w:val="00D16A3F"/>
    <w:rsid w:val="00D16D80"/>
    <w:rsid w:val="00D20083"/>
    <w:rsid w:val="00D20E2C"/>
    <w:rsid w:val="00D217CE"/>
    <w:rsid w:val="00D21FD2"/>
    <w:rsid w:val="00D22050"/>
    <w:rsid w:val="00D22D38"/>
    <w:rsid w:val="00D22EE4"/>
    <w:rsid w:val="00D22F97"/>
    <w:rsid w:val="00D231AF"/>
    <w:rsid w:val="00D23556"/>
    <w:rsid w:val="00D235F9"/>
    <w:rsid w:val="00D24DBB"/>
    <w:rsid w:val="00D25B79"/>
    <w:rsid w:val="00D26F41"/>
    <w:rsid w:val="00D272FD"/>
    <w:rsid w:val="00D27327"/>
    <w:rsid w:val="00D27695"/>
    <w:rsid w:val="00D30320"/>
    <w:rsid w:val="00D30756"/>
    <w:rsid w:val="00D31502"/>
    <w:rsid w:val="00D32B70"/>
    <w:rsid w:val="00D330E1"/>
    <w:rsid w:val="00D33313"/>
    <w:rsid w:val="00D33410"/>
    <w:rsid w:val="00D33783"/>
    <w:rsid w:val="00D33EF4"/>
    <w:rsid w:val="00D344C9"/>
    <w:rsid w:val="00D34666"/>
    <w:rsid w:val="00D34F9F"/>
    <w:rsid w:val="00D3610A"/>
    <w:rsid w:val="00D364A5"/>
    <w:rsid w:val="00D36706"/>
    <w:rsid w:val="00D367E7"/>
    <w:rsid w:val="00D37B89"/>
    <w:rsid w:val="00D40485"/>
    <w:rsid w:val="00D40494"/>
    <w:rsid w:val="00D41054"/>
    <w:rsid w:val="00D41274"/>
    <w:rsid w:val="00D41284"/>
    <w:rsid w:val="00D41E9F"/>
    <w:rsid w:val="00D422E4"/>
    <w:rsid w:val="00D423C9"/>
    <w:rsid w:val="00D4277B"/>
    <w:rsid w:val="00D429B7"/>
    <w:rsid w:val="00D4357E"/>
    <w:rsid w:val="00D44862"/>
    <w:rsid w:val="00D44A5C"/>
    <w:rsid w:val="00D44B18"/>
    <w:rsid w:val="00D459DE"/>
    <w:rsid w:val="00D45E78"/>
    <w:rsid w:val="00D4611C"/>
    <w:rsid w:val="00D46E80"/>
    <w:rsid w:val="00D46F2D"/>
    <w:rsid w:val="00D475CC"/>
    <w:rsid w:val="00D50835"/>
    <w:rsid w:val="00D50931"/>
    <w:rsid w:val="00D50DBE"/>
    <w:rsid w:val="00D50F95"/>
    <w:rsid w:val="00D50FEE"/>
    <w:rsid w:val="00D51017"/>
    <w:rsid w:val="00D51565"/>
    <w:rsid w:val="00D52200"/>
    <w:rsid w:val="00D52F0F"/>
    <w:rsid w:val="00D52FAC"/>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354"/>
    <w:rsid w:val="00D63643"/>
    <w:rsid w:val="00D63D24"/>
    <w:rsid w:val="00D648E6"/>
    <w:rsid w:val="00D655BC"/>
    <w:rsid w:val="00D66022"/>
    <w:rsid w:val="00D66065"/>
    <w:rsid w:val="00D665A2"/>
    <w:rsid w:val="00D6670E"/>
    <w:rsid w:val="00D67947"/>
    <w:rsid w:val="00D7010A"/>
    <w:rsid w:val="00D7040B"/>
    <w:rsid w:val="00D70B79"/>
    <w:rsid w:val="00D70D46"/>
    <w:rsid w:val="00D70E81"/>
    <w:rsid w:val="00D70F5E"/>
    <w:rsid w:val="00D7116E"/>
    <w:rsid w:val="00D71968"/>
    <w:rsid w:val="00D71F01"/>
    <w:rsid w:val="00D72894"/>
    <w:rsid w:val="00D7293E"/>
    <w:rsid w:val="00D72DEB"/>
    <w:rsid w:val="00D7358C"/>
    <w:rsid w:val="00D7368A"/>
    <w:rsid w:val="00D737EE"/>
    <w:rsid w:val="00D73F90"/>
    <w:rsid w:val="00D74635"/>
    <w:rsid w:val="00D74977"/>
    <w:rsid w:val="00D75843"/>
    <w:rsid w:val="00D75999"/>
    <w:rsid w:val="00D76E83"/>
    <w:rsid w:val="00D8036A"/>
    <w:rsid w:val="00D81307"/>
    <w:rsid w:val="00D81FF1"/>
    <w:rsid w:val="00D820F3"/>
    <w:rsid w:val="00D822CA"/>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193D"/>
    <w:rsid w:val="00D91BD8"/>
    <w:rsid w:val="00D92265"/>
    <w:rsid w:val="00D9230B"/>
    <w:rsid w:val="00D92F6C"/>
    <w:rsid w:val="00D93307"/>
    <w:rsid w:val="00D93946"/>
    <w:rsid w:val="00D93FFD"/>
    <w:rsid w:val="00D94372"/>
    <w:rsid w:val="00D94456"/>
    <w:rsid w:val="00D9493F"/>
    <w:rsid w:val="00D94FF3"/>
    <w:rsid w:val="00D957C0"/>
    <w:rsid w:val="00D95B59"/>
    <w:rsid w:val="00D95BFF"/>
    <w:rsid w:val="00D96AF8"/>
    <w:rsid w:val="00D96F51"/>
    <w:rsid w:val="00DA0190"/>
    <w:rsid w:val="00DA019E"/>
    <w:rsid w:val="00DA0590"/>
    <w:rsid w:val="00DA0F8E"/>
    <w:rsid w:val="00DA0FC0"/>
    <w:rsid w:val="00DA1176"/>
    <w:rsid w:val="00DA12A3"/>
    <w:rsid w:val="00DA1985"/>
    <w:rsid w:val="00DA1B85"/>
    <w:rsid w:val="00DA1D80"/>
    <w:rsid w:val="00DA1E0F"/>
    <w:rsid w:val="00DA2046"/>
    <w:rsid w:val="00DA2597"/>
    <w:rsid w:val="00DA28A0"/>
    <w:rsid w:val="00DA2BCC"/>
    <w:rsid w:val="00DA2E53"/>
    <w:rsid w:val="00DA3048"/>
    <w:rsid w:val="00DA30FB"/>
    <w:rsid w:val="00DA39C6"/>
    <w:rsid w:val="00DA3F00"/>
    <w:rsid w:val="00DA45B9"/>
    <w:rsid w:val="00DA5C40"/>
    <w:rsid w:val="00DA631B"/>
    <w:rsid w:val="00DA6B1E"/>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CA0"/>
    <w:rsid w:val="00DB4FD7"/>
    <w:rsid w:val="00DB518A"/>
    <w:rsid w:val="00DB533A"/>
    <w:rsid w:val="00DB5C4A"/>
    <w:rsid w:val="00DB5EE5"/>
    <w:rsid w:val="00DB67D0"/>
    <w:rsid w:val="00DB68AB"/>
    <w:rsid w:val="00DB6AEF"/>
    <w:rsid w:val="00DB6DF3"/>
    <w:rsid w:val="00DB7507"/>
    <w:rsid w:val="00DB75E6"/>
    <w:rsid w:val="00DB7E8C"/>
    <w:rsid w:val="00DC0BF8"/>
    <w:rsid w:val="00DC0F93"/>
    <w:rsid w:val="00DC16C2"/>
    <w:rsid w:val="00DC1763"/>
    <w:rsid w:val="00DC17C6"/>
    <w:rsid w:val="00DC28A6"/>
    <w:rsid w:val="00DC31EE"/>
    <w:rsid w:val="00DC3BC7"/>
    <w:rsid w:val="00DC4A29"/>
    <w:rsid w:val="00DC4B4C"/>
    <w:rsid w:val="00DC4E8D"/>
    <w:rsid w:val="00DC54B4"/>
    <w:rsid w:val="00DC5A5E"/>
    <w:rsid w:val="00DC5C23"/>
    <w:rsid w:val="00DC5E79"/>
    <w:rsid w:val="00DC60E1"/>
    <w:rsid w:val="00DC6A94"/>
    <w:rsid w:val="00DC76BA"/>
    <w:rsid w:val="00DD132F"/>
    <w:rsid w:val="00DD1521"/>
    <w:rsid w:val="00DD1C2A"/>
    <w:rsid w:val="00DD1C2F"/>
    <w:rsid w:val="00DD1ED7"/>
    <w:rsid w:val="00DD2221"/>
    <w:rsid w:val="00DD242B"/>
    <w:rsid w:val="00DD278D"/>
    <w:rsid w:val="00DD2C54"/>
    <w:rsid w:val="00DD3430"/>
    <w:rsid w:val="00DD35A0"/>
    <w:rsid w:val="00DD5312"/>
    <w:rsid w:val="00DD6396"/>
    <w:rsid w:val="00DD6C70"/>
    <w:rsid w:val="00DD6E8E"/>
    <w:rsid w:val="00DD70C8"/>
    <w:rsid w:val="00DD7F36"/>
    <w:rsid w:val="00DE0C03"/>
    <w:rsid w:val="00DE21CF"/>
    <w:rsid w:val="00DE273A"/>
    <w:rsid w:val="00DE285A"/>
    <w:rsid w:val="00DE3E7C"/>
    <w:rsid w:val="00DE4664"/>
    <w:rsid w:val="00DE5102"/>
    <w:rsid w:val="00DE5335"/>
    <w:rsid w:val="00DE562C"/>
    <w:rsid w:val="00DE67B4"/>
    <w:rsid w:val="00DE6DAE"/>
    <w:rsid w:val="00DE7524"/>
    <w:rsid w:val="00DE7BFA"/>
    <w:rsid w:val="00DF02EC"/>
    <w:rsid w:val="00DF098C"/>
    <w:rsid w:val="00DF1249"/>
    <w:rsid w:val="00DF24B9"/>
    <w:rsid w:val="00DF2DA0"/>
    <w:rsid w:val="00DF2EEE"/>
    <w:rsid w:val="00DF32AF"/>
    <w:rsid w:val="00DF3E4D"/>
    <w:rsid w:val="00DF42F3"/>
    <w:rsid w:val="00DF46CF"/>
    <w:rsid w:val="00DF4D70"/>
    <w:rsid w:val="00DF4DBC"/>
    <w:rsid w:val="00DF4F19"/>
    <w:rsid w:val="00DF5270"/>
    <w:rsid w:val="00DF5374"/>
    <w:rsid w:val="00DF5D97"/>
    <w:rsid w:val="00DF621B"/>
    <w:rsid w:val="00DF6B34"/>
    <w:rsid w:val="00DF6B69"/>
    <w:rsid w:val="00DF6C6F"/>
    <w:rsid w:val="00E00C18"/>
    <w:rsid w:val="00E012D8"/>
    <w:rsid w:val="00E0160D"/>
    <w:rsid w:val="00E0175D"/>
    <w:rsid w:val="00E01843"/>
    <w:rsid w:val="00E028E6"/>
    <w:rsid w:val="00E0293F"/>
    <w:rsid w:val="00E029BD"/>
    <w:rsid w:val="00E02DBD"/>
    <w:rsid w:val="00E035DE"/>
    <w:rsid w:val="00E03941"/>
    <w:rsid w:val="00E046C1"/>
    <w:rsid w:val="00E049FD"/>
    <w:rsid w:val="00E04B41"/>
    <w:rsid w:val="00E0525C"/>
    <w:rsid w:val="00E052F4"/>
    <w:rsid w:val="00E05375"/>
    <w:rsid w:val="00E054B7"/>
    <w:rsid w:val="00E05A22"/>
    <w:rsid w:val="00E05AC5"/>
    <w:rsid w:val="00E06AF4"/>
    <w:rsid w:val="00E07DFF"/>
    <w:rsid w:val="00E07E45"/>
    <w:rsid w:val="00E10043"/>
    <w:rsid w:val="00E1039A"/>
    <w:rsid w:val="00E119CF"/>
    <w:rsid w:val="00E126D0"/>
    <w:rsid w:val="00E1296E"/>
    <w:rsid w:val="00E12B11"/>
    <w:rsid w:val="00E12C4F"/>
    <w:rsid w:val="00E131BE"/>
    <w:rsid w:val="00E1331F"/>
    <w:rsid w:val="00E136EA"/>
    <w:rsid w:val="00E139D0"/>
    <w:rsid w:val="00E145E0"/>
    <w:rsid w:val="00E14911"/>
    <w:rsid w:val="00E14913"/>
    <w:rsid w:val="00E150B1"/>
    <w:rsid w:val="00E1546F"/>
    <w:rsid w:val="00E16219"/>
    <w:rsid w:val="00E168A5"/>
    <w:rsid w:val="00E17405"/>
    <w:rsid w:val="00E175FF"/>
    <w:rsid w:val="00E176E8"/>
    <w:rsid w:val="00E17CFB"/>
    <w:rsid w:val="00E20661"/>
    <w:rsid w:val="00E209E6"/>
    <w:rsid w:val="00E20AD1"/>
    <w:rsid w:val="00E216A5"/>
    <w:rsid w:val="00E21F98"/>
    <w:rsid w:val="00E22222"/>
    <w:rsid w:val="00E222AC"/>
    <w:rsid w:val="00E224C9"/>
    <w:rsid w:val="00E2272F"/>
    <w:rsid w:val="00E229F7"/>
    <w:rsid w:val="00E22A2D"/>
    <w:rsid w:val="00E22EE3"/>
    <w:rsid w:val="00E23416"/>
    <w:rsid w:val="00E2391F"/>
    <w:rsid w:val="00E242E6"/>
    <w:rsid w:val="00E24B4A"/>
    <w:rsid w:val="00E24E3D"/>
    <w:rsid w:val="00E24EE2"/>
    <w:rsid w:val="00E250DB"/>
    <w:rsid w:val="00E2596F"/>
    <w:rsid w:val="00E2636F"/>
    <w:rsid w:val="00E263E4"/>
    <w:rsid w:val="00E26A77"/>
    <w:rsid w:val="00E271F0"/>
    <w:rsid w:val="00E30155"/>
    <w:rsid w:val="00E304DE"/>
    <w:rsid w:val="00E3069F"/>
    <w:rsid w:val="00E306A2"/>
    <w:rsid w:val="00E307C5"/>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37C82"/>
    <w:rsid w:val="00E40288"/>
    <w:rsid w:val="00E40D87"/>
    <w:rsid w:val="00E421CF"/>
    <w:rsid w:val="00E42782"/>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3FAB"/>
    <w:rsid w:val="00E5413F"/>
    <w:rsid w:val="00E541D0"/>
    <w:rsid w:val="00E54231"/>
    <w:rsid w:val="00E543CA"/>
    <w:rsid w:val="00E54EC5"/>
    <w:rsid w:val="00E55335"/>
    <w:rsid w:val="00E55D2A"/>
    <w:rsid w:val="00E57FA4"/>
    <w:rsid w:val="00E60ADA"/>
    <w:rsid w:val="00E61C29"/>
    <w:rsid w:val="00E624D8"/>
    <w:rsid w:val="00E62EED"/>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420"/>
    <w:rsid w:val="00E71EFF"/>
    <w:rsid w:val="00E72246"/>
    <w:rsid w:val="00E722AC"/>
    <w:rsid w:val="00E723D3"/>
    <w:rsid w:val="00E725B6"/>
    <w:rsid w:val="00E7370D"/>
    <w:rsid w:val="00E73E01"/>
    <w:rsid w:val="00E745BF"/>
    <w:rsid w:val="00E74697"/>
    <w:rsid w:val="00E74F1D"/>
    <w:rsid w:val="00E758C0"/>
    <w:rsid w:val="00E763A8"/>
    <w:rsid w:val="00E765F5"/>
    <w:rsid w:val="00E801FE"/>
    <w:rsid w:val="00E82560"/>
    <w:rsid w:val="00E825E3"/>
    <w:rsid w:val="00E828B0"/>
    <w:rsid w:val="00E82EF4"/>
    <w:rsid w:val="00E83280"/>
    <w:rsid w:val="00E832C9"/>
    <w:rsid w:val="00E833B2"/>
    <w:rsid w:val="00E8348E"/>
    <w:rsid w:val="00E837C2"/>
    <w:rsid w:val="00E83C3A"/>
    <w:rsid w:val="00E83D06"/>
    <w:rsid w:val="00E83D39"/>
    <w:rsid w:val="00E83E6E"/>
    <w:rsid w:val="00E83EA9"/>
    <w:rsid w:val="00E84279"/>
    <w:rsid w:val="00E85483"/>
    <w:rsid w:val="00E85515"/>
    <w:rsid w:val="00E8554D"/>
    <w:rsid w:val="00E85D85"/>
    <w:rsid w:val="00E85FB9"/>
    <w:rsid w:val="00E86072"/>
    <w:rsid w:val="00E86752"/>
    <w:rsid w:val="00E86D0D"/>
    <w:rsid w:val="00E86F8D"/>
    <w:rsid w:val="00E873F1"/>
    <w:rsid w:val="00E87AE6"/>
    <w:rsid w:val="00E87DBE"/>
    <w:rsid w:val="00E904A1"/>
    <w:rsid w:val="00E90519"/>
    <w:rsid w:val="00E90FE7"/>
    <w:rsid w:val="00E91551"/>
    <w:rsid w:val="00E91BF2"/>
    <w:rsid w:val="00E91E5F"/>
    <w:rsid w:val="00E92BD8"/>
    <w:rsid w:val="00E92D92"/>
    <w:rsid w:val="00E92F0A"/>
    <w:rsid w:val="00E93A7A"/>
    <w:rsid w:val="00E93B3D"/>
    <w:rsid w:val="00E94307"/>
    <w:rsid w:val="00E94762"/>
    <w:rsid w:val="00E94C76"/>
    <w:rsid w:val="00E9570D"/>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EE4"/>
    <w:rsid w:val="00EA20F1"/>
    <w:rsid w:val="00EA2730"/>
    <w:rsid w:val="00EA42BA"/>
    <w:rsid w:val="00EA4F96"/>
    <w:rsid w:val="00EA531A"/>
    <w:rsid w:val="00EA54BC"/>
    <w:rsid w:val="00EA589B"/>
    <w:rsid w:val="00EA73FE"/>
    <w:rsid w:val="00EA7499"/>
    <w:rsid w:val="00EA74E3"/>
    <w:rsid w:val="00EA7744"/>
    <w:rsid w:val="00EB178A"/>
    <w:rsid w:val="00EB2435"/>
    <w:rsid w:val="00EB2A33"/>
    <w:rsid w:val="00EB3027"/>
    <w:rsid w:val="00EB306C"/>
    <w:rsid w:val="00EB313A"/>
    <w:rsid w:val="00EB3495"/>
    <w:rsid w:val="00EB4A33"/>
    <w:rsid w:val="00EB534C"/>
    <w:rsid w:val="00EB5E7D"/>
    <w:rsid w:val="00EB688D"/>
    <w:rsid w:val="00EB6BC4"/>
    <w:rsid w:val="00EB7124"/>
    <w:rsid w:val="00EB74DD"/>
    <w:rsid w:val="00EB7E4D"/>
    <w:rsid w:val="00EC0B57"/>
    <w:rsid w:val="00EC12C0"/>
    <w:rsid w:val="00EC142C"/>
    <w:rsid w:val="00EC16D0"/>
    <w:rsid w:val="00EC2404"/>
    <w:rsid w:val="00EC2B11"/>
    <w:rsid w:val="00EC2FEB"/>
    <w:rsid w:val="00EC30C9"/>
    <w:rsid w:val="00EC314F"/>
    <w:rsid w:val="00EC36C9"/>
    <w:rsid w:val="00EC36DD"/>
    <w:rsid w:val="00EC39A2"/>
    <w:rsid w:val="00EC4604"/>
    <w:rsid w:val="00EC4B61"/>
    <w:rsid w:val="00EC555C"/>
    <w:rsid w:val="00EC60C0"/>
    <w:rsid w:val="00EC6337"/>
    <w:rsid w:val="00EC7326"/>
    <w:rsid w:val="00ED0DE8"/>
    <w:rsid w:val="00ED0FAF"/>
    <w:rsid w:val="00ED0FB6"/>
    <w:rsid w:val="00ED16EF"/>
    <w:rsid w:val="00ED19F8"/>
    <w:rsid w:val="00ED1FB7"/>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862"/>
    <w:rsid w:val="00EE2AAB"/>
    <w:rsid w:val="00EE3354"/>
    <w:rsid w:val="00EE3A54"/>
    <w:rsid w:val="00EE459C"/>
    <w:rsid w:val="00EE62B4"/>
    <w:rsid w:val="00EE7024"/>
    <w:rsid w:val="00EF0E50"/>
    <w:rsid w:val="00EF1FE3"/>
    <w:rsid w:val="00EF20FD"/>
    <w:rsid w:val="00EF220D"/>
    <w:rsid w:val="00EF2337"/>
    <w:rsid w:val="00EF2439"/>
    <w:rsid w:val="00EF2A75"/>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1E26"/>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2184"/>
    <w:rsid w:val="00F1352E"/>
    <w:rsid w:val="00F1416B"/>
    <w:rsid w:val="00F14351"/>
    <w:rsid w:val="00F154C5"/>
    <w:rsid w:val="00F15744"/>
    <w:rsid w:val="00F15A4F"/>
    <w:rsid w:val="00F15DE6"/>
    <w:rsid w:val="00F16565"/>
    <w:rsid w:val="00F165FE"/>
    <w:rsid w:val="00F16BB1"/>
    <w:rsid w:val="00F17689"/>
    <w:rsid w:val="00F17E62"/>
    <w:rsid w:val="00F20046"/>
    <w:rsid w:val="00F206FE"/>
    <w:rsid w:val="00F209E0"/>
    <w:rsid w:val="00F20EE3"/>
    <w:rsid w:val="00F21048"/>
    <w:rsid w:val="00F2112D"/>
    <w:rsid w:val="00F21654"/>
    <w:rsid w:val="00F218EF"/>
    <w:rsid w:val="00F21B93"/>
    <w:rsid w:val="00F21EC3"/>
    <w:rsid w:val="00F22F88"/>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7D4"/>
    <w:rsid w:val="00F3250F"/>
    <w:rsid w:val="00F328BD"/>
    <w:rsid w:val="00F33374"/>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2C2D"/>
    <w:rsid w:val="00F42E32"/>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2F4E"/>
    <w:rsid w:val="00F533DB"/>
    <w:rsid w:val="00F5376A"/>
    <w:rsid w:val="00F53E2D"/>
    <w:rsid w:val="00F542D8"/>
    <w:rsid w:val="00F54367"/>
    <w:rsid w:val="00F548C8"/>
    <w:rsid w:val="00F54986"/>
    <w:rsid w:val="00F54DEB"/>
    <w:rsid w:val="00F55A3B"/>
    <w:rsid w:val="00F563B2"/>
    <w:rsid w:val="00F5650B"/>
    <w:rsid w:val="00F56848"/>
    <w:rsid w:val="00F56FA3"/>
    <w:rsid w:val="00F5765A"/>
    <w:rsid w:val="00F57A26"/>
    <w:rsid w:val="00F57A55"/>
    <w:rsid w:val="00F57C72"/>
    <w:rsid w:val="00F60802"/>
    <w:rsid w:val="00F611F0"/>
    <w:rsid w:val="00F61564"/>
    <w:rsid w:val="00F61614"/>
    <w:rsid w:val="00F6190D"/>
    <w:rsid w:val="00F61D1B"/>
    <w:rsid w:val="00F61FDE"/>
    <w:rsid w:val="00F62BB8"/>
    <w:rsid w:val="00F63DE6"/>
    <w:rsid w:val="00F64966"/>
    <w:rsid w:val="00F65A43"/>
    <w:rsid w:val="00F661A3"/>
    <w:rsid w:val="00F66544"/>
    <w:rsid w:val="00F669E3"/>
    <w:rsid w:val="00F670C3"/>
    <w:rsid w:val="00F67219"/>
    <w:rsid w:val="00F675AE"/>
    <w:rsid w:val="00F70225"/>
    <w:rsid w:val="00F703C3"/>
    <w:rsid w:val="00F703EE"/>
    <w:rsid w:val="00F709F5"/>
    <w:rsid w:val="00F711D2"/>
    <w:rsid w:val="00F71985"/>
    <w:rsid w:val="00F71F79"/>
    <w:rsid w:val="00F721A1"/>
    <w:rsid w:val="00F724E3"/>
    <w:rsid w:val="00F72654"/>
    <w:rsid w:val="00F72E2E"/>
    <w:rsid w:val="00F73FA0"/>
    <w:rsid w:val="00F74491"/>
    <w:rsid w:val="00F74A7A"/>
    <w:rsid w:val="00F75AE8"/>
    <w:rsid w:val="00F75B83"/>
    <w:rsid w:val="00F7625A"/>
    <w:rsid w:val="00F76408"/>
    <w:rsid w:val="00F77029"/>
    <w:rsid w:val="00F77CFA"/>
    <w:rsid w:val="00F80D8F"/>
    <w:rsid w:val="00F80E30"/>
    <w:rsid w:val="00F819DD"/>
    <w:rsid w:val="00F81E4A"/>
    <w:rsid w:val="00F81F25"/>
    <w:rsid w:val="00F82A4B"/>
    <w:rsid w:val="00F82D1C"/>
    <w:rsid w:val="00F837DD"/>
    <w:rsid w:val="00F83912"/>
    <w:rsid w:val="00F83C07"/>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382C"/>
    <w:rsid w:val="00F9419F"/>
    <w:rsid w:val="00F94683"/>
    <w:rsid w:val="00F9495D"/>
    <w:rsid w:val="00F94C7E"/>
    <w:rsid w:val="00F95013"/>
    <w:rsid w:val="00F9529E"/>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78C"/>
    <w:rsid w:val="00FA1D8F"/>
    <w:rsid w:val="00FA1E61"/>
    <w:rsid w:val="00FA2B5A"/>
    <w:rsid w:val="00FA2FA0"/>
    <w:rsid w:val="00FA35AF"/>
    <w:rsid w:val="00FA53C1"/>
    <w:rsid w:val="00FA5871"/>
    <w:rsid w:val="00FA5C32"/>
    <w:rsid w:val="00FA6225"/>
    <w:rsid w:val="00FA6686"/>
    <w:rsid w:val="00FA6AE1"/>
    <w:rsid w:val="00FA6BCC"/>
    <w:rsid w:val="00FA79A3"/>
    <w:rsid w:val="00FA7AA6"/>
    <w:rsid w:val="00FA7B16"/>
    <w:rsid w:val="00FA7C04"/>
    <w:rsid w:val="00FB035D"/>
    <w:rsid w:val="00FB0443"/>
    <w:rsid w:val="00FB16B3"/>
    <w:rsid w:val="00FB18E8"/>
    <w:rsid w:val="00FB1CBB"/>
    <w:rsid w:val="00FB1F59"/>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0C1F"/>
    <w:rsid w:val="00FC1530"/>
    <w:rsid w:val="00FC1859"/>
    <w:rsid w:val="00FC2100"/>
    <w:rsid w:val="00FC2742"/>
    <w:rsid w:val="00FC2D17"/>
    <w:rsid w:val="00FC35B0"/>
    <w:rsid w:val="00FC3BBC"/>
    <w:rsid w:val="00FC3EEB"/>
    <w:rsid w:val="00FC4A6E"/>
    <w:rsid w:val="00FC4D5C"/>
    <w:rsid w:val="00FC553E"/>
    <w:rsid w:val="00FC65A0"/>
    <w:rsid w:val="00FC680D"/>
    <w:rsid w:val="00FD0386"/>
    <w:rsid w:val="00FD04EB"/>
    <w:rsid w:val="00FD10D2"/>
    <w:rsid w:val="00FD20D2"/>
    <w:rsid w:val="00FD22B6"/>
    <w:rsid w:val="00FD2475"/>
    <w:rsid w:val="00FD2751"/>
    <w:rsid w:val="00FD282A"/>
    <w:rsid w:val="00FD2A71"/>
    <w:rsid w:val="00FD3618"/>
    <w:rsid w:val="00FD3822"/>
    <w:rsid w:val="00FD45CD"/>
    <w:rsid w:val="00FD4CC0"/>
    <w:rsid w:val="00FD5AFC"/>
    <w:rsid w:val="00FD618D"/>
    <w:rsid w:val="00FD6A3D"/>
    <w:rsid w:val="00FD6BB9"/>
    <w:rsid w:val="00FD6F42"/>
    <w:rsid w:val="00FD7313"/>
    <w:rsid w:val="00FE098B"/>
    <w:rsid w:val="00FE0C6B"/>
    <w:rsid w:val="00FE22FE"/>
    <w:rsid w:val="00FE23E2"/>
    <w:rsid w:val="00FE2D3C"/>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98A"/>
    <w:rsid w:val="00FF4FC8"/>
    <w:rsid w:val="00FF51D0"/>
    <w:rsid w:val="00FF52CC"/>
    <w:rsid w:val="00FF5593"/>
    <w:rsid w:val="00FF5929"/>
    <w:rsid w:val="00FF6227"/>
    <w:rsid w:val="00FF62EF"/>
    <w:rsid w:val="00FF68C4"/>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231"/>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E542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4231"/>
  </w:style>
  <w:style w:type="paragraph" w:styleId="TOC8">
    <w:name w:val="toc 8"/>
    <w:basedOn w:val="TOC1"/>
    <w:semiHidden/>
    <w:rsid w:val="005B4282"/>
    <w:pPr>
      <w:spacing w:before="180"/>
      <w:ind w:left="2693" w:hanging="2693"/>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EastAsia"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7"/>
      </w:numPr>
      <w:ind w:left="0" w:firstLine="0"/>
    </w:pPr>
    <w:rPr>
      <w:b/>
    </w:rPr>
  </w:style>
  <w:style w:type="paragraph" w:styleId="TableofFigures">
    <w:name w:val="table of figures"/>
    <w:basedOn w:val="Normal"/>
    <w:next w:val="Normal"/>
    <w:uiPriority w:val="99"/>
    <w:unhideWhenUsed/>
    <w:rsid w:val="006E4066"/>
    <w:pPr>
      <w:tabs>
        <w:tab w:val="left" w:pos="1080"/>
        <w:tab w:val="left" w:pos="1411"/>
      </w:tabs>
    </w:pPr>
    <w:rPr>
      <w:rFonts w:cs="Times New Roman"/>
      <w:b/>
      <w:bCs/>
      <w:szCs w:val="24"/>
    </w:rPr>
  </w:style>
  <w:style w:type="character" w:customStyle="1" w:styleId="ProposalChar">
    <w:name w:val="Proposal Char"/>
    <w:basedOn w:val="DefaultParagraphFont"/>
    <w:link w:val="Proposal"/>
    <w:rsid w:val="00387636"/>
    <w:rPr>
      <w:rFonts w:asciiTheme="minorHAnsi" w:eastAsiaTheme="minorEastAsia" w:hAnsiTheme="minorHAnsi" w:cstheme="minorBidi"/>
      <w:b/>
      <w:sz w:val="22"/>
      <w:szCs w:val="22"/>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10"/>
      </w:numPr>
      <w:ind w:left="0" w:firstLine="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EastAsia" w:hAnsiTheme="minorHAnsi" w:cstheme="minorBidi"/>
      <w:b/>
      <w:sz w:val="22"/>
      <w:szCs w:val="22"/>
      <w:lang w:val="en-GB"/>
    </w:rPr>
  </w:style>
  <w:style w:type="paragraph" w:customStyle="1" w:styleId="maintext">
    <w:name w:val="main text"/>
    <w:basedOn w:val="Normal"/>
    <w:link w:val="maintextChar"/>
    <w:qFormat/>
    <w:rsid w:val="00AD1A8C"/>
    <w:pPr>
      <w:spacing w:before="60" w:after="60" w:line="288" w:lineRule="auto"/>
      <w:ind w:firstLineChars="200" w:firstLine="200"/>
      <w:jc w:val="both"/>
    </w:pPr>
    <w:rPr>
      <w:rFonts w:eastAsia="Malgun Gothic" w:cs="Times New Roman"/>
      <w:szCs w:val="20"/>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6B161-7A1B-497E-B190-17F0D2650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4092</Words>
  <Characters>23327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2021-04-07T04:50:00Z</dcterms:created>
  <dcterms:modified xsi:type="dcterms:W3CDTF">2021-08-07T02:30:00Z</dcterms:modified>
</cp:coreProperties>
</file>