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5871F" w14:textId="1AD8D507" w:rsidR="00464458" w:rsidRPr="00464458" w:rsidRDefault="00464458" w:rsidP="00464458">
      <w:pPr>
        <w:tabs>
          <w:tab w:val="right" w:pos="9216"/>
        </w:tabs>
        <w:spacing w:after="0"/>
        <w:jc w:val="left"/>
        <w:rPr>
          <w:rFonts w:ascii="Arial" w:hAnsi="Arial" w:cs="Arial"/>
          <w:b/>
          <w:lang w:eastAsia="zh-CN"/>
        </w:rPr>
      </w:pPr>
      <w:r w:rsidRPr="00464458">
        <w:rPr>
          <w:rFonts w:ascii="Arial" w:hAnsi="Arial" w:cs="Arial"/>
          <w:b/>
          <w:noProof/>
          <w:lang w:eastAsia="zh-CN"/>
        </w:rPr>
        <mc:AlternateContent>
          <mc:Choice Requires="wps">
            <w:drawing>
              <wp:anchor distT="0" distB="0" distL="114300" distR="114300" simplePos="0" relativeHeight="251659264" behindDoc="0" locked="1" layoutInCell="1" allowOverlap="1" wp14:anchorId="05EDA1B8" wp14:editId="0861C96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B877F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64458">
        <w:rPr>
          <w:rFonts w:ascii="Arial" w:hAnsi="Arial" w:cs="Arial"/>
          <w:b/>
          <w:lang w:eastAsia="zh-CN"/>
        </w:rPr>
        <w:t>3GPP TSG RAN WG1 Meeting #10</w:t>
      </w:r>
      <w:r w:rsidR="00494811">
        <w:rPr>
          <w:rFonts w:ascii="Arial" w:hAnsi="Arial" w:cs="Arial"/>
          <w:b/>
          <w:lang w:eastAsia="zh-CN"/>
        </w:rPr>
        <w:t>6</w:t>
      </w:r>
      <w:r w:rsidRPr="00464458">
        <w:rPr>
          <w:rFonts w:ascii="Arial" w:hAnsi="Arial" w:cs="Arial"/>
          <w:b/>
          <w:lang w:eastAsia="zh-CN"/>
        </w:rPr>
        <w:t>-e</w:t>
      </w:r>
      <w:r w:rsidRPr="00464458">
        <w:rPr>
          <w:rFonts w:ascii="Arial" w:hAnsi="Arial" w:cs="Arial"/>
          <w:b/>
          <w:lang w:eastAsia="zh-CN"/>
        </w:rPr>
        <w:tab/>
        <w:t>R1-21</w:t>
      </w:r>
      <w:r w:rsidR="00612000">
        <w:rPr>
          <w:rFonts w:ascii="Arial" w:hAnsi="Arial" w:cs="Arial"/>
          <w:b/>
          <w:lang w:eastAsia="zh-CN"/>
        </w:rPr>
        <w:t>0</w:t>
      </w:r>
      <w:r w:rsidR="00F743D9">
        <w:rPr>
          <w:rFonts w:ascii="Arial" w:hAnsi="Arial" w:cs="Arial"/>
          <w:b/>
          <w:lang w:eastAsia="zh-CN"/>
        </w:rPr>
        <w:t>7098</w:t>
      </w:r>
    </w:p>
    <w:p w14:paraId="15AD769F" w14:textId="1C3994BE" w:rsidR="00464458" w:rsidRPr="00464458" w:rsidRDefault="00464458" w:rsidP="00464458">
      <w:pPr>
        <w:spacing w:after="60"/>
        <w:ind w:left="1555" w:hanging="1555"/>
        <w:jc w:val="left"/>
        <w:rPr>
          <w:rFonts w:ascii="Arial" w:hAnsi="Arial" w:cs="Arial"/>
          <w:b/>
          <w:lang w:eastAsia="zh-CN"/>
        </w:rPr>
      </w:pPr>
      <w:r w:rsidRPr="00464458">
        <w:rPr>
          <w:rFonts w:ascii="Arial" w:hAnsi="Arial" w:cs="Arial"/>
          <w:b/>
          <w:lang w:eastAsia="zh-CN"/>
        </w:rPr>
        <w:t xml:space="preserve">e-Meeting, </w:t>
      </w:r>
      <w:r w:rsidR="00931C15" w:rsidRPr="00931C15">
        <w:rPr>
          <w:rFonts w:ascii="Arial" w:hAnsi="Arial" w:cs="Arial"/>
          <w:b/>
          <w:lang w:eastAsia="zh-CN"/>
        </w:rPr>
        <w:t>August 16th – 27th, 2021</w:t>
      </w:r>
    </w:p>
    <w:p w14:paraId="7826937B" w14:textId="54EF7B3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0E0B5E">
        <w:rPr>
          <w:rFonts w:ascii="Arial" w:hAnsi="Arial" w:cs="Arial"/>
          <w:b/>
          <w:lang w:eastAsia="zh-CN"/>
        </w:rPr>
        <w:t>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1C665E48" w:rsidR="00AC0B98"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94811" w:rsidRPr="00494811">
        <w:rPr>
          <w:rFonts w:ascii="Arial" w:hAnsi="Arial" w:cs="Arial"/>
          <w:b/>
          <w:lang w:eastAsia="zh-CN"/>
        </w:rPr>
        <w:t>PDCCH and HARQ support for multi-PDSCH/PUSCH scheduling</w:t>
      </w:r>
    </w:p>
    <w:p w14:paraId="62BCD72B" w14:textId="1D8AE4D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1304ACB0"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86FCA83" w14:textId="4CA1BD16" w:rsidR="004D0B3E" w:rsidRDefault="00531C1A" w:rsidP="00182F43">
      <w:pPr>
        <w:spacing w:after="0"/>
        <w:rPr>
          <w:bCs/>
        </w:rPr>
      </w:pPr>
      <w:r>
        <w:rPr>
          <w:bCs/>
        </w:rPr>
        <w:t xml:space="preserve">In RAN # 90 the extensions to </w:t>
      </w:r>
      <w:r w:rsidR="00182F43">
        <w:rPr>
          <w:bCs/>
        </w:rPr>
        <w:t xml:space="preserve">WI </w:t>
      </w:r>
      <w:r>
        <w:rPr>
          <w:bCs/>
        </w:rPr>
        <w:t>[1] for</w:t>
      </w:r>
      <w:r w:rsidR="00182F43">
        <w:rPr>
          <w:bCs/>
        </w:rPr>
        <w:t xml:space="preserve"> NR operation up to 71GHz </w:t>
      </w:r>
      <w:r>
        <w:rPr>
          <w:bCs/>
        </w:rPr>
        <w:t>were approved. According to [1</w:t>
      </w:r>
      <w:r w:rsidR="009136BE">
        <w:rPr>
          <w:bCs/>
        </w:rPr>
        <w:t>] RAN1 should define:</w:t>
      </w:r>
    </w:p>
    <w:p w14:paraId="55C545F8" w14:textId="722E61C4" w:rsidR="009136BE" w:rsidRPr="009136BE" w:rsidRDefault="009136BE" w:rsidP="009136BE">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2F08DD16" w14:textId="063E25EA" w:rsidR="002674BF" w:rsidRPr="002674BF" w:rsidRDefault="002674BF" w:rsidP="002674BF">
      <w:pPr>
        <w:pStyle w:val="B1"/>
        <w:numPr>
          <w:ilvl w:val="0"/>
          <w:numId w:val="32"/>
        </w:numPr>
        <w:overflowPunct w:val="0"/>
        <w:autoSpaceDE w:val="0"/>
        <w:autoSpaceDN w:val="0"/>
        <w:adjustRightInd w:val="0"/>
        <w:spacing w:before="180"/>
        <w:rPr>
          <w:i/>
          <w:iCs/>
          <w:sz w:val="22"/>
          <w:szCs w:val="22"/>
          <w:lang w:eastAsia="ja-JP"/>
        </w:rPr>
      </w:pPr>
      <w:bookmarkStart w:id="2" w:name="_Hlk58595024"/>
      <w:r w:rsidRPr="002674BF">
        <w:rPr>
          <w:i/>
          <w:iCs/>
          <w:sz w:val="22"/>
          <w:szCs w:val="22"/>
          <w:lang w:eastAsia="ja-JP"/>
        </w:rPr>
        <w:t>Support enhancement to PDCCH monitoring, including blind detection/CCE budget, and multi-slot span monitoring, potential limitation to UE PDCCH configuration and capability related to PDCCH monitoring.</w:t>
      </w:r>
      <w:bookmarkEnd w:id="2"/>
    </w:p>
    <w:p w14:paraId="3568AD8D" w14:textId="6AF7821C" w:rsidR="00124B12" w:rsidRDefault="00124B12" w:rsidP="002D721F"/>
    <w:p w14:paraId="59AA62A8" w14:textId="6B3CC448" w:rsidR="0007306E" w:rsidRDefault="0007306E" w:rsidP="0007306E">
      <w:pPr>
        <w:pStyle w:val="Heading1"/>
      </w:pPr>
      <w:r>
        <w:t>RAN1</w:t>
      </w:r>
      <w:r w:rsidR="00F24D98">
        <w:t>#104b-e</w:t>
      </w:r>
      <w:r>
        <w:t xml:space="preserve"> Agreements</w:t>
      </w:r>
    </w:p>
    <w:p w14:paraId="3892C470" w14:textId="77777777" w:rsidR="0099702A" w:rsidRDefault="0099702A" w:rsidP="0099702A">
      <w:pPr>
        <w:rPr>
          <w:bCs/>
        </w:rPr>
      </w:pPr>
      <w:bookmarkStart w:id="3" w:name="_Hlk69545768"/>
      <w:r>
        <w:rPr>
          <w:bCs/>
        </w:rPr>
        <w:t>For beyond 52.6GHz to 71GHz band and higher SCS (480/960 kHz), the RAN1 agreed to reduce power consumption by increasing the span of PDCCH monitoring to a larger duration than the slot. Few specific solutions were agreed for further discussion, where the selection is presented in the following agreement reached in RAN1 #104b-e [2]:</w:t>
      </w:r>
    </w:p>
    <w:p w14:paraId="7186C30B" w14:textId="77777777" w:rsidR="0099702A" w:rsidRDefault="0099702A" w:rsidP="0099702A">
      <w:pPr>
        <w:ind w:left="1440" w:hanging="1440"/>
        <w:rPr>
          <w:lang w:eastAsia="zh-CN"/>
        </w:rPr>
      </w:pPr>
      <w:r w:rsidRPr="0097586E">
        <w:rPr>
          <w:highlight w:val="green"/>
          <w:lang w:eastAsia="zh-CN"/>
        </w:rPr>
        <w:t>Agreement:</w:t>
      </w:r>
    </w:p>
    <w:p w14:paraId="59F56C57" w14:textId="77777777" w:rsidR="0099702A" w:rsidRPr="002C1E66" w:rsidRDefault="0099702A" w:rsidP="0099702A">
      <w:pPr>
        <w:ind w:left="1440" w:hanging="1440"/>
        <w:rPr>
          <w:lang w:eastAsia="zh-CN"/>
        </w:rPr>
      </w:pPr>
      <w:r>
        <w:rPr>
          <w:lang w:eastAsia="zh-CN"/>
        </w:rPr>
        <w:t>Previous agreement is modified as follows:</w:t>
      </w:r>
    </w:p>
    <w:p w14:paraId="374A1C73" w14:textId="77777777" w:rsidR="0099702A" w:rsidRPr="0098075D" w:rsidRDefault="0099702A" w:rsidP="0099702A">
      <w:pPr>
        <w:ind w:left="1440" w:hanging="1440"/>
        <w:rPr>
          <w:i/>
          <w:iCs/>
          <w:lang w:eastAsia="zh-CN"/>
        </w:rPr>
      </w:pPr>
      <w:r w:rsidRPr="0098075D">
        <w:rPr>
          <w:i/>
          <w:iCs/>
          <w:lang w:eastAsia="zh-CN"/>
        </w:rPr>
        <w:t>Choose one of the following alternatives for defining the multi-slot PDCCH monitoring capability</w:t>
      </w:r>
    </w:p>
    <w:p w14:paraId="31322F43" w14:textId="77777777" w:rsidR="0099702A" w:rsidRPr="0098075D" w:rsidRDefault="0099702A" w:rsidP="0099702A">
      <w:pPr>
        <w:pStyle w:val="ListParagraph"/>
        <w:numPr>
          <w:ilvl w:val="0"/>
          <w:numId w:val="31"/>
        </w:numPr>
        <w:snapToGrid w:val="0"/>
        <w:spacing w:after="0"/>
        <w:contextualSpacing w:val="0"/>
        <w:rPr>
          <w:i/>
          <w:iCs/>
        </w:rPr>
      </w:pPr>
      <w:r w:rsidRPr="0098075D">
        <w:rPr>
          <w:i/>
          <w:iCs/>
        </w:rPr>
        <w:t xml:space="preserve">Alt 1: Use a fixed pattern of slot groups as the baseline to define the new capability. </w:t>
      </w:r>
    </w:p>
    <w:p w14:paraId="6D4BDBC1"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Each slot group consists of X slots</w:t>
      </w:r>
    </w:p>
    <w:p w14:paraId="123A60B8"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Slot groups are consecutive and non-overlapping</w:t>
      </w:r>
    </w:p>
    <w:p w14:paraId="649D3202"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The capability indicates the BD/CCE budget within Y consecutive [symbols or slots] in each slot group separately</w:t>
      </w:r>
    </w:p>
    <w:p w14:paraId="7D945548"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 xml:space="preserve">FFS: Supported values/constraints of X and Y, </w:t>
      </w:r>
      <w:proofErr w:type="gramStart"/>
      <w:r w:rsidRPr="0098075D">
        <w:rPr>
          <w:i/>
          <w:iCs/>
        </w:rPr>
        <w:t>e.g.</w:t>
      </w:r>
      <w:proofErr w:type="gramEnd"/>
      <w:r w:rsidRPr="0098075D">
        <w:rPr>
          <w:i/>
          <w:iCs/>
        </w:rPr>
        <w:t xml:space="preserve"> Y&lt;=X, Y=X</w:t>
      </w:r>
    </w:p>
    <w:p w14:paraId="3E98B433"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 xml:space="preserve">FFS: Restrictions on location of the Y [symbols or slots] within a slot group, </w:t>
      </w:r>
      <w:proofErr w:type="gramStart"/>
      <w:r w:rsidRPr="0098075D">
        <w:rPr>
          <w:i/>
          <w:iCs/>
        </w:rPr>
        <w:t>e.g.</w:t>
      </w:r>
      <w:proofErr w:type="gramEnd"/>
      <w:r w:rsidRPr="0098075D">
        <w:rPr>
          <w:i/>
          <w:iCs/>
        </w:rPr>
        <w:t xml:space="preserve"> the Y [symbols or slots] always start at the first slot within a slot group</w:t>
      </w:r>
    </w:p>
    <w:p w14:paraId="0345EAEA"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FFS: Further definition of capabilities</w:t>
      </w:r>
    </w:p>
    <w:p w14:paraId="2C51B314" w14:textId="77777777" w:rsidR="0099702A" w:rsidRPr="0098075D" w:rsidRDefault="0099702A" w:rsidP="0099702A">
      <w:pPr>
        <w:pStyle w:val="ListParagraph"/>
        <w:numPr>
          <w:ilvl w:val="0"/>
          <w:numId w:val="31"/>
        </w:numPr>
        <w:snapToGrid w:val="0"/>
        <w:spacing w:after="0"/>
        <w:contextualSpacing w:val="0"/>
        <w:rPr>
          <w:i/>
          <w:iCs/>
        </w:rPr>
      </w:pPr>
      <w:r w:rsidRPr="0098075D">
        <w:rPr>
          <w:i/>
          <w:iCs/>
        </w:rPr>
        <w:t>Alt 2: Use an (X, Y) span as the baseline to define the new capability</w:t>
      </w:r>
    </w:p>
    <w:p w14:paraId="554FD637"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 xml:space="preserve">X is the minimum </w:t>
      </w:r>
      <w:r w:rsidRPr="0098075D">
        <w:rPr>
          <w:rFonts w:eastAsia="Times New Roman"/>
          <w:i/>
          <w:iCs/>
        </w:rPr>
        <w:t>time separation between the start of two consecutive spans</w:t>
      </w:r>
    </w:p>
    <w:p w14:paraId="72D9E58D"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 xml:space="preserve">The capability indicates the BD/CCE budget within a span of at most Y consecutive [symbols or slots] </w:t>
      </w:r>
    </w:p>
    <w:p w14:paraId="2C484FCE"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Y &lt;= X</w:t>
      </w:r>
    </w:p>
    <w:p w14:paraId="6D2A55CB"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 xml:space="preserve">FFS: Exact values of X and Y and units in which they are defined (e.g., symbols, slots), including cases where a span is longer than one slot or crosses a slot boundary. </w:t>
      </w:r>
    </w:p>
    <w:p w14:paraId="0C2A4349"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 xml:space="preserve">FFS: What is a span pattern, how it is defined and whether it is supported. If it is supported, whether number of slots within which the span pattern is repeated is needed, and if needed, the value of the number of slots. </w:t>
      </w:r>
    </w:p>
    <w:p w14:paraId="4C6408C8"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FFS: Further definition of capabilities</w:t>
      </w:r>
    </w:p>
    <w:p w14:paraId="34B1C283" w14:textId="77777777" w:rsidR="0099702A" w:rsidRPr="0098075D" w:rsidRDefault="0099702A" w:rsidP="0099702A">
      <w:pPr>
        <w:pStyle w:val="ListParagraph"/>
        <w:numPr>
          <w:ilvl w:val="0"/>
          <w:numId w:val="31"/>
        </w:numPr>
        <w:snapToGrid w:val="0"/>
        <w:spacing w:after="0"/>
        <w:contextualSpacing w:val="0"/>
        <w:rPr>
          <w:i/>
          <w:iCs/>
        </w:rPr>
      </w:pPr>
      <w:r w:rsidRPr="0098075D">
        <w:rPr>
          <w:i/>
          <w:iCs/>
        </w:rPr>
        <w:t xml:space="preserve">Alt 3: Use a sliding window of X slots as the baseline to define the new capability. </w:t>
      </w:r>
    </w:p>
    <w:p w14:paraId="227FFDF9"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The capability indicates the BD/CCE budget within the sliding window</w:t>
      </w:r>
    </w:p>
    <w:p w14:paraId="233EFFE4"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lastRenderedPageBreak/>
        <w:t xml:space="preserve"> The sliding unit of the sliding window is [1] slot.</w:t>
      </w:r>
    </w:p>
    <w:p w14:paraId="42EB9DC7"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FFS: Further definition of capabilities</w:t>
      </w:r>
    </w:p>
    <w:p w14:paraId="6410ADDD" w14:textId="77777777" w:rsidR="0099702A" w:rsidRPr="0098075D" w:rsidRDefault="0099702A" w:rsidP="0099702A">
      <w:pPr>
        <w:pStyle w:val="ListParagraph"/>
        <w:numPr>
          <w:ilvl w:val="0"/>
          <w:numId w:val="31"/>
        </w:numPr>
        <w:snapToGrid w:val="0"/>
        <w:spacing w:after="0"/>
        <w:contextualSpacing w:val="0"/>
        <w:rPr>
          <w:i/>
          <w:iCs/>
        </w:rPr>
      </w:pPr>
      <w:r w:rsidRPr="0098075D">
        <w:rPr>
          <w:i/>
          <w:iCs/>
        </w:rPr>
        <w:t xml:space="preserve">Specific numbers for X, Y may depend on UE capability and </w:t>
      </w:r>
      <w:proofErr w:type="spellStart"/>
      <w:r w:rsidRPr="0098075D">
        <w:rPr>
          <w:i/>
          <w:iCs/>
        </w:rPr>
        <w:t>gNB</w:t>
      </w:r>
      <w:proofErr w:type="spellEnd"/>
      <w:r w:rsidRPr="0098075D">
        <w:rPr>
          <w:i/>
          <w:iCs/>
        </w:rPr>
        <w:t xml:space="preserve"> configuration</w:t>
      </w:r>
    </w:p>
    <w:p w14:paraId="6EEAD791" w14:textId="77777777" w:rsidR="0099702A" w:rsidRPr="0098075D" w:rsidRDefault="0099702A" w:rsidP="0099702A">
      <w:pPr>
        <w:pStyle w:val="ListParagraph"/>
        <w:numPr>
          <w:ilvl w:val="1"/>
          <w:numId w:val="31"/>
        </w:numPr>
        <w:snapToGrid w:val="0"/>
        <w:spacing w:after="0"/>
        <w:contextualSpacing w:val="0"/>
        <w:rPr>
          <w:i/>
          <w:iCs/>
        </w:rPr>
      </w:pPr>
      <w:r w:rsidRPr="0098075D">
        <w:rPr>
          <w:i/>
          <w:iCs/>
        </w:rPr>
        <w:t xml:space="preserve">Examples: </w:t>
      </w:r>
    </w:p>
    <w:p w14:paraId="425CBF2D" w14:textId="77777777" w:rsidR="0099702A" w:rsidRPr="0098075D" w:rsidRDefault="0099702A" w:rsidP="0099702A">
      <w:pPr>
        <w:pStyle w:val="ListParagraph"/>
        <w:numPr>
          <w:ilvl w:val="2"/>
          <w:numId w:val="31"/>
        </w:numPr>
        <w:snapToGrid w:val="0"/>
        <w:spacing w:after="0"/>
        <w:contextualSpacing w:val="0"/>
        <w:rPr>
          <w:i/>
          <w:iCs/>
        </w:rPr>
      </w:pPr>
      <w:r w:rsidRPr="0098075D">
        <w:rPr>
          <w:i/>
          <w:iCs/>
        </w:rPr>
        <w:t>X = [4] slots for 480 kHz SCS and X = [8] slots for 960 kHz SCS</w:t>
      </w:r>
    </w:p>
    <w:p w14:paraId="0CEF7C48" w14:textId="77777777" w:rsidR="0069751A" w:rsidRDefault="0069751A" w:rsidP="0069751A"/>
    <w:p w14:paraId="5A7F7C85" w14:textId="77777777" w:rsidR="0069751A" w:rsidRDefault="0069751A" w:rsidP="0069751A">
      <w:r w:rsidRPr="00B279A7">
        <w:rPr>
          <w:highlight w:val="green"/>
        </w:rPr>
        <w:t>Agreement:</w:t>
      </w:r>
    </w:p>
    <w:p w14:paraId="67D8D427" w14:textId="77777777" w:rsidR="0069751A" w:rsidRDefault="0069751A" w:rsidP="0069751A">
      <w:r>
        <w:t>For 120 kHz SCS in 52.6-71 GHz, the BD/CCE budget is the same as that for 120 kHz in FR2.</w:t>
      </w:r>
    </w:p>
    <w:bookmarkEnd w:id="3"/>
    <w:p w14:paraId="4D405B2F" w14:textId="77777777" w:rsidR="0007306E" w:rsidRPr="0007306E" w:rsidRDefault="0007306E" w:rsidP="0007306E"/>
    <w:p w14:paraId="679FFFF4" w14:textId="79020F0E" w:rsidR="00AA75FE" w:rsidRDefault="002674BF" w:rsidP="0099702A">
      <w:pPr>
        <w:pStyle w:val="Heading1"/>
      </w:pPr>
      <w:r>
        <w:t>Discussion</w:t>
      </w:r>
    </w:p>
    <w:p w14:paraId="40DF5657" w14:textId="774817B4" w:rsidR="00AA75FE" w:rsidRDefault="00C32EC0" w:rsidP="00F24D98">
      <w:pPr>
        <w:rPr>
          <w:bCs/>
        </w:rPr>
      </w:pPr>
      <w:r>
        <w:rPr>
          <w:bCs/>
        </w:rPr>
        <w:t xml:space="preserve">In </w:t>
      </w:r>
      <w:r w:rsidR="006D68DA">
        <w:rPr>
          <w:bCs/>
        </w:rPr>
        <w:t>TS 38.213</w:t>
      </w:r>
      <w:r w:rsidR="006D68DA" w:rsidRPr="006D68DA">
        <w:rPr>
          <w:bCs/>
        </w:rPr>
        <w:t xml:space="preserve"> </w:t>
      </w:r>
      <w:r w:rsidR="00E2152C">
        <w:rPr>
          <w:bCs/>
        </w:rPr>
        <w:t xml:space="preserve">[3] </w:t>
      </w:r>
      <w:r w:rsidR="006D68DA" w:rsidRPr="006D68DA">
        <w:rPr>
          <w:bCs/>
        </w:rPr>
        <w:t>UE capability for PDCCH monitoring per slot or per span on an active DL BWP of a serving cell is defined by a maximum number of PDCCH candidates and non-overlapped CCEs the UE can monitor per slot or per span, respectively, on the active DL BWP of the serving cell</w:t>
      </w:r>
      <w:r w:rsidR="00AA75FE">
        <w:rPr>
          <w:bCs/>
        </w:rPr>
        <w:t>.</w:t>
      </w:r>
      <w:r>
        <w:rPr>
          <w:bCs/>
        </w:rPr>
        <w:t xml:space="preserve"> </w:t>
      </w:r>
      <w:r w:rsidR="004E0396">
        <w:rPr>
          <w:bCs/>
        </w:rPr>
        <w:t xml:space="preserve">The current specifications defined the blind detection/CCE budget </w:t>
      </w:r>
      <w:r>
        <w:rPr>
          <w:bCs/>
        </w:rPr>
        <w:t xml:space="preserve">capabilities </w:t>
      </w:r>
      <w:r w:rsidR="004E0396">
        <w:rPr>
          <w:bCs/>
        </w:rPr>
        <w:t>for SCS 15 to 120kHz</w:t>
      </w:r>
      <w:r>
        <w:rPr>
          <w:bCs/>
        </w:rPr>
        <w:t xml:space="preserve">: </w:t>
      </w:r>
      <w:r w:rsidRPr="00C32EC0">
        <w:rPr>
          <w:bCs/>
        </w:rPr>
        <w:t>per slot, as in Tables 10.1-2 and 10.1-3</w:t>
      </w:r>
      <w:r>
        <w:rPr>
          <w:bCs/>
        </w:rPr>
        <w:t xml:space="preserve"> and </w:t>
      </w:r>
      <w:r w:rsidRPr="00C32EC0">
        <w:rPr>
          <w:bCs/>
        </w:rPr>
        <w:t>per span, as in Tables 10.1-2A and 10.1-3A</w:t>
      </w:r>
      <w:r>
        <w:rPr>
          <w:bCs/>
        </w:rPr>
        <w:t>.</w:t>
      </w:r>
    </w:p>
    <w:p w14:paraId="19C0CA60" w14:textId="3BD6A4FD" w:rsidR="003945CC" w:rsidRPr="003945CC" w:rsidRDefault="00813F3F" w:rsidP="00813F3F">
      <w:pPr>
        <w:rPr>
          <w:color w:val="000000"/>
        </w:rPr>
      </w:pPr>
      <w:r>
        <w:rPr>
          <w:bCs/>
        </w:rPr>
        <w:t>Similar as it is defined in TS 38.213, Clause 10, we consider a</w:t>
      </w:r>
      <w:r>
        <w:rPr>
          <w:rFonts w:eastAsiaTheme="minorEastAsia"/>
        </w:rPr>
        <w:t xml:space="preserve"> span </w:t>
      </w:r>
      <w:r w:rsidR="001111C4">
        <w:rPr>
          <w:rFonts w:eastAsiaTheme="minorEastAsia"/>
        </w:rPr>
        <w:t xml:space="preserve">as </w:t>
      </w:r>
      <w:proofErr w:type="gramStart"/>
      <w:r>
        <w:rPr>
          <w:rFonts w:eastAsiaTheme="minorEastAsia"/>
        </w:rPr>
        <w:t>a number of</w:t>
      </w:r>
      <w:proofErr w:type="gramEnd"/>
      <w:r>
        <w:rPr>
          <w:rFonts w:eastAsiaTheme="minorEastAsia"/>
        </w:rPr>
        <w:t xml:space="preserve"> consecutive symbols or slots where the UE is configured to monitor PDCCH. </w:t>
      </w:r>
      <w:r>
        <w:t>Each PDCCH monitoring occasion is within one span</w:t>
      </w:r>
      <w:r>
        <w:rPr>
          <w:rFonts w:eastAsiaTheme="minorEastAsia"/>
        </w:rPr>
        <w:t xml:space="preserve">. </w:t>
      </w:r>
      <w:r w:rsidRPr="00956408">
        <w:rPr>
          <w:color w:val="000000"/>
        </w:rPr>
        <w:t>A span starts at a first symbol</w:t>
      </w:r>
      <w:r>
        <w:rPr>
          <w:color w:val="000000"/>
        </w:rPr>
        <w:t>/slot</w:t>
      </w:r>
      <w:r w:rsidRPr="00956408">
        <w:rPr>
          <w:color w:val="000000"/>
        </w:rPr>
        <w:t xml:space="preserve"> where a PDCCH monitoring occasion starts and ends at a last symbol</w:t>
      </w:r>
      <w:r>
        <w:rPr>
          <w:color w:val="000000"/>
        </w:rPr>
        <w:t>/slot</w:t>
      </w:r>
      <w:r w:rsidRPr="00956408">
        <w:rPr>
          <w:color w:val="000000"/>
        </w:rPr>
        <w:t xml:space="preserve"> where a PDCCH monitoring occasion ends</w:t>
      </w:r>
      <w:r>
        <w:rPr>
          <w:color w:val="000000"/>
        </w:rPr>
        <w:t>.</w:t>
      </w:r>
      <w:r w:rsidRPr="00956408">
        <w:rPr>
          <w:color w:val="000000"/>
        </w:rPr>
        <w:t xml:space="preserve"> </w:t>
      </w:r>
      <w:r>
        <w:rPr>
          <w:color w:val="000000"/>
        </w:rPr>
        <w:t>T</w:t>
      </w:r>
      <w:r w:rsidRPr="00956408">
        <w:rPr>
          <w:color w:val="000000"/>
        </w:rPr>
        <w:t>he number of symbols</w:t>
      </w:r>
      <w:r>
        <w:rPr>
          <w:color w:val="000000"/>
        </w:rPr>
        <w:t>/slots</w:t>
      </w:r>
      <w:r w:rsidRPr="00956408">
        <w:rPr>
          <w:color w:val="000000"/>
        </w:rPr>
        <w:t xml:space="preserve"> of the span is up to Y.</w:t>
      </w:r>
      <w:r w:rsidR="003945CC">
        <w:rPr>
          <w:color w:val="000000"/>
        </w:rPr>
        <w:t xml:space="preserve"> </w:t>
      </w:r>
      <w:r w:rsidR="003945CC" w:rsidRPr="003945CC">
        <w:rPr>
          <w:rFonts w:cs="Calibri"/>
          <w:iCs/>
          <w:lang w:eastAsia="zh-CN"/>
        </w:rPr>
        <w:t>If a UE monitors PDCCH on a cell according to combination (</w:t>
      </w:r>
      <w:proofErr w:type="gramStart"/>
      <w:r w:rsidR="003945CC" w:rsidRPr="003945CC">
        <w:rPr>
          <w:rFonts w:cs="Calibri"/>
          <w:iCs/>
          <w:lang w:eastAsia="zh-CN"/>
        </w:rPr>
        <w:t>X,Y</w:t>
      </w:r>
      <w:proofErr w:type="gramEnd"/>
      <w:r w:rsidR="003945CC" w:rsidRPr="003945CC">
        <w:rPr>
          <w:rFonts w:cs="Calibri"/>
          <w:iCs/>
          <w:lang w:eastAsia="zh-CN"/>
        </w:rPr>
        <w:t xml:space="preserve">), the UE supports PDCCH monitoring occasions in </w:t>
      </w:r>
      <w:r w:rsidR="001111C4">
        <w:rPr>
          <w:rFonts w:cs="Calibri"/>
          <w:iCs/>
          <w:lang w:eastAsia="zh-CN"/>
        </w:rPr>
        <w:t>each</w:t>
      </w:r>
      <w:r w:rsidR="003945CC" w:rsidRPr="003945CC">
        <w:rPr>
          <w:rFonts w:cs="Calibri"/>
          <w:iCs/>
          <w:lang w:eastAsia="zh-CN"/>
        </w:rPr>
        <w:t xml:space="preserve"> </w:t>
      </w:r>
      <w:r w:rsidR="003945CC">
        <w:rPr>
          <w:rFonts w:cs="Calibri"/>
          <w:iCs/>
          <w:lang w:eastAsia="zh-CN"/>
        </w:rPr>
        <w:t>span</w:t>
      </w:r>
      <w:r w:rsidR="001111C4">
        <w:rPr>
          <w:rFonts w:cs="Calibri"/>
          <w:iCs/>
          <w:lang w:eastAsia="zh-CN"/>
        </w:rPr>
        <w:t xml:space="preserve">, </w:t>
      </w:r>
      <w:r w:rsidR="003945CC" w:rsidRPr="003945CC">
        <w:rPr>
          <w:rFonts w:cs="Calibri"/>
          <w:iCs/>
          <w:lang w:eastAsia="zh-CN"/>
        </w:rPr>
        <w:t xml:space="preserve">with </w:t>
      </w:r>
      <w:r w:rsidR="001111C4">
        <w:rPr>
          <w:rFonts w:cs="Calibri"/>
          <w:iCs/>
          <w:lang w:eastAsia="zh-CN"/>
        </w:rPr>
        <w:t xml:space="preserve">a </w:t>
      </w:r>
      <w:r w:rsidR="003945CC" w:rsidRPr="003945CC">
        <w:rPr>
          <w:rFonts w:cs="Calibri"/>
          <w:iCs/>
          <w:lang w:eastAsia="zh-CN"/>
        </w:rPr>
        <w:t>minimum time separation of X symbols</w:t>
      </w:r>
      <w:r w:rsidR="00E2152C">
        <w:rPr>
          <w:rFonts w:cs="Calibri"/>
          <w:iCs/>
          <w:lang w:eastAsia="zh-CN"/>
        </w:rPr>
        <w:t>/slots</w:t>
      </w:r>
      <w:r w:rsidR="003945CC" w:rsidRPr="003945CC">
        <w:rPr>
          <w:rFonts w:cs="Calibri"/>
          <w:iCs/>
          <w:lang w:eastAsia="zh-CN"/>
        </w:rPr>
        <w:t xml:space="preserve"> between the first symbol</w:t>
      </w:r>
      <w:r w:rsidR="003945CC">
        <w:rPr>
          <w:rFonts w:cs="Calibri"/>
          <w:iCs/>
          <w:lang w:eastAsia="zh-CN"/>
        </w:rPr>
        <w:t>s</w:t>
      </w:r>
      <w:r w:rsidR="003945CC" w:rsidRPr="003945CC">
        <w:rPr>
          <w:rFonts w:cs="Calibri"/>
          <w:iCs/>
          <w:lang w:eastAsia="zh-CN"/>
        </w:rPr>
        <w:t xml:space="preserve"> of two consecutive spans, including across slots.</w:t>
      </w:r>
    </w:p>
    <w:p w14:paraId="3B53BC7C" w14:textId="6522B5FE" w:rsidR="00DE22AE" w:rsidRDefault="00DE22AE" w:rsidP="00476D88">
      <w:pPr>
        <w:rPr>
          <w:bCs/>
        </w:rPr>
      </w:pPr>
      <w:r>
        <w:rPr>
          <w:bCs/>
        </w:rPr>
        <w:t xml:space="preserve">A visualization of </w:t>
      </w:r>
      <w:r w:rsidR="00F24D98">
        <w:rPr>
          <w:bCs/>
        </w:rPr>
        <w:t xml:space="preserve">Alt 1 </w:t>
      </w:r>
      <w:r>
        <w:rPr>
          <w:bCs/>
        </w:rPr>
        <w:t xml:space="preserve">solution is presented in the Figure 1. </w:t>
      </w:r>
    </w:p>
    <w:p w14:paraId="7A5A3160" w14:textId="3DB2799E" w:rsidR="00DE22AE" w:rsidRDefault="0098075D" w:rsidP="00DE22AE">
      <w:pPr>
        <w:keepNext/>
        <w:jc w:val="center"/>
      </w:pPr>
      <w:r>
        <w:rPr>
          <w:noProof/>
        </w:rPr>
        <w:drawing>
          <wp:inline distT="0" distB="0" distL="0" distR="0" wp14:anchorId="63C01659" wp14:editId="5EB6BFF4">
            <wp:extent cx="5361279" cy="11576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0875" cy="1159677"/>
                    </a:xfrm>
                    <a:prstGeom prst="rect">
                      <a:avLst/>
                    </a:prstGeom>
                    <a:noFill/>
                  </pic:spPr>
                </pic:pic>
              </a:graphicData>
            </a:graphic>
          </wp:inline>
        </w:drawing>
      </w:r>
    </w:p>
    <w:p w14:paraId="415BF5E8" w14:textId="09FC8270" w:rsidR="00DE22AE" w:rsidRDefault="00DE22AE" w:rsidP="00DE22AE">
      <w:pPr>
        <w:pStyle w:val="Caption"/>
        <w:rPr>
          <w:bCs w:val="0"/>
        </w:rPr>
      </w:pPr>
      <w:r>
        <w:t xml:space="preserve">Figure </w:t>
      </w:r>
      <w:r w:rsidR="00C00505">
        <w:fldChar w:fldCharType="begin"/>
      </w:r>
      <w:r w:rsidR="00C00505">
        <w:instrText xml:space="preserve"> SEQ Figure \* ARABIC </w:instrText>
      </w:r>
      <w:r w:rsidR="00C00505">
        <w:fldChar w:fldCharType="separate"/>
      </w:r>
      <w:r w:rsidR="00684F8B">
        <w:rPr>
          <w:noProof/>
        </w:rPr>
        <w:t>1</w:t>
      </w:r>
      <w:r w:rsidR="00C00505">
        <w:rPr>
          <w:noProof/>
        </w:rPr>
        <w:fldChar w:fldCharType="end"/>
      </w:r>
      <w:r w:rsidR="00F24D98">
        <w:rPr>
          <w:noProof/>
        </w:rPr>
        <w:t xml:space="preserve">, </w:t>
      </w:r>
      <w:r w:rsidR="004F3A7B">
        <w:rPr>
          <w:noProof/>
        </w:rPr>
        <w:t xml:space="preserve">Alt 1, </w:t>
      </w:r>
      <w:r w:rsidR="00F24D98">
        <w:rPr>
          <w:noProof/>
        </w:rPr>
        <w:t xml:space="preserve">Multi-PDCCH fixed pattern monitoring </w:t>
      </w:r>
    </w:p>
    <w:p w14:paraId="08E8BAA6" w14:textId="6CD52647" w:rsidR="00F24D98" w:rsidRPr="00F24D98" w:rsidRDefault="003945CC" w:rsidP="00476D88">
      <w:pPr>
        <w:rPr>
          <w:bCs/>
        </w:rPr>
      </w:pPr>
      <w:r>
        <w:rPr>
          <w:bCs/>
        </w:rPr>
        <w:t xml:space="preserve">In </w:t>
      </w:r>
      <w:r w:rsidR="001111C4">
        <w:rPr>
          <w:bCs/>
        </w:rPr>
        <w:t>Alt 1</w:t>
      </w:r>
      <w:r>
        <w:rPr>
          <w:bCs/>
        </w:rPr>
        <w:t xml:space="preserve"> solution, a </w:t>
      </w:r>
      <w:r w:rsidR="00F24D98">
        <w:rPr>
          <w:bCs/>
        </w:rPr>
        <w:t>UE search</w:t>
      </w:r>
      <w:r w:rsidR="00653C12">
        <w:rPr>
          <w:bCs/>
        </w:rPr>
        <w:t>es</w:t>
      </w:r>
      <w:r w:rsidR="00F24D98">
        <w:rPr>
          <w:bCs/>
        </w:rPr>
        <w:t xml:space="preserve"> and decode</w:t>
      </w:r>
      <w:r w:rsidR="00653C12">
        <w:rPr>
          <w:bCs/>
        </w:rPr>
        <w:t>s</w:t>
      </w:r>
      <w:r w:rsidR="00F24D98">
        <w:rPr>
          <w:bCs/>
        </w:rPr>
        <w:t xml:space="preserve"> </w:t>
      </w:r>
      <w:r w:rsidR="00653C12">
        <w:rPr>
          <w:bCs/>
        </w:rPr>
        <w:t xml:space="preserve">PDCCH </w:t>
      </w:r>
      <w:r w:rsidR="00C96A2A">
        <w:rPr>
          <w:bCs/>
        </w:rPr>
        <w:t xml:space="preserve">within </w:t>
      </w:r>
      <w:r w:rsidR="0098075D">
        <w:rPr>
          <w:bCs/>
        </w:rPr>
        <w:t xml:space="preserve">Y span </w:t>
      </w:r>
      <w:r>
        <w:rPr>
          <w:bCs/>
        </w:rPr>
        <w:t>(</w:t>
      </w:r>
      <w:r w:rsidR="0098075D">
        <w:rPr>
          <w:bCs/>
        </w:rPr>
        <w:t>symbols/slots</w:t>
      </w:r>
      <w:r>
        <w:rPr>
          <w:bCs/>
        </w:rPr>
        <w:t>)</w:t>
      </w:r>
      <w:r w:rsidR="0098075D">
        <w:rPr>
          <w:bCs/>
        </w:rPr>
        <w:t xml:space="preserve"> with a periodicity of </w:t>
      </w:r>
      <w:r w:rsidR="00C96A2A">
        <w:rPr>
          <w:bCs/>
        </w:rPr>
        <w:t>X</w:t>
      </w:r>
      <w:r w:rsidR="0098075D">
        <w:rPr>
          <w:bCs/>
        </w:rPr>
        <w:t xml:space="preserve"> symbols/slots</w:t>
      </w:r>
      <w:r w:rsidR="00C96A2A">
        <w:rPr>
          <w:bCs/>
        </w:rPr>
        <w:t>, where X is fixed</w:t>
      </w:r>
      <w:r w:rsidR="00EF71D4">
        <w:rPr>
          <w:bCs/>
        </w:rPr>
        <w:t xml:space="preserve">. </w:t>
      </w:r>
      <w:r w:rsidR="0098075D">
        <w:rPr>
          <w:bCs/>
        </w:rPr>
        <w:t xml:space="preserve"> </w:t>
      </w:r>
      <w:r w:rsidR="00813F3F">
        <w:rPr>
          <w:bCs/>
        </w:rPr>
        <w:t xml:space="preserve">The UE BD/CCE budget is defined per span.  </w:t>
      </w:r>
      <w:r w:rsidR="0098075D">
        <w:rPr>
          <w:bCs/>
        </w:rPr>
        <w:t xml:space="preserve">The location of the span can be either fixed </w:t>
      </w:r>
      <w:r w:rsidR="00C96A2A">
        <w:rPr>
          <w:bCs/>
        </w:rPr>
        <w:t xml:space="preserve">in each </w:t>
      </w:r>
      <w:r w:rsidR="00813F3F">
        <w:rPr>
          <w:bCs/>
        </w:rPr>
        <w:t xml:space="preserve">slots group </w:t>
      </w:r>
      <w:r w:rsidR="00C96A2A">
        <w:rPr>
          <w:bCs/>
        </w:rPr>
        <w:t xml:space="preserve">X or variable. When the Y span has a fixed </w:t>
      </w:r>
      <w:r w:rsidR="00813F3F">
        <w:rPr>
          <w:bCs/>
        </w:rPr>
        <w:t xml:space="preserve">(same) </w:t>
      </w:r>
      <w:r w:rsidR="00C96A2A">
        <w:rPr>
          <w:bCs/>
        </w:rPr>
        <w:t>location, which repeats periodically</w:t>
      </w:r>
      <w:r w:rsidR="00813F3F">
        <w:rPr>
          <w:bCs/>
        </w:rPr>
        <w:t>,</w:t>
      </w:r>
      <w:r w:rsidR="00EF71D4">
        <w:rPr>
          <w:bCs/>
        </w:rPr>
        <w:t xml:space="preserve"> </w:t>
      </w:r>
      <w:r w:rsidR="00C96A2A">
        <w:rPr>
          <w:bCs/>
        </w:rPr>
        <w:t xml:space="preserve">the </w:t>
      </w:r>
      <w:r w:rsidR="00653C12">
        <w:rPr>
          <w:bCs/>
        </w:rPr>
        <w:t xml:space="preserve">search is simplified </w:t>
      </w:r>
      <w:r w:rsidR="00C96A2A">
        <w:rPr>
          <w:bCs/>
        </w:rPr>
        <w:t xml:space="preserve">as </w:t>
      </w:r>
      <w:r w:rsidR="00813F3F">
        <w:rPr>
          <w:bCs/>
        </w:rPr>
        <w:t xml:space="preserve">in </w:t>
      </w:r>
      <w:r w:rsidR="00433874">
        <w:rPr>
          <w:bCs/>
        </w:rPr>
        <w:t>Figure 1</w:t>
      </w:r>
      <w:r w:rsidR="00C96A2A">
        <w:rPr>
          <w:bCs/>
        </w:rPr>
        <w:t xml:space="preserve"> </w:t>
      </w:r>
      <w:r w:rsidR="00813F3F">
        <w:rPr>
          <w:bCs/>
        </w:rPr>
        <w:t xml:space="preserve">for the </w:t>
      </w:r>
      <w:r w:rsidR="00C96A2A">
        <w:rPr>
          <w:bCs/>
        </w:rPr>
        <w:t>first two spans</w:t>
      </w:r>
      <w:r w:rsidR="00433874">
        <w:rPr>
          <w:bCs/>
        </w:rPr>
        <w:t>.</w:t>
      </w:r>
      <w:r w:rsidR="00813F3F">
        <w:rPr>
          <w:bCs/>
        </w:rPr>
        <w:t xml:space="preserve"> However, when the span location is variable (random)</w:t>
      </w:r>
      <w:r w:rsidR="00EF71D4">
        <w:rPr>
          <w:bCs/>
        </w:rPr>
        <w:t xml:space="preserve"> the BD/CCE budget limit per span may lead to higher budget necessary in consecutive </w:t>
      </w:r>
      <w:r w:rsidR="00813F3F">
        <w:rPr>
          <w:bCs/>
        </w:rPr>
        <w:t>periods, for instance when two spans are adjacent</w:t>
      </w:r>
      <w:r w:rsidR="00EF71D4">
        <w:rPr>
          <w:bCs/>
        </w:rPr>
        <w:t>. Therefore</w:t>
      </w:r>
      <w:r w:rsidR="0098075D">
        <w:rPr>
          <w:bCs/>
        </w:rPr>
        <w:t>,</w:t>
      </w:r>
      <w:r w:rsidR="00813F3F">
        <w:rPr>
          <w:bCs/>
        </w:rPr>
        <w:t xml:space="preserve"> for Alt</w:t>
      </w:r>
      <w:r w:rsidR="001111C4">
        <w:rPr>
          <w:bCs/>
        </w:rPr>
        <w:t xml:space="preserve"> </w:t>
      </w:r>
      <w:r w:rsidR="00813F3F">
        <w:rPr>
          <w:bCs/>
        </w:rPr>
        <w:t>1,</w:t>
      </w:r>
      <w:r w:rsidR="00EF71D4">
        <w:rPr>
          <w:bCs/>
        </w:rPr>
        <w:t xml:space="preserve"> it is preferable that </w:t>
      </w:r>
      <w:r w:rsidR="00813F3F">
        <w:rPr>
          <w:bCs/>
        </w:rPr>
        <w:t>the span location in each group of X slots is the same, for instance at the start of each X slots group.</w:t>
      </w:r>
      <w:r w:rsidR="00EF71D4">
        <w:rPr>
          <w:bCs/>
        </w:rPr>
        <w:t xml:space="preserve">   </w:t>
      </w:r>
      <w:r>
        <w:rPr>
          <w:bCs/>
        </w:rPr>
        <w:t>Moreover, to allow UE micro-sleep periods between consecutive BD it is preferable that X&gt;Y</w:t>
      </w:r>
    </w:p>
    <w:p w14:paraId="2189F401" w14:textId="07DF4683" w:rsidR="00F24D98" w:rsidRDefault="00F24D98" w:rsidP="00476D88">
      <w:pPr>
        <w:rPr>
          <w:b/>
        </w:rPr>
      </w:pPr>
    </w:p>
    <w:p w14:paraId="4F36E13C" w14:textId="32325B62" w:rsidR="00C32EC0" w:rsidRPr="00A13404" w:rsidRDefault="00433874" w:rsidP="00C32EC0">
      <w:pPr>
        <w:rPr>
          <w:rFonts w:cs="Calibri"/>
          <w:iCs/>
          <w:lang w:eastAsia="zh-CN"/>
        </w:rPr>
      </w:pPr>
      <w:r w:rsidRPr="00433874">
        <w:rPr>
          <w:bCs/>
        </w:rPr>
        <w:t>Figure 2 presents Alt 2 of the</w:t>
      </w:r>
      <w:r w:rsidR="004F3A7B">
        <w:rPr>
          <w:bCs/>
        </w:rPr>
        <w:t xml:space="preserve"> above</w:t>
      </w:r>
      <w:r w:rsidRPr="00433874">
        <w:rPr>
          <w:bCs/>
        </w:rPr>
        <w:t xml:space="preserve"> agreement.</w:t>
      </w:r>
      <w:r w:rsidR="007E4D82">
        <w:rPr>
          <w:bCs/>
        </w:rPr>
        <w:t xml:space="preserve"> </w:t>
      </w:r>
    </w:p>
    <w:p w14:paraId="29CCD525" w14:textId="076B9145" w:rsidR="007E4D82" w:rsidRDefault="007E4D82" w:rsidP="007E4D82">
      <w:pPr>
        <w:rPr>
          <w:bCs/>
        </w:rPr>
      </w:pPr>
    </w:p>
    <w:p w14:paraId="42D12375" w14:textId="77777777" w:rsidR="004F3A7B" w:rsidRDefault="00433874" w:rsidP="004F3A7B">
      <w:pPr>
        <w:keepNext/>
      </w:pPr>
      <w:r>
        <w:rPr>
          <w:b/>
          <w:noProof/>
        </w:rPr>
        <w:lastRenderedPageBreak/>
        <w:drawing>
          <wp:inline distT="0" distB="0" distL="0" distR="0" wp14:anchorId="6268CBF9" wp14:editId="46A5CC49">
            <wp:extent cx="5152935" cy="933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0111" cy="947430"/>
                    </a:xfrm>
                    <a:prstGeom prst="rect">
                      <a:avLst/>
                    </a:prstGeom>
                    <a:noFill/>
                  </pic:spPr>
                </pic:pic>
              </a:graphicData>
            </a:graphic>
          </wp:inline>
        </w:drawing>
      </w:r>
    </w:p>
    <w:p w14:paraId="023E5BAC" w14:textId="696D6500" w:rsidR="00433874" w:rsidRDefault="004F3A7B" w:rsidP="004F3A7B">
      <w:pPr>
        <w:pStyle w:val="Caption"/>
        <w:rPr>
          <w:b w:val="0"/>
        </w:rPr>
      </w:pPr>
      <w:r>
        <w:t xml:space="preserve">Figure </w:t>
      </w:r>
      <w:r w:rsidR="00C00505">
        <w:fldChar w:fldCharType="begin"/>
      </w:r>
      <w:r w:rsidR="00C00505">
        <w:instrText xml:space="preserve"> SEQ Figure \* ARABIC </w:instrText>
      </w:r>
      <w:r w:rsidR="00C00505">
        <w:fldChar w:fldCharType="separate"/>
      </w:r>
      <w:r w:rsidR="00684F8B">
        <w:rPr>
          <w:noProof/>
        </w:rPr>
        <w:t>2</w:t>
      </w:r>
      <w:r w:rsidR="00C00505">
        <w:rPr>
          <w:noProof/>
        </w:rPr>
        <w:fldChar w:fldCharType="end"/>
      </w:r>
      <w:r>
        <w:t>, Alt 2</w:t>
      </w:r>
      <w:r w:rsidR="00EF7228">
        <w:t>, (X,</w:t>
      </w:r>
      <w:r w:rsidR="000064C3">
        <w:t xml:space="preserve"> </w:t>
      </w:r>
      <w:r w:rsidR="00EF7228">
        <w:t>Y) span</w:t>
      </w:r>
    </w:p>
    <w:p w14:paraId="48AF20E3" w14:textId="42C8D54E" w:rsidR="00433874" w:rsidRPr="000064C3" w:rsidRDefault="00A93B8E" w:rsidP="00476D88">
      <w:pPr>
        <w:rPr>
          <w:bCs/>
        </w:rPr>
      </w:pPr>
      <w:r>
        <w:rPr>
          <w:bCs/>
        </w:rPr>
        <w:t>In th</w:t>
      </w:r>
      <w:r w:rsidR="003945CC">
        <w:rPr>
          <w:bCs/>
        </w:rPr>
        <w:t>e Alt 2</w:t>
      </w:r>
      <w:r>
        <w:rPr>
          <w:bCs/>
        </w:rPr>
        <w:t>, the UE</w:t>
      </w:r>
      <w:r w:rsidR="000064C3">
        <w:rPr>
          <w:bCs/>
        </w:rPr>
        <w:t xml:space="preserve"> </w:t>
      </w:r>
      <w:r w:rsidR="003945CC">
        <w:rPr>
          <w:bCs/>
        </w:rPr>
        <w:t>initiates a new PDCCH search (blind decode) after X</w:t>
      </w:r>
      <w:r>
        <w:rPr>
          <w:bCs/>
        </w:rPr>
        <w:t xml:space="preserve"> slots (symbols) </w:t>
      </w:r>
      <w:r w:rsidR="003945CC">
        <w:rPr>
          <w:bCs/>
        </w:rPr>
        <w:t>from</w:t>
      </w:r>
      <w:r>
        <w:rPr>
          <w:bCs/>
        </w:rPr>
        <w:t xml:space="preserve"> the start of </w:t>
      </w:r>
      <w:r w:rsidR="000064C3">
        <w:rPr>
          <w:bCs/>
        </w:rPr>
        <w:t xml:space="preserve">the previous </w:t>
      </w:r>
      <w:r>
        <w:rPr>
          <w:bCs/>
        </w:rPr>
        <w:t>Y span (</w:t>
      </w:r>
      <w:r w:rsidR="003945CC">
        <w:rPr>
          <w:bCs/>
        </w:rPr>
        <w:t xml:space="preserve">where </w:t>
      </w:r>
      <w:r>
        <w:rPr>
          <w:bCs/>
        </w:rPr>
        <w:t>X ≥ Y</w:t>
      </w:r>
      <w:r w:rsidR="003945CC">
        <w:rPr>
          <w:bCs/>
        </w:rPr>
        <w:t>)</w:t>
      </w:r>
      <w:r>
        <w:rPr>
          <w:bCs/>
        </w:rPr>
        <w:t xml:space="preserve">. </w:t>
      </w:r>
      <w:r w:rsidR="00362251" w:rsidRPr="00362251">
        <w:rPr>
          <w:bCs/>
        </w:rPr>
        <w:t xml:space="preserve">The UE BD/CCE budget is defined per span.  </w:t>
      </w:r>
      <w:r>
        <w:rPr>
          <w:bCs/>
        </w:rPr>
        <w:t>Because the Y location is not fixed</w:t>
      </w:r>
      <w:r w:rsidR="003945CC">
        <w:rPr>
          <w:bCs/>
        </w:rPr>
        <w:t>,</w:t>
      </w:r>
      <w:r>
        <w:rPr>
          <w:bCs/>
        </w:rPr>
        <w:t xml:space="preserve"> the search duration </w:t>
      </w:r>
      <w:r w:rsidR="00EF7228">
        <w:rPr>
          <w:bCs/>
        </w:rPr>
        <w:t>may be</w:t>
      </w:r>
      <w:r>
        <w:rPr>
          <w:bCs/>
        </w:rPr>
        <w:t xml:space="preserve"> variable</w:t>
      </w:r>
      <w:r w:rsidR="00674F38">
        <w:rPr>
          <w:bCs/>
        </w:rPr>
        <w:t xml:space="preserve">, while the sleep duration can be X-Y symbols/slots. The minimum duration between consecutive Y spans is X-Y slots (symbols). </w:t>
      </w:r>
      <w:r w:rsidR="000064C3">
        <w:rPr>
          <w:bCs/>
        </w:rPr>
        <w:t xml:space="preserve">We note that this solution offers more flexibility at the price of </w:t>
      </w:r>
      <w:r w:rsidR="003945CC">
        <w:rPr>
          <w:bCs/>
        </w:rPr>
        <w:t xml:space="preserve">slightly </w:t>
      </w:r>
      <w:r w:rsidR="000064C3">
        <w:rPr>
          <w:bCs/>
        </w:rPr>
        <w:t>increase</w:t>
      </w:r>
      <w:r w:rsidR="003945CC">
        <w:rPr>
          <w:bCs/>
        </w:rPr>
        <w:t xml:space="preserve"> in </w:t>
      </w:r>
      <w:r w:rsidR="000064C3">
        <w:rPr>
          <w:bCs/>
        </w:rPr>
        <w:t xml:space="preserve">search </w:t>
      </w:r>
      <w:r w:rsidR="00674F38">
        <w:rPr>
          <w:bCs/>
        </w:rPr>
        <w:t>duration</w:t>
      </w:r>
      <w:r w:rsidR="000064C3">
        <w:rPr>
          <w:bCs/>
        </w:rPr>
        <w:t xml:space="preserve">. </w:t>
      </w:r>
      <w:r w:rsidR="003945CC">
        <w:rPr>
          <w:bCs/>
        </w:rPr>
        <w:t>With a fixed distance between consecutive spans the Alt2 reduces to Alt 1</w:t>
      </w:r>
      <w:r w:rsidR="00C01253">
        <w:rPr>
          <w:bCs/>
        </w:rPr>
        <w:t>.</w:t>
      </w:r>
    </w:p>
    <w:p w14:paraId="2B22344C" w14:textId="5CB6C1E2" w:rsidR="00433874" w:rsidRDefault="00433874" w:rsidP="00476D88">
      <w:pPr>
        <w:rPr>
          <w:b/>
        </w:rPr>
      </w:pPr>
    </w:p>
    <w:p w14:paraId="6A38E4E6" w14:textId="6741562C" w:rsidR="00CC4258" w:rsidRPr="00CC4258" w:rsidRDefault="00CC4258" w:rsidP="00476D88">
      <w:pPr>
        <w:rPr>
          <w:bCs/>
        </w:rPr>
      </w:pPr>
      <w:r w:rsidRPr="00CC4258">
        <w:rPr>
          <w:bCs/>
        </w:rPr>
        <w:t>The Alt 3</w:t>
      </w:r>
      <w:r>
        <w:rPr>
          <w:bCs/>
        </w:rPr>
        <w:t xml:space="preserve"> is presented in Figure 3.</w:t>
      </w:r>
    </w:p>
    <w:p w14:paraId="5DCAC49A" w14:textId="77777777" w:rsidR="00CC4258" w:rsidRDefault="00CC4258" w:rsidP="00CC4258">
      <w:pPr>
        <w:keepNext/>
        <w:jc w:val="center"/>
      </w:pPr>
      <w:r>
        <w:rPr>
          <w:b/>
          <w:noProof/>
        </w:rPr>
        <w:drawing>
          <wp:inline distT="0" distB="0" distL="0" distR="0" wp14:anchorId="40879997" wp14:editId="0F2415C8">
            <wp:extent cx="3814605" cy="11449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6726" cy="1145542"/>
                    </a:xfrm>
                    <a:prstGeom prst="rect">
                      <a:avLst/>
                    </a:prstGeom>
                    <a:noFill/>
                  </pic:spPr>
                </pic:pic>
              </a:graphicData>
            </a:graphic>
          </wp:inline>
        </w:drawing>
      </w:r>
    </w:p>
    <w:p w14:paraId="7195EB5C" w14:textId="1C9E8F1C" w:rsidR="00433874" w:rsidRDefault="00CC4258" w:rsidP="00CC4258">
      <w:pPr>
        <w:pStyle w:val="Caption"/>
        <w:rPr>
          <w:b w:val="0"/>
        </w:rPr>
      </w:pPr>
      <w:r>
        <w:t xml:space="preserve">Figure </w:t>
      </w:r>
      <w:r w:rsidR="00C00505">
        <w:fldChar w:fldCharType="begin"/>
      </w:r>
      <w:r w:rsidR="00C00505">
        <w:instrText xml:space="preserve"> SEQ Figure \* ARABIC </w:instrText>
      </w:r>
      <w:r w:rsidR="00C00505">
        <w:fldChar w:fldCharType="separate"/>
      </w:r>
      <w:r w:rsidR="00684F8B">
        <w:rPr>
          <w:noProof/>
        </w:rPr>
        <w:t>3</w:t>
      </w:r>
      <w:r w:rsidR="00C00505">
        <w:rPr>
          <w:noProof/>
        </w:rPr>
        <w:fldChar w:fldCharType="end"/>
      </w:r>
      <w:r>
        <w:t>, Alt 3, Sliding Window</w:t>
      </w:r>
    </w:p>
    <w:p w14:paraId="1DDDA538" w14:textId="32CD5A70" w:rsidR="000223CE" w:rsidRDefault="002E7D2E" w:rsidP="00476D88">
      <w:pPr>
        <w:rPr>
          <w:bCs/>
        </w:rPr>
      </w:pPr>
      <w:r>
        <w:rPr>
          <w:bCs/>
        </w:rPr>
        <w:t>In t</w:t>
      </w:r>
      <w:r w:rsidRPr="002E7D2E">
        <w:rPr>
          <w:bCs/>
        </w:rPr>
        <w:t>his</w:t>
      </w:r>
      <w:r>
        <w:rPr>
          <w:bCs/>
        </w:rPr>
        <w:t xml:space="preserve"> solution the UE searches using a sliding window. The BD/CCE budget is limited in any sliding window</w:t>
      </w:r>
      <w:r w:rsidR="00926D7C">
        <w:rPr>
          <w:bCs/>
        </w:rPr>
        <w:t xml:space="preserve"> X symbols/slots</w:t>
      </w:r>
      <w:r>
        <w:rPr>
          <w:bCs/>
        </w:rPr>
        <w:t>.</w:t>
      </w:r>
      <w:r w:rsidR="006D68DA">
        <w:rPr>
          <w:bCs/>
        </w:rPr>
        <w:t xml:space="preserve">  Once that UE reached the BD/CCE budget, the UE is not expected to </w:t>
      </w:r>
      <w:r w:rsidR="00AA75FE">
        <w:rPr>
          <w:bCs/>
        </w:rPr>
        <w:t xml:space="preserve">further </w:t>
      </w:r>
      <w:r w:rsidR="00362251">
        <w:rPr>
          <w:bCs/>
        </w:rPr>
        <w:t xml:space="preserve">search, and blind </w:t>
      </w:r>
      <w:r w:rsidR="00AA75FE">
        <w:rPr>
          <w:bCs/>
        </w:rPr>
        <w:t xml:space="preserve">decode </w:t>
      </w:r>
      <w:r w:rsidR="00362251">
        <w:rPr>
          <w:bCs/>
        </w:rPr>
        <w:t>PDCCH</w:t>
      </w:r>
      <w:r w:rsidR="00AA75FE">
        <w:rPr>
          <w:bCs/>
        </w:rPr>
        <w:t xml:space="preserve"> in the current window. </w:t>
      </w:r>
      <w:r w:rsidR="00293715">
        <w:rPr>
          <w:bCs/>
        </w:rPr>
        <w:t>However, i</w:t>
      </w:r>
      <w:r w:rsidR="00C35C24">
        <w:rPr>
          <w:bCs/>
        </w:rPr>
        <w:t xml:space="preserve">n the Alt 3 </w:t>
      </w:r>
      <w:r w:rsidR="00926D7C">
        <w:rPr>
          <w:bCs/>
        </w:rPr>
        <w:t xml:space="preserve">it </w:t>
      </w:r>
      <w:r w:rsidR="00C35C24">
        <w:rPr>
          <w:bCs/>
        </w:rPr>
        <w:t>is not clear how the</w:t>
      </w:r>
      <w:r w:rsidR="004E0396">
        <w:rPr>
          <w:bCs/>
        </w:rPr>
        <w:t xml:space="preserve"> UE</w:t>
      </w:r>
      <w:r w:rsidR="00C35C24">
        <w:rPr>
          <w:bCs/>
        </w:rPr>
        <w:t xml:space="preserve"> monitoring capacity per slot is related to the monitoring capacity per sliding window</w:t>
      </w:r>
      <w:r w:rsidR="006909D1">
        <w:rPr>
          <w:bCs/>
        </w:rPr>
        <w:t xml:space="preserve"> in general. </w:t>
      </w:r>
      <w:r w:rsidR="00362251">
        <w:rPr>
          <w:bCs/>
        </w:rPr>
        <w:t>For instance</w:t>
      </w:r>
      <w:r w:rsidR="00674F38">
        <w:rPr>
          <w:bCs/>
        </w:rPr>
        <w:t>,</w:t>
      </w:r>
      <w:r w:rsidR="00362251">
        <w:rPr>
          <w:bCs/>
        </w:rPr>
        <w:t xml:space="preserve"> the case when the monitoring capacity is exceeded per slot </w:t>
      </w:r>
      <w:r w:rsidR="00362251" w:rsidRPr="00C32EC0">
        <w:rPr>
          <w:bCs/>
        </w:rPr>
        <w:t>as in Tables 10.1-2 and 10.1-</w:t>
      </w:r>
      <w:proofErr w:type="gramStart"/>
      <w:r w:rsidR="00362251" w:rsidRPr="00C32EC0">
        <w:rPr>
          <w:bCs/>
        </w:rPr>
        <w:t>3</w:t>
      </w:r>
      <w:r w:rsidR="00362251">
        <w:rPr>
          <w:bCs/>
        </w:rPr>
        <w:t xml:space="preserve">  but</w:t>
      </w:r>
      <w:proofErr w:type="gramEnd"/>
      <w:r w:rsidR="00362251">
        <w:rPr>
          <w:bCs/>
        </w:rPr>
        <w:t xml:space="preserve"> not exceeded per sliding window. Therefore, it appears that both per slot and per window monitoring capacity should be considered. </w:t>
      </w:r>
      <w:r w:rsidR="004E0396">
        <w:rPr>
          <w:bCs/>
        </w:rPr>
        <w:t xml:space="preserve">For the </w:t>
      </w:r>
      <w:r w:rsidR="00602A80">
        <w:rPr>
          <w:bCs/>
        </w:rPr>
        <w:t>case</w:t>
      </w:r>
      <w:r w:rsidR="004E0396">
        <w:rPr>
          <w:bCs/>
        </w:rPr>
        <w:t xml:space="preserve"> when</w:t>
      </w:r>
      <w:r w:rsidR="006909D1">
        <w:rPr>
          <w:bCs/>
        </w:rPr>
        <w:t xml:space="preserve"> the sliding window increment is one slot and the length of sliding window is </w:t>
      </w:r>
      <w:r w:rsidR="00926D7C">
        <w:rPr>
          <w:bCs/>
        </w:rPr>
        <w:t xml:space="preserve">X </w:t>
      </w:r>
      <w:r w:rsidR="006909D1">
        <w:rPr>
          <w:bCs/>
        </w:rPr>
        <w:t xml:space="preserve">slots, </w:t>
      </w:r>
      <w:r w:rsidR="00926D7C">
        <w:rPr>
          <w:bCs/>
        </w:rPr>
        <w:t>a BD/CCE capacity limit per slot can be translated into the capacity limit per sliding window.</w:t>
      </w:r>
      <w:r w:rsidR="00362251" w:rsidRPr="00362251">
        <w:rPr>
          <w:bCs/>
        </w:rPr>
        <w:t xml:space="preserve"> </w:t>
      </w:r>
      <w:r w:rsidR="000223CE">
        <w:rPr>
          <w:bCs/>
        </w:rPr>
        <w:t>Another issue that needs addressed is the UE behavior for overlapping searches. If the sliding window increment is small with respect to the sliding window duration, the UE must keep track of multiple overlapping sliding windows</w:t>
      </w:r>
      <w:r w:rsidR="00674F38">
        <w:rPr>
          <w:bCs/>
        </w:rPr>
        <w:t xml:space="preserve"> for monitoring capacity</w:t>
      </w:r>
      <w:r w:rsidR="000223CE">
        <w:rPr>
          <w:bCs/>
        </w:rPr>
        <w:t>, which may complicate implementation.</w:t>
      </w:r>
    </w:p>
    <w:p w14:paraId="4FF27393" w14:textId="6D226399" w:rsidR="00D31BCF" w:rsidRDefault="00362251" w:rsidP="00476D88">
      <w:pPr>
        <w:rPr>
          <w:bCs/>
        </w:rPr>
      </w:pPr>
      <w:r>
        <w:rPr>
          <w:bCs/>
        </w:rPr>
        <w:t>Moreover, it is not clear in this solution that that it can be enough gaps between consecutive searches to allow power saving.</w:t>
      </w:r>
      <w:r w:rsidR="00D31BCF">
        <w:rPr>
          <w:bCs/>
        </w:rPr>
        <w:t xml:space="preserve"> </w:t>
      </w:r>
      <w:r w:rsidR="00026E8A" w:rsidRPr="00026E8A">
        <w:rPr>
          <w:bCs/>
        </w:rPr>
        <w:t xml:space="preserve">We note that </w:t>
      </w:r>
      <w:r w:rsidR="00026E8A">
        <w:rPr>
          <w:bCs/>
        </w:rPr>
        <w:t>the CSS and USS scheduling may be complicated Alt 3 if the configuration parameters differ for different UEs.</w:t>
      </w:r>
    </w:p>
    <w:p w14:paraId="4A50482F" w14:textId="3EB3D8C4" w:rsidR="00CC4258" w:rsidRDefault="00026E8A" w:rsidP="00476D88">
      <w:pPr>
        <w:rPr>
          <w:bCs/>
        </w:rPr>
      </w:pPr>
      <w:r>
        <w:rPr>
          <w:bCs/>
        </w:rPr>
        <w:t xml:space="preserve"> For </w:t>
      </w:r>
      <w:r w:rsidR="00674F38">
        <w:rPr>
          <w:bCs/>
        </w:rPr>
        <w:t xml:space="preserve">Alt1 and </w:t>
      </w:r>
      <w:r>
        <w:rPr>
          <w:bCs/>
        </w:rPr>
        <w:t xml:space="preserve">Alt 2 </w:t>
      </w:r>
      <w:r w:rsidR="00674F38">
        <w:rPr>
          <w:bCs/>
        </w:rPr>
        <w:t xml:space="preserve">when </w:t>
      </w:r>
      <w:r>
        <w:rPr>
          <w:bCs/>
        </w:rPr>
        <w:t>UEs have different X and Y spans and different monitoring capa</w:t>
      </w:r>
      <w:r w:rsidR="00D31BCF">
        <w:rPr>
          <w:bCs/>
        </w:rPr>
        <w:t>bilities</w:t>
      </w:r>
      <w:r>
        <w:rPr>
          <w:bCs/>
        </w:rPr>
        <w:t xml:space="preserve"> it may be difficult for </w:t>
      </w:r>
      <w:proofErr w:type="spellStart"/>
      <w:r>
        <w:rPr>
          <w:bCs/>
        </w:rPr>
        <w:t>gNB</w:t>
      </w:r>
      <w:proofErr w:type="spellEnd"/>
      <w:r>
        <w:rPr>
          <w:bCs/>
        </w:rPr>
        <w:t xml:space="preserve"> to schedule the CSS to be monitored by all UEs. </w:t>
      </w:r>
      <w:r w:rsidR="00D31BCF">
        <w:rPr>
          <w:bCs/>
        </w:rPr>
        <w:t xml:space="preserve"> However, with CSS located at the beginning of each span </w:t>
      </w:r>
      <w:proofErr w:type="spellStart"/>
      <w:r w:rsidR="00D31BCF">
        <w:rPr>
          <w:bCs/>
        </w:rPr>
        <w:t>gNB</w:t>
      </w:r>
      <w:proofErr w:type="spellEnd"/>
      <w:r w:rsidR="00D31BCF">
        <w:rPr>
          <w:bCs/>
        </w:rPr>
        <w:t xml:space="preserve"> may accommodate UEs with different capabilities. </w:t>
      </w:r>
    </w:p>
    <w:p w14:paraId="527DCFC1" w14:textId="47FD19C1" w:rsidR="00D31BCF" w:rsidRDefault="00D31BCF" w:rsidP="00D31BCF">
      <w:pPr>
        <w:rPr>
          <w:b/>
        </w:rPr>
      </w:pPr>
      <w:r w:rsidRPr="006B28FF">
        <w:rPr>
          <w:b/>
        </w:rPr>
        <w:t>Proposal</w:t>
      </w:r>
      <w:r w:rsidR="00D72615">
        <w:rPr>
          <w:b/>
        </w:rPr>
        <w:t xml:space="preserve"> 1</w:t>
      </w:r>
      <w:r w:rsidRPr="006B28FF">
        <w:rPr>
          <w:b/>
        </w:rPr>
        <w:t>: Use the Rel-16 capability (</w:t>
      </w:r>
      <w:r w:rsidRPr="006B28FF">
        <w:rPr>
          <w:b/>
          <w:i/>
          <w:iCs/>
        </w:rPr>
        <w:t>pdcch-Monitoring-r16</w:t>
      </w:r>
      <w:r w:rsidRPr="006B28FF">
        <w:rPr>
          <w:b/>
        </w:rPr>
        <w:t>, (X, Y) span) as the baseline to define the new capability</w:t>
      </w:r>
      <w:r>
        <w:rPr>
          <w:b/>
        </w:rPr>
        <w:t>, where Y is the multi-slot span length, and X represents the minimum duration between consecutive multi-slot spans (Alt 2).</w:t>
      </w:r>
    </w:p>
    <w:p w14:paraId="3F0FC345" w14:textId="77777777" w:rsidR="00D31BCF" w:rsidRPr="00026E8A" w:rsidRDefault="00D31BCF" w:rsidP="00476D88">
      <w:pPr>
        <w:rPr>
          <w:bCs/>
        </w:rPr>
      </w:pPr>
    </w:p>
    <w:p w14:paraId="6EDF9DF1" w14:textId="021B2E5C" w:rsidR="004D0A21" w:rsidRDefault="004D0A21" w:rsidP="0099702A">
      <w:pPr>
        <w:pStyle w:val="Heading2"/>
      </w:pPr>
      <w:r>
        <w:t>Overbooking</w:t>
      </w:r>
    </w:p>
    <w:p w14:paraId="020B2FBE" w14:textId="274A0FB6" w:rsidR="004E5D67" w:rsidRDefault="00EE1C27" w:rsidP="00EE1C27">
      <w:pPr>
        <w:rPr>
          <w:bCs/>
        </w:rPr>
      </w:pPr>
      <w:r w:rsidRPr="00EE1C27">
        <w:rPr>
          <w:bCs/>
        </w:rPr>
        <w:t>A base station (BS) can configure the UE with several PDCCH candidates/CCEs per slot that exceeds the UE capability, which is referred to as overbooking</w:t>
      </w:r>
      <w:r>
        <w:rPr>
          <w:bCs/>
        </w:rPr>
        <w:t xml:space="preserve">. </w:t>
      </w:r>
      <w:r w:rsidR="004E5D67">
        <w:rPr>
          <w:bCs/>
        </w:rPr>
        <w:t>As specified in TS 38.213 “</w:t>
      </w:r>
      <w:r w:rsidR="004E5D67" w:rsidRPr="004E5D67">
        <w:rPr>
          <w:bCs/>
        </w:rPr>
        <w:t xml:space="preserve">A UE does not expect to be configured CSS sets that result to corresponding total, or per scheduled cell, numbers of monitored </w:t>
      </w:r>
      <w:r w:rsidR="004E5D67" w:rsidRPr="004E5D67">
        <w:rPr>
          <w:bCs/>
        </w:rPr>
        <w:lastRenderedPageBreak/>
        <w:t>PDCCH candidates and non-overlapped CCEs per slot or per span that exceed the corresponding maximum numbers per slot or per span, respectively.</w:t>
      </w:r>
      <w:r w:rsidR="004E5D67">
        <w:rPr>
          <w:bCs/>
        </w:rPr>
        <w:t>”</w:t>
      </w:r>
    </w:p>
    <w:p w14:paraId="1D009912" w14:textId="7BEE5A4D" w:rsidR="00EE1C27" w:rsidRDefault="00EE1C27" w:rsidP="00EE1C27">
      <w:pPr>
        <w:rPr>
          <w:bCs/>
        </w:rPr>
      </w:pPr>
      <w:r w:rsidRPr="00EE1C27">
        <w:rPr>
          <w:bCs/>
        </w:rPr>
        <w:t>Based on</w:t>
      </w:r>
      <w:r>
        <w:rPr>
          <w:bCs/>
        </w:rPr>
        <w:t xml:space="preserve"> </w:t>
      </w:r>
      <w:r w:rsidRPr="00EE1C27">
        <w:rPr>
          <w:bCs/>
        </w:rPr>
        <w:t>the configuration, the UE and BS map PDCCH candidates in</w:t>
      </w:r>
      <w:r>
        <w:rPr>
          <w:bCs/>
        </w:rPr>
        <w:t xml:space="preserve"> </w:t>
      </w:r>
      <w:r w:rsidRPr="00EE1C27">
        <w:rPr>
          <w:bCs/>
        </w:rPr>
        <w:t>each slot</w:t>
      </w:r>
      <w:r w:rsidR="001E4468">
        <w:rPr>
          <w:bCs/>
        </w:rPr>
        <w:t>/span</w:t>
      </w:r>
      <w:r w:rsidRPr="00EE1C27">
        <w:rPr>
          <w:bCs/>
        </w:rPr>
        <w:t xml:space="preserve"> according to the following mapping rules: </w:t>
      </w:r>
    </w:p>
    <w:p w14:paraId="1A38CBF5" w14:textId="0FF541FC" w:rsidR="00EE1C27" w:rsidRPr="00EE1C27" w:rsidRDefault="00EE1C27" w:rsidP="00EE1C27">
      <w:pPr>
        <w:pStyle w:val="ListParagraph"/>
        <w:numPr>
          <w:ilvl w:val="0"/>
          <w:numId w:val="37"/>
        </w:numPr>
        <w:rPr>
          <w:bCs/>
        </w:rPr>
      </w:pPr>
      <w:r w:rsidRPr="00EE1C27">
        <w:rPr>
          <w:bCs/>
        </w:rPr>
        <w:t>CSS sets are mapped before USS sets,</w:t>
      </w:r>
    </w:p>
    <w:p w14:paraId="5BBCE937" w14:textId="7D1703BF" w:rsidR="00EE1C27" w:rsidRDefault="00EE1C27" w:rsidP="00EE1C27">
      <w:pPr>
        <w:pStyle w:val="ListParagraph"/>
        <w:numPr>
          <w:ilvl w:val="0"/>
          <w:numId w:val="37"/>
        </w:numPr>
        <w:rPr>
          <w:bCs/>
        </w:rPr>
      </w:pPr>
      <w:r w:rsidRPr="00EE1C27">
        <w:rPr>
          <w:bCs/>
        </w:rPr>
        <w:t>USS sets are mapped in ascending order of the SS set i</w:t>
      </w:r>
      <w:r w:rsidR="004E5D67">
        <w:rPr>
          <w:bCs/>
        </w:rPr>
        <w:t>ndex</w:t>
      </w:r>
      <w:r w:rsidRPr="00EE1C27">
        <w:rPr>
          <w:bCs/>
        </w:rPr>
        <w:t xml:space="preserve">, and if the number of PDCCH candidates/CCEs exceeds either of the UE processing limits, then </w:t>
      </w:r>
    </w:p>
    <w:p w14:paraId="6CC7F13B" w14:textId="68048EBC" w:rsidR="00EE1C27" w:rsidRDefault="00EE1C27" w:rsidP="00EE1C27">
      <w:pPr>
        <w:pStyle w:val="ListParagraph"/>
        <w:numPr>
          <w:ilvl w:val="0"/>
          <w:numId w:val="37"/>
        </w:numPr>
        <w:rPr>
          <w:bCs/>
        </w:rPr>
      </w:pPr>
      <w:r w:rsidRPr="00EE1C27">
        <w:rPr>
          <w:bCs/>
        </w:rPr>
        <w:t xml:space="preserve">No more SS sets are mapped </w:t>
      </w:r>
      <w:r w:rsidRPr="00EE1C27">
        <w:rPr>
          <w:bCs/>
          <w:u w:val="single"/>
        </w:rPr>
        <w:t>in the slot</w:t>
      </w:r>
      <w:r w:rsidR="001E4468">
        <w:rPr>
          <w:bCs/>
          <w:u w:val="single"/>
        </w:rPr>
        <w:t xml:space="preserve">/span </w:t>
      </w:r>
      <w:r w:rsidRPr="00EE1C27">
        <w:rPr>
          <w:bCs/>
        </w:rPr>
        <w:t>after reaching the UE processing limit</w:t>
      </w:r>
      <w:r w:rsidR="00DE73E6">
        <w:rPr>
          <w:bCs/>
        </w:rPr>
        <w:t xml:space="preserve"> (either the PDCCH candidates or the maximum CCEs)</w:t>
      </w:r>
      <w:r w:rsidRPr="00EE1C27">
        <w:rPr>
          <w:bCs/>
        </w:rPr>
        <w:t xml:space="preserve">. </w:t>
      </w:r>
    </w:p>
    <w:p w14:paraId="67CE2782" w14:textId="1B34081D" w:rsidR="00EE1C27" w:rsidRDefault="001E4468" w:rsidP="00EE1C27">
      <w:pPr>
        <w:rPr>
          <w:iCs/>
        </w:rPr>
      </w:pPr>
      <w:r>
        <w:rPr>
          <w:bCs/>
        </w:rPr>
        <w:t xml:space="preserve">In Rel 15 the monitoring capability is defined per slot, in Rel 16 the monitoring capability per span is added. The monitoring capability is defined by </w:t>
      </w:r>
      <w:proofErr w:type="spellStart"/>
      <w:r>
        <w:rPr>
          <w:i/>
        </w:rPr>
        <w:t>m</w:t>
      </w:r>
      <w:r w:rsidRPr="007D5B32">
        <w:rPr>
          <w:i/>
        </w:rPr>
        <w:t>onitoringCapabilityConfig</w:t>
      </w:r>
      <w:proofErr w:type="spellEnd"/>
      <w:r>
        <w:rPr>
          <w:i/>
        </w:rPr>
        <w:t xml:space="preserve"> </w:t>
      </w:r>
      <w:r w:rsidRPr="001E4468">
        <w:rPr>
          <w:iCs/>
        </w:rPr>
        <w:t>for a serving cell.</w:t>
      </w:r>
    </w:p>
    <w:p w14:paraId="36280AB7" w14:textId="6084406D" w:rsidR="004E5D67" w:rsidRDefault="004E5D67" w:rsidP="00EE1C27">
      <w:pPr>
        <w:rPr>
          <w:iCs/>
        </w:rPr>
      </w:pPr>
      <w:r>
        <w:rPr>
          <w:iCs/>
        </w:rPr>
        <w:t>For multi-slot PDCCH monitoring it is expected that UE maps the PDCCH candidates using the above rules, where the span may be larger than one slot.</w:t>
      </w:r>
    </w:p>
    <w:p w14:paraId="4CA891C1" w14:textId="379DF3B9" w:rsidR="0099702A" w:rsidRDefault="0099702A" w:rsidP="00EE1C27">
      <w:pPr>
        <w:rPr>
          <w:b/>
          <w:bCs/>
          <w:iCs/>
        </w:rPr>
      </w:pPr>
      <w:r w:rsidRPr="0099702A">
        <w:rPr>
          <w:b/>
          <w:bCs/>
          <w:iCs/>
        </w:rPr>
        <w:t>Proposal</w:t>
      </w:r>
      <w:r w:rsidR="00D72615">
        <w:rPr>
          <w:b/>
          <w:bCs/>
          <w:iCs/>
        </w:rPr>
        <w:t xml:space="preserve"> 2</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7048A374" w14:textId="77777777" w:rsidR="0099702A" w:rsidRPr="0099702A" w:rsidRDefault="0099702A" w:rsidP="00EE1C27">
      <w:pPr>
        <w:rPr>
          <w:b/>
          <w:bCs/>
        </w:rPr>
      </w:pPr>
    </w:p>
    <w:p w14:paraId="09E05993" w14:textId="34B9E1FD" w:rsidR="004D0A21" w:rsidRDefault="004D0A21" w:rsidP="0099702A">
      <w:pPr>
        <w:pStyle w:val="Heading2"/>
      </w:pPr>
      <w:r>
        <w:t>Search Space configuration</w:t>
      </w:r>
    </w:p>
    <w:p w14:paraId="18E1ECC5" w14:textId="07C37950" w:rsidR="00694DFF" w:rsidRDefault="00D028FF" w:rsidP="00694DFF">
      <w:r>
        <w:rPr>
          <w:bCs/>
        </w:rPr>
        <w:t>The time pattern for monitoring PDCCH is configured to a UE by means of search space (SS) sets: common SS (CSS), and UE specific SS (USS). A UE can be configured up to 10 SS sets for each up to four BWPs in a serving cell. The SS set configuration indicates SS type, DCI format(s), monitoring occasions</w:t>
      </w:r>
      <w:r w:rsidR="00C3397A">
        <w:rPr>
          <w:bCs/>
        </w:rPr>
        <w:t xml:space="preserve"> and the number of PDCCH candidates for each aggregation level (AL) in the SS set. </w:t>
      </w:r>
      <w:r w:rsidR="00E20112">
        <w:rPr>
          <w:bCs/>
        </w:rPr>
        <w:t xml:space="preserve">A search space </w:t>
      </w:r>
      <w:r w:rsidR="00C4617E">
        <w:rPr>
          <w:bCs/>
        </w:rPr>
        <w:t>is</w:t>
      </w:r>
      <w:r w:rsidR="00E20112">
        <w:rPr>
          <w:bCs/>
        </w:rPr>
        <w:t xml:space="preserve"> associated with only one CORESET</w:t>
      </w:r>
      <w:r w:rsidR="00C4617E">
        <w:rPr>
          <w:bCs/>
        </w:rPr>
        <w:t xml:space="preserve">. </w:t>
      </w:r>
      <w:r w:rsidR="00694DFF" w:rsidRPr="00694DFF">
        <w:rPr>
          <w:bCs/>
        </w:rPr>
        <w:t>A control-resource set consists of</w:t>
      </w:r>
      <w:r w:rsidR="00694DFF">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694DFF">
        <w:t xml:space="preserve"> </w:t>
      </w:r>
      <w:r w:rsidR="00694DFF" w:rsidRPr="00694DFF">
        <w:rPr>
          <w:bCs/>
        </w:rPr>
        <w:t>resource blocks in the frequency domain and</w:t>
      </w:r>
      <w:r w:rsidR="00694DFF">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rsidR="00694DFF">
        <w:t xml:space="preserve"> </w:t>
      </w:r>
      <w:r w:rsidR="00694DFF" w:rsidRPr="00694DFF">
        <w:rPr>
          <w:bCs/>
        </w:rPr>
        <w:t>symbols in the time domain</w:t>
      </w:r>
      <w:r w:rsidR="00694DFF">
        <w:t>.</w:t>
      </w:r>
      <w:r w:rsidR="00FD3E64">
        <w:t xml:space="preserve"> </w:t>
      </w:r>
      <w:r w:rsidR="00FD3E64" w:rsidRPr="00FD3E64">
        <w:t>A UE monitors a set of PDCCH candidates in one or more CORESETs on the active DL BWP</w:t>
      </w:r>
      <w:r w:rsidR="00FD3E64">
        <w:t xml:space="preserve">. </w:t>
      </w:r>
    </w:p>
    <w:p w14:paraId="1A45D7B2" w14:textId="2E450574" w:rsidR="00E20112" w:rsidRDefault="00C4617E" w:rsidP="00476D88">
      <w:pPr>
        <w:rPr>
          <w:bCs/>
        </w:rPr>
      </w:pPr>
      <w:r>
        <w:rPr>
          <w:bCs/>
        </w:rPr>
        <w:t>The UE determines what slots to monitor based on the duration, periodicity and offset provided by higher layers.</w:t>
      </w:r>
      <w:r w:rsidRPr="00C4617E">
        <w:rPr>
          <w:bCs/>
        </w:rPr>
        <w:t xml:space="preserve"> </w:t>
      </w:r>
      <w:r w:rsidRPr="00026E8A">
        <w:rPr>
          <w:bCs/>
        </w:rPr>
        <w:t xml:space="preserve">TS 38.331 defines the </w:t>
      </w:r>
      <w:proofErr w:type="spellStart"/>
      <w:r w:rsidRPr="00026E8A">
        <w:rPr>
          <w:bCs/>
        </w:rPr>
        <w:t>SearchSpace</w:t>
      </w:r>
      <w:proofErr w:type="spellEnd"/>
      <w:r w:rsidRPr="00026E8A">
        <w:rPr>
          <w:bCs/>
        </w:rPr>
        <w:t xml:space="preserve"> IE</w:t>
      </w:r>
      <w:r>
        <w:rPr>
          <w:bCs/>
        </w:rPr>
        <w:t>.</w:t>
      </w:r>
    </w:p>
    <w:p w14:paraId="732FA515" w14:textId="77777777" w:rsidR="00C4617E" w:rsidRPr="00026E8A" w:rsidRDefault="00C4617E" w:rsidP="00C4617E">
      <w:pPr>
        <w:pStyle w:val="ListParagraph"/>
        <w:numPr>
          <w:ilvl w:val="0"/>
          <w:numId w:val="38"/>
        </w:numPr>
        <w:rPr>
          <w:bCs/>
        </w:rPr>
      </w:pPr>
      <w:r w:rsidRPr="00053E48">
        <w:rPr>
          <w:bCs/>
          <w:i/>
          <w:iCs/>
        </w:rPr>
        <w:t>duration</w:t>
      </w:r>
      <w:r w:rsidRPr="00026E8A">
        <w:rPr>
          <w:bCs/>
        </w:rPr>
        <w:t xml:space="preserve"> is the number of consecutive slots that a </w:t>
      </w:r>
      <w:proofErr w:type="spellStart"/>
      <w:r w:rsidRPr="00026E8A">
        <w:rPr>
          <w:bCs/>
        </w:rPr>
        <w:t>SearchSpace</w:t>
      </w:r>
      <w:proofErr w:type="spellEnd"/>
      <w:r w:rsidRPr="00026E8A">
        <w:rPr>
          <w:bCs/>
        </w:rPr>
        <w:t xml:space="preserve"> lasts </w:t>
      </w:r>
      <w:proofErr w:type="gramStart"/>
      <w:r w:rsidRPr="00026E8A">
        <w:rPr>
          <w:bCs/>
        </w:rPr>
        <w:t>in</w:t>
      </w:r>
      <w:proofErr w:type="gramEnd"/>
      <w:r w:rsidRPr="00026E8A">
        <w:rPr>
          <w:bCs/>
        </w:rPr>
        <w:t xml:space="preserve"> every occasion, i.e., upon every period as given in the </w:t>
      </w:r>
      <w:proofErr w:type="spellStart"/>
      <w:r>
        <w:rPr>
          <w:bCs/>
        </w:rPr>
        <w:t>SlotP</w:t>
      </w:r>
      <w:r w:rsidRPr="00026E8A">
        <w:rPr>
          <w:bCs/>
        </w:rPr>
        <w:t>eriodicityAndOffset</w:t>
      </w:r>
      <w:proofErr w:type="spellEnd"/>
      <w:r w:rsidRPr="00026E8A">
        <w:rPr>
          <w:bCs/>
        </w:rPr>
        <w:t>.</w:t>
      </w:r>
    </w:p>
    <w:p w14:paraId="05DD1DBA" w14:textId="77777777" w:rsidR="00C4617E" w:rsidRDefault="00C4617E" w:rsidP="00C4617E">
      <w:pPr>
        <w:pStyle w:val="ListParagraph"/>
        <w:numPr>
          <w:ilvl w:val="0"/>
          <w:numId w:val="38"/>
        </w:numPr>
        <w:rPr>
          <w:bCs/>
        </w:rPr>
      </w:pPr>
      <w:proofErr w:type="spellStart"/>
      <w:r w:rsidRPr="00053E48">
        <w:rPr>
          <w:bCs/>
          <w:i/>
          <w:iCs/>
        </w:rPr>
        <w:t>monitoringSlotPeriodicityAndOffset</w:t>
      </w:r>
      <w:proofErr w:type="spellEnd"/>
      <w:r>
        <w:rPr>
          <w:bCs/>
        </w:rPr>
        <w:t>: number of s</w:t>
      </w:r>
      <w:r w:rsidRPr="00026E8A">
        <w:rPr>
          <w:bCs/>
        </w:rPr>
        <w:t>lots for PDCCH Monitoring configured as periodicity and offset.</w:t>
      </w:r>
    </w:p>
    <w:p w14:paraId="54DEB966" w14:textId="77777777" w:rsidR="00050D19" w:rsidRDefault="00D505A3" w:rsidP="00476D88">
      <w:pPr>
        <w:rPr>
          <w:bCs/>
        </w:rPr>
      </w:pPr>
      <w:r>
        <w:rPr>
          <w:bCs/>
        </w:rPr>
        <w:t>Note that t</w:t>
      </w:r>
      <w:r w:rsidR="00C4617E">
        <w:rPr>
          <w:bCs/>
        </w:rPr>
        <w:t xml:space="preserve">here are two basic PDCCH monitoring patterns (configurations) </w:t>
      </w:r>
      <w:r w:rsidR="00050D19">
        <w:rPr>
          <w:bCs/>
        </w:rPr>
        <w:t xml:space="preserve">during the duration that a </w:t>
      </w:r>
      <w:proofErr w:type="spellStart"/>
      <w:r w:rsidR="00050D19">
        <w:rPr>
          <w:bCs/>
        </w:rPr>
        <w:t>SlotSpace</w:t>
      </w:r>
      <w:proofErr w:type="spellEnd"/>
      <w:r w:rsidR="00050D19">
        <w:rPr>
          <w:bCs/>
        </w:rPr>
        <w:t xml:space="preserve"> lasts (</w:t>
      </w:r>
      <w:r w:rsidR="00C4617E">
        <w:rPr>
          <w:bCs/>
        </w:rPr>
        <w:t>defined in Rel-15/16</w:t>
      </w:r>
      <w:r w:rsidR="00050D19">
        <w:rPr>
          <w:bCs/>
        </w:rPr>
        <w:t>)</w:t>
      </w:r>
      <w:r w:rsidR="00C4617E">
        <w:rPr>
          <w:bCs/>
        </w:rPr>
        <w:t xml:space="preserve"> per slot, and per span, where the span is a group of symbols fully contained in a slot. Based on these configurations UE monitors and blindly decode in each slot and respectively</w:t>
      </w:r>
      <w:r w:rsidR="00050D19">
        <w:rPr>
          <w:bCs/>
        </w:rPr>
        <w:t xml:space="preserve"> each </w:t>
      </w:r>
      <w:r w:rsidR="00C4617E">
        <w:rPr>
          <w:bCs/>
        </w:rPr>
        <w:t xml:space="preserve">span in each slot for the duration specified. In other </w:t>
      </w:r>
      <w:r w:rsidR="00CA6849">
        <w:rPr>
          <w:bCs/>
        </w:rPr>
        <w:t>words,</w:t>
      </w:r>
      <w:r w:rsidR="00C4617E">
        <w:rPr>
          <w:bCs/>
        </w:rPr>
        <w:t xml:space="preserve"> a slot is a basic pattern for monitoring and search. </w:t>
      </w:r>
    </w:p>
    <w:p w14:paraId="0E0F11EF" w14:textId="4CFDFE59" w:rsidR="00C4617E" w:rsidRDefault="00C4617E" w:rsidP="00476D88">
      <w:pPr>
        <w:rPr>
          <w:bCs/>
        </w:rPr>
      </w:pPr>
      <w:r>
        <w:rPr>
          <w:bCs/>
        </w:rPr>
        <w:t xml:space="preserve">With Rel 17, the basic pattern is extended to </w:t>
      </w:r>
      <w:r w:rsidR="003637B8">
        <w:rPr>
          <w:bCs/>
        </w:rPr>
        <w:t>multiple slots</w:t>
      </w:r>
      <w:r>
        <w:rPr>
          <w:bCs/>
        </w:rPr>
        <w:t xml:space="preserve">, therefore the specified duration is a repetition of the basic </w:t>
      </w:r>
      <w:r w:rsidR="00CA6849">
        <w:rPr>
          <w:bCs/>
        </w:rPr>
        <w:t>pattern and</w:t>
      </w:r>
      <w:r>
        <w:rPr>
          <w:bCs/>
        </w:rPr>
        <w:t xml:space="preserve"> should be a multiple of </w:t>
      </w:r>
      <w:r w:rsidR="00CA6849">
        <w:rPr>
          <w:bCs/>
        </w:rPr>
        <w:t xml:space="preserve">the </w:t>
      </w:r>
      <w:r>
        <w:rPr>
          <w:bCs/>
        </w:rPr>
        <w:t xml:space="preserve">basic pattern length. </w:t>
      </w:r>
      <w:r w:rsidR="00CA6849">
        <w:rPr>
          <w:bCs/>
        </w:rPr>
        <w:t>The basic pattern duration in multi-slot PDCCH monitoring corresponds to X value above. The basic pattern duration for multi-slot PDCCH monitoring consists of an active search period (span) and a period where UE can microsleep (X-Y for instance).</w:t>
      </w:r>
    </w:p>
    <w:p w14:paraId="310B5AB8" w14:textId="6299072A" w:rsidR="006F3616" w:rsidRDefault="00900880" w:rsidP="00476D88">
      <w:pPr>
        <w:rPr>
          <w:bCs/>
        </w:rPr>
      </w:pPr>
      <w:r>
        <w:rPr>
          <w:bCs/>
        </w:rPr>
        <w:t xml:space="preserve">With multi-slot PDCCH monitoring new variables are necessary to describe the extended </w:t>
      </w:r>
      <w:r w:rsidR="003D5272">
        <w:rPr>
          <w:bCs/>
        </w:rPr>
        <w:t xml:space="preserve">basic </w:t>
      </w:r>
      <w:r w:rsidR="00007E0C">
        <w:rPr>
          <w:bCs/>
        </w:rPr>
        <w:t xml:space="preserve">monitoring </w:t>
      </w:r>
      <w:r>
        <w:rPr>
          <w:bCs/>
        </w:rPr>
        <w:t>pattern</w:t>
      </w:r>
      <w:r w:rsidR="00E20112">
        <w:rPr>
          <w:bCs/>
        </w:rPr>
        <w:t xml:space="preserve"> within a search space</w:t>
      </w:r>
      <w:r w:rsidR="003D5272">
        <w:rPr>
          <w:bCs/>
        </w:rPr>
        <w:t xml:space="preserve"> duration</w:t>
      </w:r>
      <w:r>
        <w:rPr>
          <w:bCs/>
        </w:rPr>
        <w:t>.</w:t>
      </w:r>
    </w:p>
    <w:p w14:paraId="4395A407" w14:textId="7F4E04E3" w:rsidR="00900880" w:rsidRDefault="00900880" w:rsidP="00900880">
      <w:pPr>
        <w:pStyle w:val="ListParagraph"/>
        <w:numPr>
          <w:ilvl w:val="0"/>
          <w:numId w:val="39"/>
        </w:numPr>
        <w:rPr>
          <w:bCs/>
        </w:rPr>
      </w:pPr>
      <w:proofErr w:type="spellStart"/>
      <w:r w:rsidRPr="006F3616">
        <w:rPr>
          <w:bCs/>
          <w:i/>
          <w:iCs/>
        </w:rPr>
        <w:t>spanDuration</w:t>
      </w:r>
      <w:proofErr w:type="spellEnd"/>
      <w:r>
        <w:rPr>
          <w:bCs/>
        </w:rPr>
        <w:t>, represent</w:t>
      </w:r>
      <w:r w:rsidR="00007E0C">
        <w:rPr>
          <w:bCs/>
        </w:rPr>
        <w:t>s</w:t>
      </w:r>
      <w:r>
        <w:rPr>
          <w:bCs/>
        </w:rPr>
        <w:t xml:space="preserve"> the number of slots of span duration</w:t>
      </w:r>
      <w:r w:rsidR="00E20112">
        <w:rPr>
          <w:bCs/>
        </w:rPr>
        <w:t xml:space="preserve"> where PDCCH may be localized</w:t>
      </w:r>
      <w:r>
        <w:rPr>
          <w:bCs/>
        </w:rPr>
        <w:t xml:space="preserve"> </w:t>
      </w:r>
    </w:p>
    <w:p w14:paraId="6875D566" w14:textId="03869F05" w:rsidR="00900880" w:rsidRDefault="00E20112" w:rsidP="00900880">
      <w:pPr>
        <w:pStyle w:val="ListParagraph"/>
        <w:numPr>
          <w:ilvl w:val="0"/>
          <w:numId w:val="39"/>
        </w:numPr>
        <w:rPr>
          <w:bCs/>
        </w:rPr>
      </w:pPr>
      <w:proofErr w:type="spellStart"/>
      <w:r>
        <w:rPr>
          <w:bCs/>
          <w:i/>
          <w:iCs/>
        </w:rPr>
        <w:t>pattern</w:t>
      </w:r>
      <w:r w:rsidR="00900880" w:rsidRPr="00900880">
        <w:rPr>
          <w:bCs/>
          <w:i/>
          <w:iCs/>
        </w:rPr>
        <w:t>Duration</w:t>
      </w:r>
      <w:proofErr w:type="spellEnd"/>
      <w:r w:rsidR="00900880" w:rsidRPr="00900880">
        <w:rPr>
          <w:bCs/>
          <w:i/>
          <w:iCs/>
        </w:rPr>
        <w:t>,</w:t>
      </w:r>
      <w:r w:rsidR="00900880">
        <w:rPr>
          <w:bCs/>
        </w:rPr>
        <w:t xml:space="preserve"> which correspond to X </w:t>
      </w:r>
      <w:r>
        <w:rPr>
          <w:bCs/>
        </w:rPr>
        <w:t>value d</w:t>
      </w:r>
      <w:r w:rsidR="00900880">
        <w:rPr>
          <w:bCs/>
        </w:rPr>
        <w:t xml:space="preserve">uration </w:t>
      </w:r>
    </w:p>
    <w:p w14:paraId="5958ED54" w14:textId="219B4A85" w:rsidR="00900880" w:rsidRDefault="00007E0C" w:rsidP="00476D88">
      <w:pPr>
        <w:rPr>
          <w:bCs/>
        </w:rPr>
      </w:pPr>
      <w:r>
        <w:rPr>
          <w:bCs/>
        </w:rPr>
        <w:lastRenderedPageBreak/>
        <w:t>We note that the existing elements (</w:t>
      </w:r>
      <w:r w:rsidR="00BF04A6">
        <w:rPr>
          <w:bCs/>
        </w:rPr>
        <w:t>v</w:t>
      </w:r>
      <w:r>
        <w:rPr>
          <w:bCs/>
        </w:rPr>
        <w:t xml:space="preserve">ariables) for search space configuration </w:t>
      </w:r>
      <w:r w:rsidR="00BF04A6">
        <w:rPr>
          <w:bCs/>
        </w:rPr>
        <w:t xml:space="preserve">should </w:t>
      </w:r>
      <w:r>
        <w:rPr>
          <w:bCs/>
        </w:rPr>
        <w:t>keep their defini</w:t>
      </w:r>
      <w:r w:rsidR="00BF04A6">
        <w:rPr>
          <w:bCs/>
        </w:rPr>
        <w:t>ti</w:t>
      </w:r>
      <w:r>
        <w:rPr>
          <w:bCs/>
        </w:rPr>
        <w:t xml:space="preserve">on </w:t>
      </w:r>
      <w:r w:rsidR="00BF04A6">
        <w:rPr>
          <w:bCs/>
        </w:rPr>
        <w:t xml:space="preserve">as the extended </w:t>
      </w:r>
      <w:r w:rsidR="003D5272">
        <w:rPr>
          <w:bCs/>
        </w:rPr>
        <w:t>basic</w:t>
      </w:r>
      <w:r w:rsidR="00BF04A6">
        <w:rPr>
          <w:bCs/>
        </w:rPr>
        <w:t xml:space="preserve"> monitor pattern </w:t>
      </w:r>
      <w:r w:rsidR="003D5272">
        <w:rPr>
          <w:bCs/>
        </w:rPr>
        <w:t>is</w:t>
      </w:r>
      <w:r w:rsidR="00BF04A6">
        <w:rPr>
          <w:bCs/>
        </w:rPr>
        <w:t xml:space="preserve"> repeated for “duration” slots, </w:t>
      </w:r>
      <w:r w:rsidR="006257B8">
        <w:rPr>
          <w:bCs/>
        </w:rPr>
        <w:t>(duration &gt;X)</w:t>
      </w:r>
      <w:r w:rsidR="00E708FB">
        <w:rPr>
          <w:bCs/>
        </w:rPr>
        <w:t xml:space="preserve">, </w:t>
      </w:r>
      <w:r w:rsidR="00BF04A6">
        <w:rPr>
          <w:bCs/>
        </w:rPr>
        <w:t>with periodicity and offset configured</w:t>
      </w:r>
      <w:r w:rsidR="003D5272">
        <w:rPr>
          <w:bCs/>
        </w:rPr>
        <w:t xml:space="preserve"> as presented in Figure 4.</w:t>
      </w:r>
      <w:r w:rsidR="00BF04A6">
        <w:rPr>
          <w:bCs/>
        </w:rPr>
        <w:t xml:space="preserve"> </w:t>
      </w:r>
      <w:r>
        <w:rPr>
          <w:bCs/>
        </w:rPr>
        <w:t xml:space="preserve"> </w:t>
      </w:r>
    </w:p>
    <w:p w14:paraId="3D8FD0F3" w14:textId="77777777" w:rsidR="00684F8B" w:rsidRDefault="00684F8B" w:rsidP="00684F8B">
      <w:pPr>
        <w:keepNext/>
      </w:pPr>
      <w:r>
        <w:rPr>
          <w:bCs/>
          <w:noProof/>
        </w:rPr>
        <w:drawing>
          <wp:inline distT="0" distB="0" distL="0" distR="0" wp14:anchorId="7F6F7BA0" wp14:editId="557B495B">
            <wp:extent cx="6456797" cy="1285240"/>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38096" cy="1301423"/>
                    </a:xfrm>
                    <a:prstGeom prst="rect">
                      <a:avLst/>
                    </a:prstGeom>
                    <a:noFill/>
                  </pic:spPr>
                </pic:pic>
              </a:graphicData>
            </a:graphic>
          </wp:inline>
        </w:drawing>
      </w:r>
    </w:p>
    <w:p w14:paraId="7F29E4DA" w14:textId="36924AC2" w:rsidR="00684F8B" w:rsidRDefault="00684F8B" w:rsidP="00684F8B">
      <w:pPr>
        <w:pStyle w:val="Caption"/>
        <w:rPr>
          <w:bCs w:val="0"/>
        </w:rPr>
      </w:pPr>
      <w:r>
        <w:t xml:space="preserve">Figure </w:t>
      </w:r>
      <w:r w:rsidR="00C00505">
        <w:fldChar w:fldCharType="begin"/>
      </w:r>
      <w:r w:rsidR="00C00505">
        <w:instrText xml:space="preserve"> SEQ Figure \* ARABIC </w:instrText>
      </w:r>
      <w:r w:rsidR="00C00505">
        <w:fldChar w:fldCharType="separate"/>
      </w:r>
      <w:r>
        <w:rPr>
          <w:noProof/>
        </w:rPr>
        <w:t>4</w:t>
      </w:r>
      <w:r w:rsidR="00C00505">
        <w:rPr>
          <w:noProof/>
        </w:rPr>
        <w:fldChar w:fldCharType="end"/>
      </w:r>
      <w:r w:rsidR="00D505A3">
        <w:t>, Search Space timing</w:t>
      </w:r>
    </w:p>
    <w:p w14:paraId="0CD9B027" w14:textId="737A62F8" w:rsidR="003D5272" w:rsidRDefault="003D5272" w:rsidP="001E628F">
      <w:pPr>
        <w:rPr>
          <w:bCs/>
        </w:rPr>
      </w:pPr>
      <w:r>
        <w:rPr>
          <w:bCs/>
        </w:rPr>
        <w:t xml:space="preserve">We also note that during a multi-slot span the PDCCH monitoring may be further restricted to a sub-set of symbols in each slot of the multi-slot span. </w:t>
      </w:r>
    </w:p>
    <w:p w14:paraId="0075112A" w14:textId="03908358" w:rsidR="003D5272" w:rsidRDefault="003D5272" w:rsidP="003D5272">
      <w:pPr>
        <w:rPr>
          <w:bCs/>
        </w:rPr>
      </w:pPr>
      <w:r>
        <w:rPr>
          <w:bCs/>
        </w:rPr>
        <w:t xml:space="preserve">In a multi-slot monitoring span UE may be provided with bitmap that indicates the monitoring symbols in each span. We note that this information is already provided in the Rel-15/16 IE by the variable   </w:t>
      </w:r>
      <w:proofErr w:type="spellStart"/>
      <w:r w:rsidRPr="003F609F">
        <w:rPr>
          <w:bCs/>
          <w:i/>
          <w:iCs/>
        </w:rPr>
        <w:t>monitoringSymbolsWithinSlot</w:t>
      </w:r>
      <w:proofErr w:type="spellEnd"/>
      <w:r>
        <w:rPr>
          <w:bCs/>
        </w:rPr>
        <w:t>, which is t</w:t>
      </w:r>
      <w:r w:rsidRPr="003F609F">
        <w:rPr>
          <w:bCs/>
        </w:rPr>
        <w:t>he first symbol(s) for PDCCH monitoring in the slots configured for PDCCH monitoring</w:t>
      </w:r>
      <w:r>
        <w:rPr>
          <w:bCs/>
        </w:rPr>
        <w:t>.</w:t>
      </w:r>
      <w:r w:rsidR="00E65CE6">
        <w:rPr>
          <w:bCs/>
        </w:rPr>
        <w:t xml:space="preserve"> For instance, UE will monitor just the first 3 symbols in each slot of the multi-slot span. Moreover, the PDCCH schedule and monitoring can be further simplified if the CSS and USS are grouped and scheduled at different time either in the same slot or different slots of the span.</w:t>
      </w:r>
    </w:p>
    <w:p w14:paraId="54A828D5" w14:textId="54D51980" w:rsidR="001E628F" w:rsidRDefault="001E628F" w:rsidP="001E628F">
      <w:pPr>
        <w:rPr>
          <w:bCs/>
        </w:rPr>
      </w:pPr>
      <w:r>
        <w:rPr>
          <w:bCs/>
        </w:rPr>
        <w:t xml:space="preserve">We note that is possible to select between two PDCCH </w:t>
      </w:r>
      <w:r w:rsidR="003D5272">
        <w:rPr>
          <w:bCs/>
        </w:rPr>
        <w:t xml:space="preserve">different </w:t>
      </w:r>
      <w:r>
        <w:rPr>
          <w:bCs/>
        </w:rPr>
        <w:t>monitoring behaviors (</w:t>
      </w:r>
      <w:proofErr w:type="gramStart"/>
      <w:r>
        <w:rPr>
          <w:bCs/>
        </w:rPr>
        <w:t>e.g.</w:t>
      </w:r>
      <w:proofErr w:type="gramEnd"/>
      <w:r>
        <w:rPr>
          <w:bCs/>
        </w:rPr>
        <w:t xml:space="preserve"> per slot vs per multi-slot or per 2 slots vs 4 slots monitoring) through search space set group (SSSG) switching.</w:t>
      </w:r>
    </w:p>
    <w:p w14:paraId="0753A2EF" w14:textId="64EB8438" w:rsidR="00120C4A" w:rsidRDefault="00120C4A" w:rsidP="00120C4A">
      <w:pPr>
        <w:rPr>
          <w:bCs/>
        </w:rPr>
      </w:pPr>
      <w:r>
        <w:rPr>
          <w:bCs/>
        </w:rPr>
        <w:t xml:space="preserve">In RAN1 #104-e discussions most companies supported the PDCCH monitoring enhancements only for SCS larger than 120 kHz. In other words, </w:t>
      </w:r>
      <w:r w:rsidR="003D5272">
        <w:rPr>
          <w:bCs/>
        </w:rPr>
        <w:t xml:space="preserve">some </w:t>
      </w:r>
      <w:r>
        <w:rPr>
          <w:bCs/>
        </w:rPr>
        <w:t xml:space="preserve">RAN1 companies </w:t>
      </w:r>
      <w:r w:rsidR="003D5272">
        <w:rPr>
          <w:bCs/>
        </w:rPr>
        <w:t xml:space="preserve">including us, </w:t>
      </w:r>
      <w:r>
        <w:rPr>
          <w:bCs/>
        </w:rPr>
        <w:t xml:space="preserve">did not see reasons to have multi-slot PDCCH monitoring capability for 120kHz SCS, which is the only SCS mandated so far for beyond 52.6GHz to 71 GHz spectrum. </w:t>
      </w:r>
    </w:p>
    <w:p w14:paraId="2E9E7022" w14:textId="1DF0B552" w:rsidR="00120C4A" w:rsidRPr="007B7EEF" w:rsidRDefault="00120C4A" w:rsidP="00120C4A">
      <w:pPr>
        <w:rPr>
          <w:b/>
        </w:rPr>
      </w:pPr>
      <w:r w:rsidRPr="007B7EEF">
        <w:rPr>
          <w:b/>
        </w:rPr>
        <w:t>Proposal</w:t>
      </w:r>
      <w:r w:rsidR="00D72615">
        <w:rPr>
          <w:b/>
        </w:rPr>
        <w:t xml:space="preserve"> 3</w:t>
      </w:r>
      <w:r w:rsidRPr="007B7EEF">
        <w:rPr>
          <w:b/>
        </w:rPr>
        <w:t xml:space="preserve">: </w:t>
      </w:r>
      <w:r>
        <w:rPr>
          <w:b/>
        </w:rPr>
        <w:t>F</w:t>
      </w:r>
      <w:r w:rsidRPr="007B7EEF">
        <w:rPr>
          <w:b/>
        </w:rPr>
        <w:t xml:space="preserve">or 120 kHz SCS, no UE multi-slot capability for monitoring for PDCCH is needed. </w:t>
      </w:r>
    </w:p>
    <w:p w14:paraId="0F40A2DE" w14:textId="17EFD524" w:rsidR="00120C4A" w:rsidRPr="00DB06C9" w:rsidRDefault="00120C4A" w:rsidP="00120C4A">
      <w:pPr>
        <w:rPr>
          <w:bCs/>
        </w:rPr>
      </w:pPr>
      <w:r>
        <w:rPr>
          <w:bCs/>
        </w:rPr>
        <w:t xml:space="preserve">The Proposal </w:t>
      </w:r>
      <w:r w:rsidR="003D5272">
        <w:rPr>
          <w:bCs/>
        </w:rPr>
        <w:t>3</w:t>
      </w:r>
      <w:r>
        <w:rPr>
          <w:bCs/>
        </w:rPr>
        <w:t xml:space="preserve">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w:t>
      </w:r>
      <w:r w:rsidR="003D5272">
        <w:rPr>
          <w:bCs/>
        </w:rPr>
        <w:t>may</w:t>
      </w:r>
      <w:r>
        <w:rPr>
          <w:bCs/>
        </w:rPr>
        <w:t xml:space="preserve"> be 4 slots and respectively 8 slots </w:t>
      </w:r>
      <w:r w:rsidR="00D72615">
        <w:rPr>
          <w:bCs/>
        </w:rPr>
        <w:t>i.e.,</w:t>
      </w:r>
      <w:r>
        <w:rPr>
          <w:bCs/>
        </w:rPr>
        <w:t xml:space="preserve"> 125 us.</w:t>
      </w:r>
      <w:r w:rsidR="00E65CE6">
        <w:rPr>
          <w:bCs/>
        </w:rPr>
        <w:t xml:space="preserve"> </w:t>
      </w:r>
    </w:p>
    <w:p w14:paraId="3DB4E24F" w14:textId="6E26A80A" w:rsidR="00120C4A" w:rsidRDefault="00120C4A" w:rsidP="00120C4A">
      <w:pPr>
        <w:rPr>
          <w:b/>
        </w:rPr>
      </w:pPr>
      <w:r>
        <w:rPr>
          <w:b/>
        </w:rPr>
        <w:t>Proposal</w:t>
      </w:r>
      <w:r w:rsidR="00D72615">
        <w:rPr>
          <w:b/>
        </w:rPr>
        <w:t xml:space="preserve"> 4</w:t>
      </w:r>
      <w:r>
        <w:rPr>
          <w:b/>
        </w:rPr>
        <w:t>: The maximum multi-slot PDCCH monitoring span durations supported for 480 kHz SCS and 960 kHz are 4 slots and respectively 8 slots.</w:t>
      </w:r>
    </w:p>
    <w:p w14:paraId="1767E1F1" w14:textId="04343484" w:rsidR="00120C4A" w:rsidRPr="003F609F" w:rsidRDefault="00E65CE6" w:rsidP="003F609F">
      <w:pPr>
        <w:rPr>
          <w:bCs/>
        </w:rPr>
      </w:pPr>
      <w:r>
        <w:rPr>
          <w:bCs/>
        </w:rPr>
        <w:t xml:space="preserve">We note that the maximum duration of multi-slot span does not preclude shorter </w:t>
      </w:r>
      <w:r>
        <w:rPr>
          <w:bCs/>
        </w:rPr>
        <w:t xml:space="preserve">duration </w:t>
      </w:r>
      <w:r>
        <w:rPr>
          <w:bCs/>
        </w:rPr>
        <w:t>spans such as 1 or 2 slots</w:t>
      </w:r>
      <w:r>
        <w:rPr>
          <w:bCs/>
        </w:rPr>
        <w:t>, which may be necessary for low latency application (URLLC/</w:t>
      </w:r>
      <w:proofErr w:type="spellStart"/>
      <w:r>
        <w:rPr>
          <w:bCs/>
        </w:rPr>
        <w:t>IIoT</w:t>
      </w:r>
      <w:proofErr w:type="spellEnd"/>
      <w:r>
        <w:rPr>
          <w:bCs/>
        </w:rPr>
        <w:t>).</w:t>
      </w:r>
    </w:p>
    <w:p w14:paraId="75C76608" w14:textId="2C55C226" w:rsidR="00026E8A" w:rsidRDefault="00026E8A" w:rsidP="0099702A">
      <w:pPr>
        <w:pStyle w:val="Heading2"/>
      </w:pPr>
      <w:r>
        <w:t>Multi Beam PDCCH monitoring</w:t>
      </w:r>
    </w:p>
    <w:p w14:paraId="3C8ED1E0" w14:textId="59BE2EC8" w:rsidR="00CC4258" w:rsidRDefault="00664E11" w:rsidP="00476D88">
      <w:pPr>
        <w:rPr>
          <w:bCs/>
        </w:rPr>
      </w:pPr>
      <w:r>
        <w:rPr>
          <w:bCs/>
        </w:rPr>
        <w:t xml:space="preserve">In 60 GHz bands due to higher pathloss corresponding to high frequency it is expected that the transmitters use directional beams. Therefore, the PDCCH transmission and monitoring may be associated with </w:t>
      </w:r>
      <w:r w:rsidR="00D72615">
        <w:rPr>
          <w:bCs/>
        </w:rPr>
        <w:t>beam</w:t>
      </w:r>
      <w:r>
        <w:rPr>
          <w:bCs/>
        </w:rPr>
        <w:t xml:space="preserve"> directions (spatial filters).</w:t>
      </w:r>
      <w:r w:rsidR="0064566B">
        <w:rPr>
          <w:bCs/>
        </w:rPr>
        <w:t xml:space="preserve"> In TS 38.213 Clause 10.1, the </w:t>
      </w:r>
      <w:proofErr w:type="spellStart"/>
      <w:r w:rsidR="0064566B" w:rsidRPr="0064566B">
        <w:rPr>
          <w:bCs/>
          <w:i/>
          <w:iCs/>
        </w:rPr>
        <w:t>ControlResourceSet</w:t>
      </w:r>
      <w:proofErr w:type="spellEnd"/>
      <w:r w:rsidR="0064566B">
        <w:rPr>
          <w:bCs/>
        </w:rPr>
        <w:t xml:space="preserve"> variables are defined</w:t>
      </w:r>
      <w:r>
        <w:rPr>
          <w:bCs/>
        </w:rPr>
        <w:t>.</w:t>
      </w:r>
      <w:r w:rsidR="0064566B">
        <w:rPr>
          <w:bCs/>
        </w:rPr>
        <w:t xml:space="preserve"> The antenna port quasi co-location is provided by </w:t>
      </w:r>
      <w:r w:rsidR="0064566B" w:rsidRPr="0064566B">
        <w:rPr>
          <w:bCs/>
          <w:i/>
          <w:iCs/>
        </w:rPr>
        <w:t>TCI-State</w:t>
      </w:r>
      <w:r w:rsidR="0064566B">
        <w:rPr>
          <w:bCs/>
          <w:i/>
          <w:iCs/>
        </w:rPr>
        <w:t xml:space="preserve"> </w:t>
      </w:r>
      <w:r w:rsidR="0064566B">
        <w:rPr>
          <w:bCs/>
        </w:rPr>
        <w:t>indicating the quasi co-location of the DM-RS antenna port for PDCCH reception in the respective CORESET.</w:t>
      </w:r>
      <w:r w:rsidR="0064566B">
        <w:rPr>
          <w:bCs/>
          <w:i/>
          <w:iCs/>
        </w:rPr>
        <w:t xml:space="preserve"> </w:t>
      </w:r>
      <w:r w:rsidR="00EA2ABC" w:rsidRPr="00EA2ABC">
        <w:rPr>
          <w:bCs/>
        </w:rPr>
        <w:t>If</w:t>
      </w:r>
      <w:r w:rsidR="00EA2ABC">
        <w:rPr>
          <w:bCs/>
        </w:rPr>
        <w:t xml:space="preserve"> the UE is not provided with a configuration of TCI state(s)the UE assumes that the DM-RS antenna port associated with</w:t>
      </w:r>
      <w:r w:rsidR="0020143D">
        <w:rPr>
          <w:bCs/>
        </w:rPr>
        <w:t xml:space="preserve"> </w:t>
      </w:r>
      <w:r w:rsidR="00EA2ABC">
        <w:rPr>
          <w:bCs/>
        </w:rPr>
        <w:t>PDCCH receptions is quasi co-located with SS/PBCH the UE identified during the initial access procedure.</w:t>
      </w:r>
    </w:p>
    <w:p w14:paraId="51379954" w14:textId="6069CA9B" w:rsidR="0020143D" w:rsidRDefault="0020143D" w:rsidP="00476D88">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sidRPr="00326D6E">
        <w:rPr>
          <w:rFonts w:eastAsia="MS Mincho"/>
        </w:rPr>
        <w:t xml:space="preserve">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 xml:space="preserve">during the </w:t>
      </w:r>
      <w:r w:rsidR="00D72615" w:rsidRPr="00326D6E">
        <w:rPr>
          <w:rFonts w:eastAsia="MS Mincho"/>
          <w:lang w:eastAsia="ja-JP"/>
        </w:rPr>
        <w:t>random-access</w:t>
      </w:r>
      <w:r w:rsidRPr="00326D6E">
        <w:rPr>
          <w:rFonts w:eastAsia="MS Mincho" w:hint="eastAsia"/>
          <w:lang w:eastAsia="ja-JP"/>
        </w:rPr>
        <w:t xml:space="preserve"> procedure initiated by the Reconfiguration with sync procedure</w:t>
      </w:r>
      <w:r>
        <w:rPr>
          <w:rFonts w:eastAsia="MS Mincho"/>
          <w:lang w:eastAsia="ja-JP"/>
        </w:rPr>
        <w:t>.</w:t>
      </w:r>
    </w:p>
    <w:p w14:paraId="7AB4FF16" w14:textId="3F0F7F65" w:rsidR="00CA3F67" w:rsidRPr="00EA2ABC" w:rsidRDefault="00CA3F67" w:rsidP="00476D88">
      <w:pPr>
        <w:rPr>
          <w:bCs/>
        </w:rPr>
      </w:pPr>
      <w:r>
        <w:rPr>
          <w:rFonts w:eastAsia="MS Mincho"/>
          <w:lang w:eastAsia="ja-JP"/>
        </w:rPr>
        <w:lastRenderedPageBreak/>
        <w:t>We do not see any motivation to change the beam configuration and activation for multi-slot PDCCH monitoring behavi</w:t>
      </w:r>
      <w:r w:rsidR="006257B8">
        <w:rPr>
          <w:rFonts w:eastAsia="MS Mincho"/>
          <w:lang w:eastAsia="ja-JP"/>
        </w:rPr>
        <w:t>o</w:t>
      </w:r>
      <w:r>
        <w:rPr>
          <w:rFonts w:eastAsia="MS Mincho"/>
          <w:lang w:eastAsia="ja-JP"/>
        </w:rPr>
        <w:t>r.</w:t>
      </w:r>
    </w:p>
    <w:p w14:paraId="7A94125E" w14:textId="757065B1" w:rsidR="00E70625" w:rsidRPr="003F609F" w:rsidRDefault="003F609F" w:rsidP="00476D88">
      <w:pPr>
        <w:rPr>
          <w:b/>
        </w:rPr>
      </w:pPr>
      <w:r w:rsidRPr="003F609F">
        <w:rPr>
          <w:b/>
        </w:rPr>
        <w:t>Proposal</w:t>
      </w:r>
      <w:r w:rsidR="00D72615">
        <w:rPr>
          <w:b/>
        </w:rPr>
        <w:t xml:space="preserve"> 5</w:t>
      </w:r>
      <w:r w:rsidRPr="003F609F">
        <w:rPr>
          <w:b/>
        </w:rPr>
        <w:t>: Use the existing mechanism for beam configuration and activation for multi-slot PDCCH monitoring.</w:t>
      </w:r>
    </w:p>
    <w:p w14:paraId="00048358" w14:textId="24B09888" w:rsidR="00707365" w:rsidRPr="000F4F58" w:rsidRDefault="00DA764C" w:rsidP="000F4F58">
      <w:r>
        <w:rPr>
          <w:b/>
        </w:rPr>
        <w:t xml:space="preserve"> </w:t>
      </w:r>
      <w:r w:rsidR="00F61B7B">
        <w:rPr>
          <w:b/>
        </w:rPr>
        <w:t xml:space="preserve"> </w:t>
      </w:r>
      <w:bookmarkStart w:id="4" w:name="_Ref129681832"/>
      <w:r>
        <w:rPr>
          <w:b/>
        </w:rPr>
        <w:t xml:space="preserve"> </w:t>
      </w:r>
    </w:p>
    <w:p w14:paraId="156214C1" w14:textId="1E5EAB20" w:rsidR="00756A33" w:rsidRDefault="00756A33" w:rsidP="00756A33">
      <w:pPr>
        <w:pStyle w:val="Heading1"/>
      </w:pPr>
      <w:r>
        <w:t>Conclusion</w:t>
      </w:r>
    </w:p>
    <w:p w14:paraId="62076B9C" w14:textId="6AEDEF66" w:rsidR="00756A33" w:rsidRDefault="00E2152C" w:rsidP="00DB5432">
      <w:pPr>
        <w:rPr>
          <w:b/>
        </w:rPr>
      </w:pPr>
      <w:r w:rsidRPr="006B28FF">
        <w:rPr>
          <w:b/>
        </w:rPr>
        <w:t>Proposal</w:t>
      </w:r>
      <w:r>
        <w:rPr>
          <w:b/>
        </w:rPr>
        <w:t xml:space="preserve"> 1</w:t>
      </w:r>
      <w:r w:rsidRPr="006B28FF">
        <w:rPr>
          <w:b/>
        </w:rPr>
        <w:t>: Use the Rel-16 capability (</w:t>
      </w:r>
      <w:r w:rsidRPr="006B28FF">
        <w:rPr>
          <w:b/>
          <w:i/>
          <w:iCs/>
        </w:rPr>
        <w:t>pdcch-Monitoring-r16</w:t>
      </w:r>
      <w:r w:rsidRPr="006B28FF">
        <w:rPr>
          <w:b/>
        </w:rPr>
        <w:t>, (X, Y) span) as the baseline to define the new capability</w:t>
      </w:r>
      <w:r>
        <w:rPr>
          <w:b/>
        </w:rPr>
        <w:t>, where Y is the multi-slot span length, and X represents the minimum duration between consecutive multi-slot spans (Alt 2).</w:t>
      </w:r>
    </w:p>
    <w:p w14:paraId="7907DDCA" w14:textId="77777777" w:rsidR="00E2152C" w:rsidRDefault="00E2152C" w:rsidP="00E2152C">
      <w:pPr>
        <w:rPr>
          <w:b/>
          <w:bCs/>
          <w:iCs/>
        </w:rPr>
      </w:pPr>
      <w:r w:rsidRPr="0099702A">
        <w:rPr>
          <w:b/>
          <w:bCs/>
          <w:iCs/>
        </w:rPr>
        <w:t>Proposal</w:t>
      </w:r>
      <w:r>
        <w:rPr>
          <w:b/>
          <w:bCs/>
          <w:iCs/>
        </w:rPr>
        <w:t xml:space="preserve"> 2</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1E03170E" w14:textId="77777777" w:rsidR="00E2152C" w:rsidRPr="007B7EEF" w:rsidRDefault="00E2152C" w:rsidP="00E2152C">
      <w:pPr>
        <w:rPr>
          <w:b/>
        </w:rPr>
      </w:pPr>
      <w:r w:rsidRPr="007B7EEF">
        <w:rPr>
          <w:b/>
        </w:rPr>
        <w:t>Proposal</w:t>
      </w:r>
      <w:r>
        <w:rPr>
          <w:b/>
        </w:rPr>
        <w:t xml:space="preserve"> 3</w:t>
      </w:r>
      <w:r w:rsidRPr="007B7EEF">
        <w:rPr>
          <w:b/>
        </w:rPr>
        <w:t xml:space="preserve">: </w:t>
      </w:r>
      <w:r>
        <w:rPr>
          <w:b/>
        </w:rPr>
        <w:t>F</w:t>
      </w:r>
      <w:r w:rsidRPr="007B7EEF">
        <w:rPr>
          <w:b/>
        </w:rPr>
        <w:t xml:space="preserve">or 120 kHz SCS, no UE multi-slot capability for monitoring for PDCCH is needed. </w:t>
      </w:r>
    </w:p>
    <w:p w14:paraId="23D0A9E0" w14:textId="77777777" w:rsidR="00E2152C" w:rsidRDefault="00E2152C" w:rsidP="00E2152C">
      <w:pPr>
        <w:rPr>
          <w:b/>
        </w:rPr>
      </w:pPr>
      <w:r>
        <w:rPr>
          <w:b/>
        </w:rPr>
        <w:t>Proposal 4: The maximum multi-slot PDCCH monitoring span durations supported for 480 kHz SCS and 960 kHz are 4 slots and respectively 8 slots.</w:t>
      </w:r>
    </w:p>
    <w:p w14:paraId="1C269C70" w14:textId="77777777" w:rsidR="00E2152C" w:rsidRPr="003F609F" w:rsidRDefault="00E2152C" w:rsidP="00E2152C">
      <w:pPr>
        <w:rPr>
          <w:b/>
        </w:rPr>
      </w:pPr>
      <w:r w:rsidRPr="003F609F">
        <w:rPr>
          <w:b/>
        </w:rPr>
        <w:t>Proposal</w:t>
      </w:r>
      <w:r>
        <w:rPr>
          <w:b/>
        </w:rPr>
        <w:t xml:space="preserve"> 5</w:t>
      </w:r>
      <w:r w:rsidRPr="003F609F">
        <w:rPr>
          <w:b/>
        </w:rPr>
        <w:t>: Use the existing mechanism for beam configuration and activation for multi-slot PDCCH monitoring.</w:t>
      </w:r>
    </w:p>
    <w:p w14:paraId="4505FAB0" w14:textId="77777777" w:rsidR="00E2152C" w:rsidRPr="004047A8" w:rsidRDefault="00E2152C" w:rsidP="00DB5432">
      <w:pPr>
        <w:rPr>
          <w:b/>
          <w:bCs/>
          <w:u w:val="single"/>
        </w:rPr>
      </w:pPr>
    </w:p>
    <w:p w14:paraId="410E44E3" w14:textId="7D734922" w:rsidR="001D780E" w:rsidRPr="007032E3" w:rsidRDefault="001D780E" w:rsidP="00182F43">
      <w:pPr>
        <w:pStyle w:val="Heading1"/>
      </w:pPr>
      <w:bookmarkStart w:id="5" w:name="_Ref124589665"/>
      <w:bookmarkStart w:id="6" w:name="_Ref71620620"/>
      <w:bookmarkStart w:id="7" w:name="_Ref124671424"/>
      <w:r w:rsidRPr="007032E3">
        <w:t>References</w:t>
      </w:r>
      <w:r w:rsidR="00BF750C" w:rsidRPr="007032E3">
        <w:t xml:space="preserve"> </w:t>
      </w:r>
    </w:p>
    <w:p w14:paraId="64AEDB32" w14:textId="77777777" w:rsidR="00531C1A" w:rsidRPr="00AB14F6" w:rsidRDefault="00531C1A" w:rsidP="00531C1A">
      <w:pPr>
        <w:pStyle w:val="2222"/>
        <w:numPr>
          <w:ilvl w:val="0"/>
          <w:numId w:val="13"/>
        </w:numPr>
        <w:spacing w:after="120" w:line="240" w:lineRule="auto"/>
        <w:ind w:firstLineChars="0"/>
        <w:rPr>
          <w:color w:val="000000" w:themeColor="text1"/>
          <w:szCs w:val="22"/>
          <w:lang w:val="en-US" w:eastAsia="ko-KR"/>
        </w:rPr>
      </w:pPr>
      <w:bookmarkStart w:id="8" w:name="_Ref58598481"/>
      <w:r w:rsidRPr="00AB14F6">
        <w:rPr>
          <w:color w:val="000000" w:themeColor="text1"/>
          <w:szCs w:val="22"/>
          <w:lang w:val="en-US" w:eastAsia="ko-KR"/>
        </w:rPr>
        <w:t>RP-202925, “Revised WID: Extending current NR operation to 71 GHz”, CMCC, RAN#90e</w:t>
      </w:r>
      <w:bookmarkEnd w:id="8"/>
      <w:r w:rsidRPr="00AB14F6">
        <w:rPr>
          <w:color w:val="000000" w:themeColor="text1"/>
          <w:szCs w:val="22"/>
          <w:lang w:val="en-US" w:eastAsia="ko-KR"/>
        </w:rPr>
        <w:t>, 2020.</w:t>
      </w:r>
    </w:p>
    <w:p w14:paraId="578EECEF" w14:textId="77777777" w:rsidR="00F44630" w:rsidRDefault="00F44630" w:rsidP="00182F43">
      <w:pPr>
        <w:pStyle w:val="2222"/>
        <w:numPr>
          <w:ilvl w:val="0"/>
          <w:numId w:val="13"/>
        </w:numPr>
        <w:spacing w:after="120" w:line="240" w:lineRule="auto"/>
        <w:ind w:firstLineChars="0"/>
        <w:rPr>
          <w:color w:val="000000" w:themeColor="text1"/>
          <w:szCs w:val="22"/>
          <w:lang w:val="en-US" w:eastAsia="ko-KR"/>
        </w:rPr>
      </w:pPr>
      <w:r w:rsidRPr="00F44630">
        <w:rPr>
          <w:color w:val="000000" w:themeColor="text1"/>
          <w:szCs w:val="22"/>
          <w:lang w:val="en-US" w:eastAsia="ko-KR"/>
        </w:rPr>
        <w:t>Chairman's Notes RAN1#104-e v017</w:t>
      </w:r>
    </w:p>
    <w:bookmarkEnd w:id="4"/>
    <w:bookmarkEnd w:id="5"/>
    <w:bookmarkEnd w:id="6"/>
    <w:bookmarkEnd w:id="7"/>
    <w:p w14:paraId="3874C5C9" w14:textId="77777777" w:rsidR="00E2152C" w:rsidRPr="00BA7F3D" w:rsidRDefault="00E2152C" w:rsidP="00E2152C">
      <w:pPr>
        <w:pStyle w:val="2222"/>
        <w:numPr>
          <w:ilvl w:val="0"/>
          <w:numId w:val="13"/>
        </w:numPr>
        <w:spacing w:after="120" w:line="240" w:lineRule="auto"/>
        <w:ind w:firstLineChars="0"/>
        <w:rPr>
          <w:rStyle w:val="Emphasis"/>
          <w:rFonts w:cs="Times New Roman"/>
          <w:i w:val="0"/>
          <w:iCs w:val="0"/>
          <w:color w:val="000000" w:themeColor="text1"/>
          <w:szCs w:val="22"/>
          <w:lang w:val="en-US" w:eastAsia="ko-KR"/>
        </w:rPr>
      </w:pPr>
      <w:r>
        <w:rPr>
          <w:rFonts w:cs="Times New Roman"/>
          <w:color w:val="000000" w:themeColor="text1"/>
          <w:szCs w:val="22"/>
          <w:lang w:val="en-US" w:eastAsia="ko-KR"/>
        </w:rPr>
        <w:t>TS 38.213, “</w:t>
      </w:r>
      <w:r w:rsidRPr="00D11F23">
        <w:t xml:space="preserve">Physical layer procedures for </w:t>
      </w:r>
      <w:r>
        <w:t>control”</w:t>
      </w:r>
    </w:p>
    <w:p w14:paraId="7FA922F8" w14:textId="6379FD5C" w:rsidR="00D3567F" w:rsidRDefault="00D3567F" w:rsidP="00D3567F">
      <w:pPr>
        <w:pStyle w:val="2222"/>
        <w:numPr>
          <w:ilvl w:val="0"/>
          <w:numId w:val="13"/>
        </w:numPr>
        <w:spacing w:after="120" w:line="240" w:lineRule="auto"/>
        <w:ind w:firstLineChars="0"/>
        <w:rPr>
          <w:rFonts w:cs="Times New Roman"/>
          <w:color w:val="000000" w:themeColor="text1"/>
          <w:szCs w:val="22"/>
          <w:lang w:val="en-US" w:eastAsia="ko-KR"/>
        </w:rPr>
      </w:pPr>
      <w:r w:rsidRPr="00AB14F6">
        <w:rPr>
          <w:rFonts w:cs="Times New Roman"/>
          <w:color w:val="000000" w:themeColor="text1"/>
          <w:szCs w:val="22"/>
          <w:lang w:val="en-US" w:eastAsia="ko-KR"/>
        </w:rPr>
        <w:t>TS 38.211, “</w:t>
      </w:r>
      <w:r w:rsidRPr="00AB14F6">
        <w:rPr>
          <w:rFonts w:cs="Times New Roman"/>
          <w:color w:val="000000" w:themeColor="text1"/>
          <w:szCs w:val="22"/>
          <w:shd w:val="clear" w:color="auto" w:fill="FFFFFF"/>
        </w:rPr>
        <w:t>Physical channels and modulation</w:t>
      </w:r>
      <w:r w:rsidRPr="00AB14F6">
        <w:rPr>
          <w:rFonts w:cs="Times New Roman"/>
          <w:color w:val="000000" w:themeColor="text1"/>
          <w:szCs w:val="22"/>
          <w:lang w:val="en-US" w:eastAsia="ko-KR"/>
        </w:rPr>
        <w:t>”</w:t>
      </w:r>
      <w:r w:rsidR="00BA7F3D">
        <w:rPr>
          <w:rFonts w:cs="Times New Roman"/>
          <w:color w:val="000000" w:themeColor="text1"/>
          <w:szCs w:val="22"/>
          <w:lang w:val="en-US" w:eastAsia="ko-KR"/>
        </w:rPr>
        <w:t>.</w:t>
      </w:r>
    </w:p>
    <w:sectPr w:rsidR="00D356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946E2" w14:textId="77777777" w:rsidR="00C00505" w:rsidRDefault="00C00505">
      <w:r>
        <w:separator/>
      </w:r>
    </w:p>
  </w:endnote>
  <w:endnote w:type="continuationSeparator" w:id="0">
    <w:p w14:paraId="0485C8DD" w14:textId="77777777" w:rsidR="00C00505" w:rsidRDefault="00C0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BDF1F" w14:textId="77777777" w:rsidR="00C00505" w:rsidRDefault="00C00505">
      <w:r>
        <w:separator/>
      </w:r>
    </w:p>
  </w:footnote>
  <w:footnote w:type="continuationSeparator" w:id="0">
    <w:p w14:paraId="1D85ADC2" w14:textId="77777777" w:rsidR="00C00505" w:rsidRDefault="00C00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83A55E"/>
    <w:multiLevelType w:val="hybridMultilevel"/>
    <w:tmpl w:val="ABE444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540AF0"/>
    <w:multiLevelType w:val="hybridMultilevel"/>
    <w:tmpl w:val="79A63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3"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95091E"/>
    <w:multiLevelType w:val="hybridMultilevel"/>
    <w:tmpl w:val="1A241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96ECC"/>
    <w:multiLevelType w:val="hybridMultilevel"/>
    <w:tmpl w:val="268AC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D67DA"/>
    <w:multiLevelType w:val="hybridMultilevel"/>
    <w:tmpl w:val="C260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8" w15:restartNumberingAfterBreak="0">
    <w:nsid w:val="11F805CA"/>
    <w:multiLevelType w:val="hybridMultilevel"/>
    <w:tmpl w:val="7008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C1082"/>
    <w:multiLevelType w:val="hybridMultilevel"/>
    <w:tmpl w:val="60E23786"/>
    <w:lvl w:ilvl="0" w:tplc="5C6C2CFC">
      <w:numFmt w:val="bullet"/>
      <w:lvlText w:val="-"/>
      <w:lvlJc w:val="left"/>
      <w:pPr>
        <w:ind w:left="720" w:hanging="360"/>
      </w:pPr>
      <w:rPr>
        <w:rFonts w:ascii="Times New Roman" w:eastAsia="Times New Roman" w:hAnsi="Times New Roman" w:cs="Times New Roman" w:hint="default"/>
      </w:rPr>
    </w:lvl>
    <w:lvl w:ilvl="1" w:tplc="93C8EBF0">
      <w:numFmt w:val="bullet"/>
      <w:lvlText w:val="•"/>
      <w:lvlJc w:val="left"/>
      <w:pPr>
        <w:ind w:left="1440" w:hanging="360"/>
      </w:pPr>
      <w:rPr>
        <w:rFonts w:ascii="Times New Roman" w:eastAsia="SimSun" w:hAnsi="Times New Roman" w:cs="Times New Roman" w:hint="default"/>
      </w:rPr>
    </w:lvl>
    <w:lvl w:ilvl="2" w:tplc="7976040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01964"/>
    <w:multiLevelType w:val="hybridMultilevel"/>
    <w:tmpl w:val="43A6AE52"/>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8"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E1CE4"/>
    <w:multiLevelType w:val="hybridMultilevel"/>
    <w:tmpl w:val="2A7E8392"/>
    <w:lvl w:ilvl="0" w:tplc="0F0ECF48">
      <w:start w:val="1"/>
      <w:numFmt w:val="bullet"/>
      <w:lvlText w:val=""/>
      <w:lvlJc w:val="left"/>
      <w:pPr>
        <w:tabs>
          <w:tab w:val="num" w:pos="720"/>
        </w:tabs>
        <w:ind w:left="720" w:hanging="360"/>
      </w:pPr>
      <w:rPr>
        <w:rFonts w:ascii="Symbol" w:hAnsi="Symbol" w:hint="default"/>
      </w:rPr>
    </w:lvl>
    <w:lvl w:ilvl="1" w:tplc="7430B296">
      <w:numFmt w:val="bullet"/>
      <w:lvlText w:val="o"/>
      <w:lvlJc w:val="left"/>
      <w:pPr>
        <w:tabs>
          <w:tab w:val="num" w:pos="1440"/>
        </w:tabs>
        <w:ind w:left="1440" w:hanging="360"/>
      </w:pPr>
      <w:rPr>
        <w:rFonts w:ascii="Courier New" w:hAnsi="Courier New" w:hint="default"/>
      </w:rPr>
    </w:lvl>
    <w:lvl w:ilvl="2" w:tplc="B9847290" w:tentative="1">
      <w:start w:val="1"/>
      <w:numFmt w:val="bullet"/>
      <w:lvlText w:val=""/>
      <w:lvlJc w:val="left"/>
      <w:pPr>
        <w:tabs>
          <w:tab w:val="num" w:pos="2160"/>
        </w:tabs>
        <w:ind w:left="2160" w:hanging="360"/>
      </w:pPr>
      <w:rPr>
        <w:rFonts w:ascii="Symbol" w:hAnsi="Symbol" w:hint="default"/>
      </w:rPr>
    </w:lvl>
    <w:lvl w:ilvl="3" w:tplc="9B4A004E" w:tentative="1">
      <w:start w:val="1"/>
      <w:numFmt w:val="bullet"/>
      <w:lvlText w:val=""/>
      <w:lvlJc w:val="left"/>
      <w:pPr>
        <w:tabs>
          <w:tab w:val="num" w:pos="2880"/>
        </w:tabs>
        <w:ind w:left="2880" w:hanging="360"/>
      </w:pPr>
      <w:rPr>
        <w:rFonts w:ascii="Symbol" w:hAnsi="Symbol" w:hint="default"/>
      </w:rPr>
    </w:lvl>
    <w:lvl w:ilvl="4" w:tplc="F5C2A0D2" w:tentative="1">
      <w:start w:val="1"/>
      <w:numFmt w:val="bullet"/>
      <w:lvlText w:val=""/>
      <w:lvlJc w:val="left"/>
      <w:pPr>
        <w:tabs>
          <w:tab w:val="num" w:pos="3600"/>
        </w:tabs>
        <w:ind w:left="3600" w:hanging="360"/>
      </w:pPr>
      <w:rPr>
        <w:rFonts w:ascii="Symbol" w:hAnsi="Symbol" w:hint="default"/>
      </w:rPr>
    </w:lvl>
    <w:lvl w:ilvl="5" w:tplc="3F6C99C6" w:tentative="1">
      <w:start w:val="1"/>
      <w:numFmt w:val="bullet"/>
      <w:lvlText w:val=""/>
      <w:lvlJc w:val="left"/>
      <w:pPr>
        <w:tabs>
          <w:tab w:val="num" w:pos="4320"/>
        </w:tabs>
        <w:ind w:left="4320" w:hanging="360"/>
      </w:pPr>
      <w:rPr>
        <w:rFonts w:ascii="Symbol" w:hAnsi="Symbol" w:hint="default"/>
      </w:rPr>
    </w:lvl>
    <w:lvl w:ilvl="6" w:tplc="DD1AD136" w:tentative="1">
      <w:start w:val="1"/>
      <w:numFmt w:val="bullet"/>
      <w:lvlText w:val=""/>
      <w:lvlJc w:val="left"/>
      <w:pPr>
        <w:tabs>
          <w:tab w:val="num" w:pos="5040"/>
        </w:tabs>
        <w:ind w:left="5040" w:hanging="360"/>
      </w:pPr>
      <w:rPr>
        <w:rFonts w:ascii="Symbol" w:hAnsi="Symbol" w:hint="default"/>
      </w:rPr>
    </w:lvl>
    <w:lvl w:ilvl="7" w:tplc="8A787FD8" w:tentative="1">
      <w:start w:val="1"/>
      <w:numFmt w:val="bullet"/>
      <w:lvlText w:val=""/>
      <w:lvlJc w:val="left"/>
      <w:pPr>
        <w:tabs>
          <w:tab w:val="num" w:pos="5760"/>
        </w:tabs>
        <w:ind w:left="5760" w:hanging="360"/>
      </w:pPr>
      <w:rPr>
        <w:rFonts w:ascii="Symbol" w:hAnsi="Symbol" w:hint="default"/>
      </w:rPr>
    </w:lvl>
    <w:lvl w:ilvl="8" w:tplc="108625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1FB7A62"/>
    <w:multiLevelType w:val="hybridMultilevel"/>
    <w:tmpl w:val="9E40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908DD"/>
    <w:multiLevelType w:val="hybridMultilevel"/>
    <w:tmpl w:val="8C5C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F012A8"/>
    <w:multiLevelType w:val="hybridMultilevel"/>
    <w:tmpl w:val="44BE834A"/>
    <w:lvl w:ilvl="0" w:tplc="2A0469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04B81"/>
    <w:multiLevelType w:val="hybridMultilevel"/>
    <w:tmpl w:val="3F98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AB30B2"/>
    <w:multiLevelType w:val="hybridMultilevel"/>
    <w:tmpl w:val="A0705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31"/>
  </w:num>
  <w:num w:numId="4">
    <w:abstractNumId w:val="33"/>
  </w:num>
  <w:num w:numId="5">
    <w:abstractNumId w:val="18"/>
  </w:num>
  <w:num w:numId="6">
    <w:abstractNumId w:val="12"/>
  </w:num>
  <w:num w:numId="7">
    <w:abstractNumId w:val="28"/>
  </w:num>
  <w:num w:numId="8">
    <w:abstractNumId w:val="22"/>
  </w:num>
  <w:num w:numId="9">
    <w:abstractNumId w:val="14"/>
  </w:num>
  <w:num w:numId="10">
    <w:abstractNumId w:val="9"/>
  </w:num>
  <w:num w:numId="11">
    <w:abstractNumId w:val="13"/>
  </w:num>
  <w:num w:numId="12">
    <w:abstractNumId w:val="29"/>
  </w:num>
  <w:num w:numId="13">
    <w:abstractNumId w:val="3"/>
  </w:num>
  <w:num w:numId="14">
    <w:abstractNumId w:val="2"/>
  </w:num>
  <w:num w:numId="15">
    <w:abstractNumId w:val="7"/>
  </w:num>
  <w:num w:numId="16">
    <w:abstractNumId w:val="0"/>
  </w:num>
  <w:num w:numId="17">
    <w:abstractNumId w:val="19"/>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0"/>
  </w:num>
  <w:num w:numId="21">
    <w:abstractNumId w:val="8"/>
  </w:num>
  <w:num w:numId="22">
    <w:abstractNumId w:val="6"/>
  </w:num>
  <w:num w:numId="23">
    <w:abstractNumId w:val="15"/>
  </w:num>
  <w:num w:numId="24">
    <w:abstractNumId w:val="36"/>
  </w:num>
  <w:num w:numId="25">
    <w:abstractNumId w:val="23"/>
  </w:num>
  <w:num w:numId="26">
    <w:abstractNumId w:val="11"/>
  </w:num>
  <w:num w:numId="27">
    <w:abstractNumId w:val="36"/>
  </w:num>
  <w:num w:numId="28">
    <w:abstractNumId w:val="34"/>
  </w:num>
  <w:num w:numId="29">
    <w:abstractNumId w:val="26"/>
  </w:num>
  <w:num w:numId="30">
    <w:abstractNumId w:val="32"/>
  </w:num>
  <w:num w:numId="31">
    <w:abstractNumId w:val="24"/>
  </w:num>
  <w:num w:numId="32">
    <w:abstractNumId w:val="29"/>
  </w:num>
  <w:num w:numId="33">
    <w:abstractNumId w:val="4"/>
  </w:num>
  <w:num w:numId="34">
    <w:abstractNumId w:val="35"/>
  </w:num>
  <w:num w:numId="35">
    <w:abstractNumId w:val="30"/>
  </w:num>
  <w:num w:numId="36">
    <w:abstractNumId w:val="20"/>
  </w:num>
  <w:num w:numId="37">
    <w:abstractNumId w:val="25"/>
  </w:num>
  <w:num w:numId="38">
    <w:abstractNumId w:val="5"/>
  </w:num>
  <w:num w:numId="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4C3"/>
    <w:rsid w:val="000067E8"/>
    <w:rsid w:val="00006B4B"/>
    <w:rsid w:val="00007086"/>
    <w:rsid w:val="000072B6"/>
    <w:rsid w:val="000072DD"/>
    <w:rsid w:val="00007813"/>
    <w:rsid w:val="00007E0C"/>
    <w:rsid w:val="000102D7"/>
    <w:rsid w:val="000109E6"/>
    <w:rsid w:val="00010CD9"/>
    <w:rsid w:val="0001116D"/>
    <w:rsid w:val="00011278"/>
    <w:rsid w:val="00011F67"/>
    <w:rsid w:val="00012862"/>
    <w:rsid w:val="000128E6"/>
    <w:rsid w:val="00012F77"/>
    <w:rsid w:val="00013371"/>
    <w:rsid w:val="00013612"/>
    <w:rsid w:val="00014278"/>
    <w:rsid w:val="00014395"/>
    <w:rsid w:val="000148CF"/>
    <w:rsid w:val="00015A05"/>
    <w:rsid w:val="00015EFB"/>
    <w:rsid w:val="000162CA"/>
    <w:rsid w:val="000165E2"/>
    <w:rsid w:val="00016607"/>
    <w:rsid w:val="0001678E"/>
    <w:rsid w:val="00016B0E"/>
    <w:rsid w:val="00016EF9"/>
    <w:rsid w:val="000172BE"/>
    <w:rsid w:val="00017519"/>
    <w:rsid w:val="00017D8A"/>
    <w:rsid w:val="0002030C"/>
    <w:rsid w:val="00020A39"/>
    <w:rsid w:val="00021654"/>
    <w:rsid w:val="000223CE"/>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6E8A"/>
    <w:rsid w:val="000275C6"/>
    <w:rsid w:val="00027AD6"/>
    <w:rsid w:val="00027C82"/>
    <w:rsid w:val="0003024C"/>
    <w:rsid w:val="00030533"/>
    <w:rsid w:val="0003083D"/>
    <w:rsid w:val="0003095F"/>
    <w:rsid w:val="00030D61"/>
    <w:rsid w:val="00031ADB"/>
    <w:rsid w:val="00032056"/>
    <w:rsid w:val="000321E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0D85"/>
    <w:rsid w:val="0004124A"/>
    <w:rsid w:val="00041C10"/>
    <w:rsid w:val="00041C57"/>
    <w:rsid w:val="00041D96"/>
    <w:rsid w:val="0004284A"/>
    <w:rsid w:val="00042ADB"/>
    <w:rsid w:val="0004312C"/>
    <w:rsid w:val="000434B7"/>
    <w:rsid w:val="000435E4"/>
    <w:rsid w:val="00043DF3"/>
    <w:rsid w:val="000443E8"/>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19"/>
    <w:rsid w:val="00050D8A"/>
    <w:rsid w:val="00050D8D"/>
    <w:rsid w:val="000512E3"/>
    <w:rsid w:val="000516F0"/>
    <w:rsid w:val="00051D59"/>
    <w:rsid w:val="00052144"/>
    <w:rsid w:val="0005215D"/>
    <w:rsid w:val="000525A8"/>
    <w:rsid w:val="00052AD2"/>
    <w:rsid w:val="00052C56"/>
    <w:rsid w:val="00052FEE"/>
    <w:rsid w:val="000530DF"/>
    <w:rsid w:val="00053E48"/>
    <w:rsid w:val="000543DD"/>
    <w:rsid w:val="000547DE"/>
    <w:rsid w:val="00054BBB"/>
    <w:rsid w:val="00054E0C"/>
    <w:rsid w:val="0005541D"/>
    <w:rsid w:val="00055B33"/>
    <w:rsid w:val="000565C8"/>
    <w:rsid w:val="000567AD"/>
    <w:rsid w:val="0005748D"/>
    <w:rsid w:val="00057507"/>
    <w:rsid w:val="00057DC8"/>
    <w:rsid w:val="00060AB2"/>
    <w:rsid w:val="00060E7E"/>
    <w:rsid w:val="000612E1"/>
    <w:rsid w:val="000614FE"/>
    <w:rsid w:val="00061F8B"/>
    <w:rsid w:val="00062839"/>
    <w:rsid w:val="0006295E"/>
    <w:rsid w:val="00063C08"/>
    <w:rsid w:val="0006422F"/>
    <w:rsid w:val="00064A9D"/>
    <w:rsid w:val="000655D0"/>
    <w:rsid w:val="00065891"/>
    <w:rsid w:val="00065D38"/>
    <w:rsid w:val="000661FE"/>
    <w:rsid w:val="0006694E"/>
    <w:rsid w:val="00066F59"/>
    <w:rsid w:val="00067DD1"/>
    <w:rsid w:val="000702E6"/>
    <w:rsid w:val="00070447"/>
    <w:rsid w:val="000706E7"/>
    <w:rsid w:val="00070C73"/>
    <w:rsid w:val="00070EF8"/>
    <w:rsid w:val="00070EF9"/>
    <w:rsid w:val="00070F3B"/>
    <w:rsid w:val="00071192"/>
    <w:rsid w:val="000711DC"/>
    <w:rsid w:val="000713A7"/>
    <w:rsid w:val="00072164"/>
    <w:rsid w:val="00072320"/>
    <w:rsid w:val="0007258D"/>
    <w:rsid w:val="00072708"/>
    <w:rsid w:val="0007272F"/>
    <w:rsid w:val="00072A80"/>
    <w:rsid w:val="0007306E"/>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444"/>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D90"/>
    <w:rsid w:val="000C422D"/>
    <w:rsid w:val="000C485D"/>
    <w:rsid w:val="000C53CD"/>
    <w:rsid w:val="000C5A78"/>
    <w:rsid w:val="000C5ADD"/>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45E"/>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0B5E"/>
    <w:rsid w:val="000E1380"/>
    <w:rsid w:val="000E18DF"/>
    <w:rsid w:val="000E1A27"/>
    <w:rsid w:val="000E2BD7"/>
    <w:rsid w:val="000E3123"/>
    <w:rsid w:val="000E3DB1"/>
    <w:rsid w:val="000E3FF1"/>
    <w:rsid w:val="000E4761"/>
    <w:rsid w:val="000E48AF"/>
    <w:rsid w:val="000E59A0"/>
    <w:rsid w:val="000E71DC"/>
    <w:rsid w:val="000E7403"/>
    <w:rsid w:val="000E7A84"/>
    <w:rsid w:val="000F0F46"/>
    <w:rsid w:val="000F15BC"/>
    <w:rsid w:val="000F180A"/>
    <w:rsid w:val="000F1C92"/>
    <w:rsid w:val="000F1E81"/>
    <w:rsid w:val="000F2B02"/>
    <w:rsid w:val="000F2D25"/>
    <w:rsid w:val="000F2EEE"/>
    <w:rsid w:val="000F3238"/>
    <w:rsid w:val="000F3697"/>
    <w:rsid w:val="000F407D"/>
    <w:rsid w:val="000F4BD7"/>
    <w:rsid w:val="000F4F58"/>
    <w:rsid w:val="000F5BC8"/>
    <w:rsid w:val="000F631C"/>
    <w:rsid w:val="000F637B"/>
    <w:rsid w:val="000F65A0"/>
    <w:rsid w:val="000F7326"/>
    <w:rsid w:val="000F75A1"/>
    <w:rsid w:val="000F7F58"/>
    <w:rsid w:val="00100128"/>
    <w:rsid w:val="00100CDC"/>
    <w:rsid w:val="00100FF3"/>
    <w:rsid w:val="00101488"/>
    <w:rsid w:val="00101753"/>
    <w:rsid w:val="001019A7"/>
    <w:rsid w:val="00101CB8"/>
    <w:rsid w:val="00101EB7"/>
    <w:rsid w:val="001022A0"/>
    <w:rsid w:val="001026CA"/>
    <w:rsid w:val="001030F8"/>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11C4"/>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9"/>
    <w:rsid w:val="001169EC"/>
    <w:rsid w:val="00116CA1"/>
    <w:rsid w:val="00117141"/>
    <w:rsid w:val="00117678"/>
    <w:rsid w:val="001179BC"/>
    <w:rsid w:val="00117C85"/>
    <w:rsid w:val="001203A0"/>
    <w:rsid w:val="00120B13"/>
    <w:rsid w:val="00120C4A"/>
    <w:rsid w:val="00121162"/>
    <w:rsid w:val="001215CA"/>
    <w:rsid w:val="00122412"/>
    <w:rsid w:val="001233BB"/>
    <w:rsid w:val="00124258"/>
    <w:rsid w:val="0012449B"/>
    <w:rsid w:val="00124875"/>
    <w:rsid w:val="00124B12"/>
    <w:rsid w:val="00124D84"/>
    <w:rsid w:val="00124D97"/>
    <w:rsid w:val="001250DD"/>
    <w:rsid w:val="00125733"/>
    <w:rsid w:val="001260AA"/>
    <w:rsid w:val="001263AA"/>
    <w:rsid w:val="00126885"/>
    <w:rsid w:val="001273F3"/>
    <w:rsid w:val="00130779"/>
    <w:rsid w:val="001307A1"/>
    <w:rsid w:val="00130D24"/>
    <w:rsid w:val="00130F5A"/>
    <w:rsid w:val="001314A8"/>
    <w:rsid w:val="0013160D"/>
    <w:rsid w:val="001321D3"/>
    <w:rsid w:val="00132B4A"/>
    <w:rsid w:val="00132FAA"/>
    <w:rsid w:val="00133345"/>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752"/>
    <w:rsid w:val="0014384A"/>
    <w:rsid w:val="00143C90"/>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6A2"/>
    <w:rsid w:val="0015673F"/>
    <w:rsid w:val="001572C1"/>
    <w:rsid w:val="001577D8"/>
    <w:rsid w:val="00157FC3"/>
    <w:rsid w:val="00160655"/>
    <w:rsid w:val="00160739"/>
    <w:rsid w:val="00160A63"/>
    <w:rsid w:val="00160C09"/>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043"/>
    <w:rsid w:val="00170E24"/>
    <w:rsid w:val="00171143"/>
    <w:rsid w:val="00172864"/>
    <w:rsid w:val="00172B82"/>
    <w:rsid w:val="00172EFA"/>
    <w:rsid w:val="00173038"/>
    <w:rsid w:val="00173608"/>
    <w:rsid w:val="001745EC"/>
    <w:rsid w:val="001747B7"/>
    <w:rsid w:val="00174801"/>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38"/>
    <w:rsid w:val="00181DAE"/>
    <w:rsid w:val="00181E7A"/>
    <w:rsid w:val="00181FC1"/>
    <w:rsid w:val="001823C3"/>
    <w:rsid w:val="0018289C"/>
    <w:rsid w:val="00182F13"/>
    <w:rsid w:val="00182F43"/>
    <w:rsid w:val="00183034"/>
    <w:rsid w:val="001830F7"/>
    <w:rsid w:val="0018371D"/>
    <w:rsid w:val="00183EE6"/>
    <w:rsid w:val="001844E5"/>
    <w:rsid w:val="00184E75"/>
    <w:rsid w:val="0018528A"/>
    <w:rsid w:val="0018588A"/>
    <w:rsid w:val="00185C4C"/>
    <w:rsid w:val="00185FC2"/>
    <w:rsid w:val="00186BE6"/>
    <w:rsid w:val="00187252"/>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287B"/>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E70"/>
    <w:rsid w:val="001C388D"/>
    <w:rsid w:val="001C3946"/>
    <w:rsid w:val="001C3EE9"/>
    <w:rsid w:val="001C3FA4"/>
    <w:rsid w:val="001C40F9"/>
    <w:rsid w:val="001C40FC"/>
    <w:rsid w:val="001C41B6"/>
    <w:rsid w:val="001C458B"/>
    <w:rsid w:val="001C4CE2"/>
    <w:rsid w:val="001C50F9"/>
    <w:rsid w:val="001C542A"/>
    <w:rsid w:val="001C5D4F"/>
    <w:rsid w:val="001C64C0"/>
    <w:rsid w:val="001C67D0"/>
    <w:rsid w:val="001C69DA"/>
    <w:rsid w:val="001C6F06"/>
    <w:rsid w:val="001C71AB"/>
    <w:rsid w:val="001C75AF"/>
    <w:rsid w:val="001C7611"/>
    <w:rsid w:val="001D2360"/>
    <w:rsid w:val="001D2372"/>
    <w:rsid w:val="001D2CE6"/>
    <w:rsid w:val="001D3109"/>
    <w:rsid w:val="001D332E"/>
    <w:rsid w:val="001D3914"/>
    <w:rsid w:val="001D4C8F"/>
    <w:rsid w:val="001D5033"/>
    <w:rsid w:val="001D5058"/>
    <w:rsid w:val="001D5453"/>
    <w:rsid w:val="001D5C88"/>
    <w:rsid w:val="001D6567"/>
    <w:rsid w:val="001D695C"/>
    <w:rsid w:val="001D6ED3"/>
    <w:rsid w:val="001D6FD9"/>
    <w:rsid w:val="001D780E"/>
    <w:rsid w:val="001D7A29"/>
    <w:rsid w:val="001E05C3"/>
    <w:rsid w:val="001E0AB0"/>
    <w:rsid w:val="001E0AD3"/>
    <w:rsid w:val="001E133B"/>
    <w:rsid w:val="001E1D1C"/>
    <w:rsid w:val="001E1E92"/>
    <w:rsid w:val="001E29A5"/>
    <w:rsid w:val="001E36E4"/>
    <w:rsid w:val="001E379D"/>
    <w:rsid w:val="001E3A3C"/>
    <w:rsid w:val="001E43E5"/>
    <w:rsid w:val="001E4468"/>
    <w:rsid w:val="001E462D"/>
    <w:rsid w:val="001E5291"/>
    <w:rsid w:val="001E5570"/>
    <w:rsid w:val="001E57DB"/>
    <w:rsid w:val="001E5C23"/>
    <w:rsid w:val="001E615F"/>
    <w:rsid w:val="001E628F"/>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43D"/>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65"/>
    <w:rsid w:val="002056D0"/>
    <w:rsid w:val="00205892"/>
    <w:rsid w:val="00205A0F"/>
    <w:rsid w:val="00205E70"/>
    <w:rsid w:val="00206FC7"/>
    <w:rsid w:val="00207118"/>
    <w:rsid w:val="00207A66"/>
    <w:rsid w:val="00207C71"/>
    <w:rsid w:val="00210860"/>
    <w:rsid w:val="00210979"/>
    <w:rsid w:val="00210B6A"/>
    <w:rsid w:val="00210E01"/>
    <w:rsid w:val="00211019"/>
    <w:rsid w:val="00211087"/>
    <w:rsid w:val="0021120F"/>
    <w:rsid w:val="00211C40"/>
    <w:rsid w:val="00211DA6"/>
    <w:rsid w:val="00211DAC"/>
    <w:rsid w:val="00212CB6"/>
    <w:rsid w:val="00212E37"/>
    <w:rsid w:val="00213B5D"/>
    <w:rsid w:val="00213F68"/>
    <w:rsid w:val="002140FF"/>
    <w:rsid w:val="00215E90"/>
    <w:rsid w:val="0021641C"/>
    <w:rsid w:val="002164D8"/>
    <w:rsid w:val="00216C4B"/>
    <w:rsid w:val="00216C8D"/>
    <w:rsid w:val="00220894"/>
    <w:rsid w:val="0022095C"/>
    <w:rsid w:val="002211CB"/>
    <w:rsid w:val="00221772"/>
    <w:rsid w:val="00224217"/>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E54"/>
    <w:rsid w:val="002419CC"/>
    <w:rsid w:val="00241AC1"/>
    <w:rsid w:val="00241CFB"/>
    <w:rsid w:val="0024208F"/>
    <w:rsid w:val="00242380"/>
    <w:rsid w:val="00242436"/>
    <w:rsid w:val="002427E1"/>
    <w:rsid w:val="0024342B"/>
    <w:rsid w:val="00243D70"/>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D9F"/>
    <w:rsid w:val="00251F81"/>
    <w:rsid w:val="00252BE0"/>
    <w:rsid w:val="00252FEB"/>
    <w:rsid w:val="00253583"/>
    <w:rsid w:val="00253588"/>
    <w:rsid w:val="00253C1D"/>
    <w:rsid w:val="00254336"/>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2FF"/>
    <w:rsid w:val="00266B13"/>
    <w:rsid w:val="00266B23"/>
    <w:rsid w:val="002674BF"/>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196"/>
    <w:rsid w:val="002866AD"/>
    <w:rsid w:val="00286AE7"/>
    <w:rsid w:val="00287243"/>
    <w:rsid w:val="00287552"/>
    <w:rsid w:val="00290647"/>
    <w:rsid w:val="00291385"/>
    <w:rsid w:val="00291422"/>
    <w:rsid w:val="0029237F"/>
    <w:rsid w:val="00292715"/>
    <w:rsid w:val="00293715"/>
    <w:rsid w:val="00293CEA"/>
    <w:rsid w:val="00293E57"/>
    <w:rsid w:val="00293EB1"/>
    <w:rsid w:val="00294504"/>
    <w:rsid w:val="002947D1"/>
    <w:rsid w:val="002948DF"/>
    <w:rsid w:val="00294D90"/>
    <w:rsid w:val="0029546B"/>
    <w:rsid w:val="0029628D"/>
    <w:rsid w:val="00296545"/>
    <w:rsid w:val="002969D4"/>
    <w:rsid w:val="00297148"/>
    <w:rsid w:val="00297296"/>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40E4"/>
    <w:rsid w:val="002B480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507"/>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2ED"/>
    <w:rsid w:val="002D63F9"/>
    <w:rsid w:val="002D6F91"/>
    <w:rsid w:val="002D7215"/>
    <w:rsid w:val="002D721F"/>
    <w:rsid w:val="002D72CC"/>
    <w:rsid w:val="002D788E"/>
    <w:rsid w:val="002E0038"/>
    <w:rsid w:val="002E0319"/>
    <w:rsid w:val="002E0AF8"/>
    <w:rsid w:val="002E1093"/>
    <w:rsid w:val="002E179B"/>
    <w:rsid w:val="002E1897"/>
    <w:rsid w:val="002E1B6C"/>
    <w:rsid w:val="002E1C9E"/>
    <w:rsid w:val="002E1D9F"/>
    <w:rsid w:val="002E215A"/>
    <w:rsid w:val="002E257B"/>
    <w:rsid w:val="002E3341"/>
    <w:rsid w:val="002E3C65"/>
    <w:rsid w:val="002E3F5B"/>
    <w:rsid w:val="002E4362"/>
    <w:rsid w:val="002E45EB"/>
    <w:rsid w:val="002E5B07"/>
    <w:rsid w:val="002E63D9"/>
    <w:rsid w:val="002E640E"/>
    <w:rsid w:val="002E6FC6"/>
    <w:rsid w:val="002E7187"/>
    <w:rsid w:val="002E739D"/>
    <w:rsid w:val="002E76D0"/>
    <w:rsid w:val="002E7D2E"/>
    <w:rsid w:val="002F0C28"/>
    <w:rsid w:val="002F1568"/>
    <w:rsid w:val="002F281C"/>
    <w:rsid w:val="002F2999"/>
    <w:rsid w:val="002F2C74"/>
    <w:rsid w:val="002F3CDE"/>
    <w:rsid w:val="002F4AFB"/>
    <w:rsid w:val="002F559A"/>
    <w:rsid w:val="002F5A7C"/>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9F4"/>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DFF"/>
    <w:rsid w:val="003178DA"/>
    <w:rsid w:val="00317DB8"/>
    <w:rsid w:val="00317E6F"/>
    <w:rsid w:val="00320085"/>
    <w:rsid w:val="003203AC"/>
    <w:rsid w:val="003205C5"/>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9C4"/>
    <w:rsid w:val="00343DB9"/>
    <w:rsid w:val="0034429B"/>
    <w:rsid w:val="003442D8"/>
    <w:rsid w:val="00344866"/>
    <w:rsid w:val="00344F6D"/>
    <w:rsid w:val="00345242"/>
    <w:rsid w:val="00345C56"/>
    <w:rsid w:val="00345E16"/>
    <w:rsid w:val="0034638C"/>
    <w:rsid w:val="00346B98"/>
    <w:rsid w:val="00346F7F"/>
    <w:rsid w:val="00347656"/>
    <w:rsid w:val="00347715"/>
    <w:rsid w:val="00347F4C"/>
    <w:rsid w:val="00350108"/>
    <w:rsid w:val="00350762"/>
    <w:rsid w:val="003507C4"/>
    <w:rsid w:val="0035152D"/>
    <w:rsid w:val="003515FB"/>
    <w:rsid w:val="003517E3"/>
    <w:rsid w:val="003519A1"/>
    <w:rsid w:val="00352480"/>
    <w:rsid w:val="003526AA"/>
    <w:rsid w:val="0035275F"/>
    <w:rsid w:val="00352BBC"/>
    <w:rsid w:val="00352F64"/>
    <w:rsid w:val="003530D2"/>
    <w:rsid w:val="0035331A"/>
    <w:rsid w:val="0035340A"/>
    <w:rsid w:val="003534E1"/>
    <w:rsid w:val="0035382D"/>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251"/>
    <w:rsid w:val="00362569"/>
    <w:rsid w:val="003636CD"/>
    <w:rsid w:val="003637B8"/>
    <w:rsid w:val="00363ABF"/>
    <w:rsid w:val="00364429"/>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5CC"/>
    <w:rsid w:val="00394739"/>
    <w:rsid w:val="00395826"/>
    <w:rsid w:val="00395A18"/>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646"/>
    <w:rsid w:val="003A7702"/>
    <w:rsid w:val="003A7834"/>
    <w:rsid w:val="003A7A25"/>
    <w:rsid w:val="003B0B5B"/>
    <w:rsid w:val="003B0CE2"/>
    <w:rsid w:val="003B0D8E"/>
    <w:rsid w:val="003B0E79"/>
    <w:rsid w:val="003B19A2"/>
    <w:rsid w:val="003B21EF"/>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800"/>
    <w:rsid w:val="003C6B81"/>
    <w:rsid w:val="003C7AD7"/>
    <w:rsid w:val="003D0992"/>
    <w:rsid w:val="003D0B9D"/>
    <w:rsid w:val="003D0FC3"/>
    <w:rsid w:val="003D17FD"/>
    <w:rsid w:val="003D1902"/>
    <w:rsid w:val="003D1DDD"/>
    <w:rsid w:val="003D2C1D"/>
    <w:rsid w:val="003D2C34"/>
    <w:rsid w:val="003D2C46"/>
    <w:rsid w:val="003D31B9"/>
    <w:rsid w:val="003D3538"/>
    <w:rsid w:val="003D3568"/>
    <w:rsid w:val="003D3DDD"/>
    <w:rsid w:val="003D4022"/>
    <w:rsid w:val="003D46F1"/>
    <w:rsid w:val="003D527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C5"/>
    <w:rsid w:val="003E6DCB"/>
    <w:rsid w:val="003E6E3A"/>
    <w:rsid w:val="003E71A6"/>
    <w:rsid w:val="003E7367"/>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298"/>
    <w:rsid w:val="003F33BC"/>
    <w:rsid w:val="003F3643"/>
    <w:rsid w:val="003F3D4E"/>
    <w:rsid w:val="003F4271"/>
    <w:rsid w:val="003F477E"/>
    <w:rsid w:val="003F4950"/>
    <w:rsid w:val="003F609F"/>
    <w:rsid w:val="003F6529"/>
    <w:rsid w:val="003F6CD2"/>
    <w:rsid w:val="003F788D"/>
    <w:rsid w:val="003F7936"/>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874"/>
    <w:rsid w:val="0043393D"/>
    <w:rsid w:val="0043428F"/>
    <w:rsid w:val="004344C7"/>
    <w:rsid w:val="004350B2"/>
    <w:rsid w:val="00435274"/>
    <w:rsid w:val="004352AD"/>
    <w:rsid w:val="0043545D"/>
    <w:rsid w:val="0043547E"/>
    <w:rsid w:val="00435FE2"/>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458"/>
    <w:rsid w:val="004646B4"/>
    <w:rsid w:val="00464A88"/>
    <w:rsid w:val="00464B01"/>
    <w:rsid w:val="00464CDD"/>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6D88"/>
    <w:rsid w:val="00477383"/>
    <w:rsid w:val="004777B7"/>
    <w:rsid w:val="00477AFD"/>
    <w:rsid w:val="00477C35"/>
    <w:rsid w:val="00477FB9"/>
    <w:rsid w:val="00480988"/>
    <w:rsid w:val="00480E05"/>
    <w:rsid w:val="00480F25"/>
    <w:rsid w:val="00480FBD"/>
    <w:rsid w:val="00481397"/>
    <w:rsid w:val="00481684"/>
    <w:rsid w:val="004816BE"/>
    <w:rsid w:val="00482BA7"/>
    <w:rsid w:val="00482BBE"/>
    <w:rsid w:val="00483A12"/>
    <w:rsid w:val="00483A42"/>
    <w:rsid w:val="00483BBB"/>
    <w:rsid w:val="00483C32"/>
    <w:rsid w:val="00483DE2"/>
    <w:rsid w:val="0048406A"/>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811"/>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32C"/>
    <w:rsid w:val="004A436E"/>
    <w:rsid w:val="004A45C3"/>
    <w:rsid w:val="004A4715"/>
    <w:rsid w:val="004A5046"/>
    <w:rsid w:val="004A565E"/>
    <w:rsid w:val="004A5D55"/>
    <w:rsid w:val="004A5D73"/>
    <w:rsid w:val="004A5DF3"/>
    <w:rsid w:val="004A6134"/>
    <w:rsid w:val="004A63CA"/>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378"/>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A21"/>
    <w:rsid w:val="004D0B3E"/>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5B77"/>
    <w:rsid w:val="004D6F4D"/>
    <w:rsid w:val="004D6F95"/>
    <w:rsid w:val="004D70CF"/>
    <w:rsid w:val="004D72FE"/>
    <w:rsid w:val="004D7358"/>
    <w:rsid w:val="004D74B1"/>
    <w:rsid w:val="004D77A8"/>
    <w:rsid w:val="004D7E91"/>
    <w:rsid w:val="004D7EFF"/>
    <w:rsid w:val="004E003A"/>
    <w:rsid w:val="004E0396"/>
    <w:rsid w:val="004E0664"/>
    <w:rsid w:val="004E0768"/>
    <w:rsid w:val="004E1A31"/>
    <w:rsid w:val="004E1A62"/>
    <w:rsid w:val="004E1C6F"/>
    <w:rsid w:val="004E1CD8"/>
    <w:rsid w:val="004E2413"/>
    <w:rsid w:val="004E2971"/>
    <w:rsid w:val="004E298C"/>
    <w:rsid w:val="004E2DE0"/>
    <w:rsid w:val="004E4060"/>
    <w:rsid w:val="004E409A"/>
    <w:rsid w:val="004E4456"/>
    <w:rsid w:val="004E5D67"/>
    <w:rsid w:val="004E62CC"/>
    <w:rsid w:val="004E67BC"/>
    <w:rsid w:val="004E691C"/>
    <w:rsid w:val="004E7128"/>
    <w:rsid w:val="004E7A42"/>
    <w:rsid w:val="004E7B01"/>
    <w:rsid w:val="004E7C77"/>
    <w:rsid w:val="004E7C7A"/>
    <w:rsid w:val="004E7F04"/>
    <w:rsid w:val="004F016D"/>
    <w:rsid w:val="004F0632"/>
    <w:rsid w:val="004F0E25"/>
    <w:rsid w:val="004F0FB9"/>
    <w:rsid w:val="004F1C3B"/>
    <w:rsid w:val="004F1C8E"/>
    <w:rsid w:val="004F1EA8"/>
    <w:rsid w:val="004F2910"/>
    <w:rsid w:val="004F2F7E"/>
    <w:rsid w:val="004F32B5"/>
    <w:rsid w:val="004F3967"/>
    <w:rsid w:val="004F3A7B"/>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318C"/>
    <w:rsid w:val="0051344E"/>
    <w:rsid w:val="005142CD"/>
    <w:rsid w:val="005143C9"/>
    <w:rsid w:val="00514600"/>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5BF"/>
    <w:rsid w:val="00525739"/>
    <w:rsid w:val="005257DE"/>
    <w:rsid w:val="00526C15"/>
    <w:rsid w:val="00527200"/>
    <w:rsid w:val="00527802"/>
    <w:rsid w:val="00527DB3"/>
    <w:rsid w:val="00530157"/>
    <w:rsid w:val="005303DC"/>
    <w:rsid w:val="00530FEB"/>
    <w:rsid w:val="00531491"/>
    <w:rsid w:val="00531C1A"/>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7B6"/>
    <w:rsid w:val="00537D8A"/>
    <w:rsid w:val="00540230"/>
    <w:rsid w:val="0054046C"/>
    <w:rsid w:val="00540C95"/>
    <w:rsid w:val="005411F6"/>
    <w:rsid w:val="00541A7E"/>
    <w:rsid w:val="00541B25"/>
    <w:rsid w:val="00541CA7"/>
    <w:rsid w:val="005420A3"/>
    <w:rsid w:val="0054215C"/>
    <w:rsid w:val="0054285F"/>
    <w:rsid w:val="00542B49"/>
    <w:rsid w:val="00543424"/>
    <w:rsid w:val="0054343A"/>
    <w:rsid w:val="005437F3"/>
    <w:rsid w:val="0054385B"/>
    <w:rsid w:val="00543974"/>
    <w:rsid w:val="00543A10"/>
    <w:rsid w:val="00543EBF"/>
    <w:rsid w:val="00544939"/>
    <w:rsid w:val="00544ABA"/>
    <w:rsid w:val="005457C8"/>
    <w:rsid w:val="0054593A"/>
    <w:rsid w:val="0054615C"/>
    <w:rsid w:val="0054622F"/>
    <w:rsid w:val="005467FB"/>
    <w:rsid w:val="00546AC8"/>
    <w:rsid w:val="00546AE9"/>
    <w:rsid w:val="00546CA8"/>
    <w:rsid w:val="00547588"/>
    <w:rsid w:val="00547989"/>
    <w:rsid w:val="00547F7F"/>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7A"/>
    <w:rsid w:val="00557FE1"/>
    <w:rsid w:val="005605C0"/>
    <w:rsid w:val="00560D23"/>
    <w:rsid w:val="005615D8"/>
    <w:rsid w:val="00561B5E"/>
    <w:rsid w:val="00561C06"/>
    <w:rsid w:val="00562152"/>
    <w:rsid w:val="005626D6"/>
    <w:rsid w:val="0056279A"/>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E60"/>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26B"/>
    <w:rsid w:val="005A6410"/>
    <w:rsid w:val="005A6521"/>
    <w:rsid w:val="005A77C2"/>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6111"/>
    <w:rsid w:val="005B6577"/>
    <w:rsid w:val="005B6922"/>
    <w:rsid w:val="005B774F"/>
    <w:rsid w:val="005B77D9"/>
    <w:rsid w:val="005B7DD1"/>
    <w:rsid w:val="005C00A0"/>
    <w:rsid w:val="005C086C"/>
    <w:rsid w:val="005C0A1E"/>
    <w:rsid w:val="005C14CA"/>
    <w:rsid w:val="005C1768"/>
    <w:rsid w:val="005C176C"/>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883"/>
    <w:rsid w:val="005D6959"/>
    <w:rsid w:val="005D706C"/>
    <w:rsid w:val="005D7E0D"/>
    <w:rsid w:val="005E0355"/>
    <w:rsid w:val="005E0623"/>
    <w:rsid w:val="005E0B3F"/>
    <w:rsid w:val="005E1FBC"/>
    <w:rsid w:val="005E234A"/>
    <w:rsid w:val="005E2867"/>
    <w:rsid w:val="005E35CC"/>
    <w:rsid w:val="005E371E"/>
    <w:rsid w:val="005E4140"/>
    <w:rsid w:val="005E53F9"/>
    <w:rsid w:val="005E5901"/>
    <w:rsid w:val="005E5BB6"/>
    <w:rsid w:val="005E5E9E"/>
    <w:rsid w:val="005E7614"/>
    <w:rsid w:val="005E775D"/>
    <w:rsid w:val="005F0551"/>
    <w:rsid w:val="005F0A43"/>
    <w:rsid w:val="005F0E91"/>
    <w:rsid w:val="005F1086"/>
    <w:rsid w:val="005F1498"/>
    <w:rsid w:val="005F1C11"/>
    <w:rsid w:val="005F25A0"/>
    <w:rsid w:val="005F27BF"/>
    <w:rsid w:val="005F2CBE"/>
    <w:rsid w:val="005F3D1F"/>
    <w:rsid w:val="005F4171"/>
    <w:rsid w:val="005F46D6"/>
    <w:rsid w:val="005F4B64"/>
    <w:rsid w:val="005F4DD6"/>
    <w:rsid w:val="005F50D8"/>
    <w:rsid w:val="005F53A1"/>
    <w:rsid w:val="005F5879"/>
    <w:rsid w:val="005F5A01"/>
    <w:rsid w:val="005F5DAB"/>
    <w:rsid w:val="005F6B77"/>
    <w:rsid w:val="005F7487"/>
    <w:rsid w:val="005F753E"/>
    <w:rsid w:val="005F7625"/>
    <w:rsid w:val="006002C7"/>
    <w:rsid w:val="00600EFB"/>
    <w:rsid w:val="00600F95"/>
    <w:rsid w:val="00601725"/>
    <w:rsid w:val="00601839"/>
    <w:rsid w:val="00602759"/>
    <w:rsid w:val="0060277A"/>
    <w:rsid w:val="00602788"/>
    <w:rsid w:val="00602A80"/>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2000"/>
    <w:rsid w:val="006130F7"/>
    <w:rsid w:val="00613AF8"/>
    <w:rsid w:val="00613D8E"/>
    <w:rsid w:val="006142E0"/>
    <w:rsid w:val="0061444B"/>
    <w:rsid w:val="00614454"/>
    <w:rsid w:val="00614DD1"/>
    <w:rsid w:val="00616112"/>
    <w:rsid w:val="00617066"/>
    <w:rsid w:val="00617234"/>
    <w:rsid w:val="00617332"/>
    <w:rsid w:val="006173CF"/>
    <w:rsid w:val="006175A0"/>
    <w:rsid w:val="00617C52"/>
    <w:rsid w:val="00617CF5"/>
    <w:rsid w:val="00620035"/>
    <w:rsid w:val="006205CA"/>
    <w:rsid w:val="00621AA2"/>
    <w:rsid w:val="00621F53"/>
    <w:rsid w:val="00622E2A"/>
    <w:rsid w:val="00622FD6"/>
    <w:rsid w:val="00623089"/>
    <w:rsid w:val="0062308E"/>
    <w:rsid w:val="006234C4"/>
    <w:rsid w:val="006234FD"/>
    <w:rsid w:val="00623A6F"/>
    <w:rsid w:val="00623B34"/>
    <w:rsid w:val="006244C9"/>
    <w:rsid w:val="006245F6"/>
    <w:rsid w:val="0062460E"/>
    <w:rsid w:val="0062475D"/>
    <w:rsid w:val="0062495F"/>
    <w:rsid w:val="0062496B"/>
    <w:rsid w:val="006257B8"/>
    <w:rsid w:val="0062651B"/>
    <w:rsid w:val="0062660B"/>
    <w:rsid w:val="00626943"/>
    <w:rsid w:val="00626AD1"/>
    <w:rsid w:val="00626EAD"/>
    <w:rsid w:val="006272A4"/>
    <w:rsid w:val="006277E9"/>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1B"/>
    <w:rsid w:val="0063793A"/>
    <w:rsid w:val="00637C5D"/>
    <w:rsid w:val="00641457"/>
    <w:rsid w:val="00641C43"/>
    <w:rsid w:val="006425F7"/>
    <w:rsid w:val="00643607"/>
    <w:rsid w:val="00643660"/>
    <w:rsid w:val="006446E6"/>
    <w:rsid w:val="006447DC"/>
    <w:rsid w:val="00644C95"/>
    <w:rsid w:val="00644F15"/>
    <w:rsid w:val="006450EE"/>
    <w:rsid w:val="00645361"/>
    <w:rsid w:val="0064566B"/>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3C12"/>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6CE"/>
    <w:rsid w:val="00662E2F"/>
    <w:rsid w:val="006638AD"/>
    <w:rsid w:val="00664B27"/>
    <w:rsid w:val="00664E11"/>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11F"/>
    <w:rsid w:val="00672893"/>
    <w:rsid w:val="006728ED"/>
    <w:rsid w:val="00672DF1"/>
    <w:rsid w:val="006732B1"/>
    <w:rsid w:val="00673980"/>
    <w:rsid w:val="00673DA5"/>
    <w:rsid w:val="006742D9"/>
    <w:rsid w:val="0067446F"/>
    <w:rsid w:val="006745A0"/>
    <w:rsid w:val="006746A4"/>
    <w:rsid w:val="006749CF"/>
    <w:rsid w:val="00674D86"/>
    <w:rsid w:val="00674F38"/>
    <w:rsid w:val="00675558"/>
    <w:rsid w:val="00675611"/>
    <w:rsid w:val="00675A60"/>
    <w:rsid w:val="00675BE2"/>
    <w:rsid w:val="00675DDE"/>
    <w:rsid w:val="006763D7"/>
    <w:rsid w:val="0067697E"/>
    <w:rsid w:val="00676CD5"/>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3CEC"/>
    <w:rsid w:val="0068436C"/>
    <w:rsid w:val="00684F8B"/>
    <w:rsid w:val="006851C4"/>
    <w:rsid w:val="006851FE"/>
    <w:rsid w:val="0068545E"/>
    <w:rsid w:val="00685FD4"/>
    <w:rsid w:val="006860A2"/>
    <w:rsid w:val="00686612"/>
    <w:rsid w:val="0068661E"/>
    <w:rsid w:val="006874F0"/>
    <w:rsid w:val="006909D1"/>
    <w:rsid w:val="00690A49"/>
    <w:rsid w:val="00690AED"/>
    <w:rsid w:val="00690B11"/>
    <w:rsid w:val="00690BB6"/>
    <w:rsid w:val="0069135B"/>
    <w:rsid w:val="00691610"/>
    <w:rsid w:val="00691B30"/>
    <w:rsid w:val="00692012"/>
    <w:rsid w:val="00692CA4"/>
    <w:rsid w:val="00693E1F"/>
    <w:rsid w:val="00693ECB"/>
    <w:rsid w:val="00694097"/>
    <w:rsid w:val="00694482"/>
    <w:rsid w:val="00694797"/>
    <w:rsid w:val="00694DFF"/>
    <w:rsid w:val="00694F2D"/>
    <w:rsid w:val="00695246"/>
    <w:rsid w:val="00695257"/>
    <w:rsid w:val="00695887"/>
    <w:rsid w:val="00695C40"/>
    <w:rsid w:val="00695F6D"/>
    <w:rsid w:val="00697068"/>
    <w:rsid w:val="006972C8"/>
    <w:rsid w:val="0069751A"/>
    <w:rsid w:val="00697733"/>
    <w:rsid w:val="006A0BBE"/>
    <w:rsid w:val="006A139F"/>
    <w:rsid w:val="006A254E"/>
    <w:rsid w:val="006A285F"/>
    <w:rsid w:val="006A2C30"/>
    <w:rsid w:val="006A301C"/>
    <w:rsid w:val="006A307F"/>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8FF"/>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8DA"/>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DDB"/>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3616"/>
    <w:rsid w:val="006F45DF"/>
    <w:rsid w:val="006F49EF"/>
    <w:rsid w:val="006F4BE0"/>
    <w:rsid w:val="006F4F96"/>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5D6"/>
    <w:rsid w:val="007025CB"/>
    <w:rsid w:val="007032E3"/>
    <w:rsid w:val="007034AA"/>
    <w:rsid w:val="007038CC"/>
    <w:rsid w:val="00703C5D"/>
    <w:rsid w:val="00703C9D"/>
    <w:rsid w:val="00704878"/>
    <w:rsid w:val="0070490C"/>
    <w:rsid w:val="00705128"/>
    <w:rsid w:val="007053D1"/>
    <w:rsid w:val="007054F5"/>
    <w:rsid w:val="00705AFB"/>
    <w:rsid w:val="00705C38"/>
    <w:rsid w:val="007060B1"/>
    <w:rsid w:val="00706222"/>
    <w:rsid w:val="00706465"/>
    <w:rsid w:val="0070695A"/>
    <w:rsid w:val="007072EB"/>
    <w:rsid w:val="00707313"/>
    <w:rsid w:val="00707365"/>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17F1D"/>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646"/>
    <w:rsid w:val="00725C99"/>
    <w:rsid w:val="00726036"/>
    <w:rsid w:val="00726279"/>
    <w:rsid w:val="0072692D"/>
    <w:rsid w:val="00726A9B"/>
    <w:rsid w:val="00726D75"/>
    <w:rsid w:val="00726E28"/>
    <w:rsid w:val="00727530"/>
    <w:rsid w:val="0072757A"/>
    <w:rsid w:val="007275F1"/>
    <w:rsid w:val="0073108E"/>
    <w:rsid w:val="007311C4"/>
    <w:rsid w:val="007314F0"/>
    <w:rsid w:val="00731E7C"/>
    <w:rsid w:val="007329EF"/>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3A9F"/>
    <w:rsid w:val="00744107"/>
    <w:rsid w:val="007441D4"/>
    <w:rsid w:val="00744278"/>
    <w:rsid w:val="007446B8"/>
    <w:rsid w:val="007448CE"/>
    <w:rsid w:val="00744A26"/>
    <w:rsid w:val="00744A64"/>
    <w:rsid w:val="00744D47"/>
    <w:rsid w:val="00744EA0"/>
    <w:rsid w:val="007451CB"/>
    <w:rsid w:val="007458AF"/>
    <w:rsid w:val="0074638D"/>
    <w:rsid w:val="00746484"/>
    <w:rsid w:val="007464F4"/>
    <w:rsid w:val="0074704F"/>
    <w:rsid w:val="0074787C"/>
    <w:rsid w:val="00747B64"/>
    <w:rsid w:val="00747D58"/>
    <w:rsid w:val="00747DC4"/>
    <w:rsid w:val="00747F48"/>
    <w:rsid w:val="00747F4C"/>
    <w:rsid w:val="00750721"/>
    <w:rsid w:val="00751091"/>
    <w:rsid w:val="00751B83"/>
    <w:rsid w:val="00751CF0"/>
    <w:rsid w:val="0075268B"/>
    <w:rsid w:val="00752A3D"/>
    <w:rsid w:val="00753191"/>
    <w:rsid w:val="00753996"/>
    <w:rsid w:val="00754359"/>
    <w:rsid w:val="00754411"/>
    <w:rsid w:val="00754BD9"/>
    <w:rsid w:val="00754E7A"/>
    <w:rsid w:val="0075540C"/>
    <w:rsid w:val="00755DB1"/>
    <w:rsid w:val="00756376"/>
    <w:rsid w:val="00756A33"/>
    <w:rsid w:val="007574FC"/>
    <w:rsid w:val="0075790B"/>
    <w:rsid w:val="00757BA1"/>
    <w:rsid w:val="007603F1"/>
    <w:rsid w:val="00760975"/>
    <w:rsid w:val="00761A5B"/>
    <w:rsid w:val="00761FDA"/>
    <w:rsid w:val="007621FF"/>
    <w:rsid w:val="007634E3"/>
    <w:rsid w:val="00764194"/>
    <w:rsid w:val="0076443E"/>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6E11"/>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86F34"/>
    <w:rsid w:val="007908F8"/>
    <w:rsid w:val="0079162F"/>
    <w:rsid w:val="00793117"/>
    <w:rsid w:val="0079317F"/>
    <w:rsid w:val="007931AF"/>
    <w:rsid w:val="00794579"/>
    <w:rsid w:val="00794924"/>
    <w:rsid w:val="0079506E"/>
    <w:rsid w:val="007956B8"/>
    <w:rsid w:val="007963FD"/>
    <w:rsid w:val="007A09F9"/>
    <w:rsid w:val="007A0BAF"/>
    <w:rsid w:val="007A0BC2"/>
    <w:rsid w:val="007A0BE4"/>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2CD"/>
    <w:rsid w:val="007B6026"/>
    <w:rsid w:val="007B74F9"/>
    <w:rsid w:val="007B7DC1"/>
    <w:rsid w:val="007B7EDB"/>
    <w:rsid w:val="007B7EEF"/>
    <w:rsid w:val="007C0718"/>
    <w:rsid w:val="007C0BF8"/>
    <w:rsid w:val="007C1208"/>
    <w:rsid w:val="007C15D4"/>
    <w:rsid w:val="007C1780"/>
    <w:rsid w:val="007C19AD"/>
    <w:rsid w:val="007C1F83"/>
    <w:rsid w:val="007C27C8"/>
    <w:rsid w:val="007C296E"/>
    <w:rsid w:val="007C2977"/>
    <w:rsid w:val="007C2A16"/>
    <w:rsid w:val="007C2ABC"/>
    <w:rsid w:val="007C359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BB4"/>
    <w:rsid w:val="007D0BF5"/>
    <w:rsid w:val="007D15D1"/>
    <w:rsid w:val="007D1C9B"/>
    <w:rsid w:val="007D229A"/>
    <w:rsid w:val="007D2F44"/>
    <w:rsid w:val="007D2F4D"/>
    <w:rsid w:val="007D3C97"/>
    <w:rsid w:val="007D4178"/>
    <w:rsid w:val="007D4CD3"/>
    <w:rsid w:val="007D4D33"/>
    <w:rsid w:val="007D5403"/>
    <w:rsid w:val="007D5C21"/>
    <w:rsid w:val="007D6B47"/>
    <w:rsid w:val="007D6B4A"/>
    <w:rsid w:val="007D7175"/>
    <w:rsid w:val="007D7ADE"/>
    <w:rsid w:val="007E02A5"/>
    <w:rsid w:val="007E1369"/>
    <w:rsid w:val="007E1A1B"/>
    <w:rsid w:val="007E1A88"/>
    <w:rsid w:val="007E1E43"/>
    <w:rsid w:val="007E27EB"/>
    <w:rsid w:val="007E2F3D"/>
    <w:rsid w:val="007E3B71"/>
    <w:rsid w:val="007E43F6"/>
    <w:rsid w:val="007E4450"/>
    <w:rsid w:val="007E4782"/>
    <w:rsid w:val="007E4C88"/>
    <w:rsid w:val="007E4D82"/>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6CF"/>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3F"/>
    <w:rsid w:val="00813FA3"/>
    <w:rsid w:val="00813FD5"/>
    <w:rsid w:val="0081452D"/>
    <w:rsid w:val="00814E3E"/>
    <w:rsid w:val="00814F60"/>
    <w:rsid w:val="008156F8"/>
    <w:rsid w:val="0081581D"/>
    <w:rsid w:val="008168B9"/>
    <w:rsid w:val="00816BEA"/>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609"/>
    <w:rsid w:val="008273B9"/>
    <w:rsid w:val="008274BF"/>
    <w:rsid w:val="00830DC3"/>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1C44"/>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82E"/>
    <w:rsid w:val="00861B08"/>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41A"/>
    <w:rsid w:val="008707F7"/>
    <w:rsid w:val="00870871"/>
    <w:rsid w:val="008712FD"/>
    <w:rsid w:val="008716A1"/>
    <w:rsid w:val="00872081"/>
    <w:rsid w:val="00872AA7"/>
    <w:rsid w:val="00872D3F"/>
    <w:rsid w:val="008733AA"/>
    <w:rsid w:val="008733E4"/>
    <w:rsid w:val="00873F15"/>
    <w:rsid w:val="00874096"/>
    <w:rsid w:val="008756A4"/>
    <w:rsid w:val="00875793"/>
    <w:rsid w:val="00875F73"/>
    <w:rsid w:val="008766AC"/>
    <w:rsid w:val="008768DA"/>
    <w:rsid w:val="00877049"/>
    <w:rsid w:val="00877F56"/>
    <w:rsid w:val="00880389"/>
    <w:rsid w:val="008807FD"/>
    <w:rsid w:val="00880933"/>
    <w:rsid w:val="00880BDE"/>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073"/>
    <w:rsid w:val="008951DB"/>
    <w:rsid w:val="008952E3"/>
    <w:rsid w:val="00895DD8"/>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C1A"/>
    <w:rsid w:val="008B0FB4"/>
    <w:rsid w:val="008B1828"/>
    <w:rsid w:val="008B1E53"/>
    <w:rsid w:val="008B1E5B"/>
    <w:rsid w:val="008B24DC"/>
    <w:rsid w:val="008B2954"/>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A43"/>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6833"/>
    <w:rsid w:val="008F72CC"/>
    <w:rsid w:val="008F72CD"/>
    <w:rsid w:val="008F746B"/>
    <w:rsid w:val="008F7575"/>
    <w:rsid w:val="008F7A35"/>
    <w:rsid w:val="008F7A45"/>
    <w:rsid w:val="0090008C"/>
    <w:rsid w:val="00900712"/>
    <w:rsid w:val="00900727"/>
    <w:rsid w:val="00900880"/>
    <w:rsid w:val="00900BFB"/>
    <w:rsid w:val="00901274"/>
    <w:rsid w:val="00902232"/>
    <w:rsid w:val="009022E6"/>
    <w:rsid w:val="009027C8"/>
    <w:rsid w:val="00902D33"/>
    <w:rsid w:val="00903802"/>
    <w:rsid w:val="00904584"/>
    <w:rsid w:val="00904640"/>
    <w:rsid w:val="00904748"/>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22A6"/>
    <w:rsid w:val="0091291A"/>
    <w:rsid w:val="00912953"/>
    <w:rsid w:val="00912988"/>
    <w:rsid w:val="009133A6"/>
    <w:rsid w:val="009133EA"/>
    <w:rsid w:val="00913612"/>
    <w:rsid w:val="0091366A"/>
    <w:rsid w:val="009136BE"/>
    <w:rsid w:val="00913824"/>
    <w:rsid w:val="00915757"/>
    <w:rsid w:val="009159B3"/>
    <w:rsid w:val="00915E44"/>
    <w:rsid w:val="00915FC5"/>
    <w:rsid w:val="0091607D"/>
    <w:rsid w:val="00916181"/>
    <w:rsid w:val="00916367"/>
    <w:rsid w:val="00916D11"/>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493"/>
    <w:rsid w:val="00924FF8"/>
    <w:rsid w:val="009258AE"/>
    <w:rsid w:val="00925BA8"/>
    <w:rsid w:val="00925FDC"/>
    <w:rsid w:val="00926D47"/>
    <w:rsid w:val="00926D7C"/>
    <w:rsid w:val="00926DA7"/>
    <w:rsid w:val="0092704D"/>
    <w:rsid w:val="009277E1"/>
    <w:rsid w:val="00927F41"/>
    <w:rsid w:val="00927F8B"/>
    <w:rsid w:val="009303AF"/>
    <w:rsid w:val="0093094D"/>
    <w:rsid w:val="00931133"/>
    <w:rsid w:val="009312BE"/>
    <w:rsid w:val="00931C15"/>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3E45"/>
    <w:rsid w:val="009446D2"/>
    <w:rsid w:val="00944856"/>
    <w:rsid w:val="00944E64"/>
    <w:rsid w:val="00945180"/>
    <w:rsid w:val="0094590C"/>
    <w:rsid w:val="00946124"/>
    <w:rsid w:val="00946355"/>
    <w:rsid w:val="009468B7"/>
    <w:rsid w:val="00946ACC"/>
    <w:rsid w:val="0094724E"/>
    <w:rsid w:val="00947973"/>
    <w:rsid w:val="00947BE6"/>
    <w:rsid w:val="0095048D"/>
    <w:rsid w:val="00950729"/>
    <w:rsid w:val="00951300"/>
    <w:rsid w:val="00951553"/>
    <w:rsid w:val="00951ADB"/>
    <w:rsid w:val="00952253"/>
    <w:rsid w:val="00952F1F"/>
    <w:rsid w:val="0095380C"/>
    <w:rsid w:val="009540C0"/>
    <w:rsid w:val="00954353"/>
    <w:rsid w:val="00955C0A"/>
    <w:rsid w:val="00955C4F"/>
    <w:rsid w:val="00956109"/>
    <w:rsid w:val="00956861"/>
    <w:rsid w:val="009575AA"/>
    <w:rsid w:val="00957945"/>
    <w:rsid w:val="0096081C"/>
    <w:rsid w:val="00960980"/>
    <w:rsid w:val="00960CE7"/>
    <w:rsid w:val="00961008"/>
    <w:rsid w:val="00961A13"/>
    <w:rsid w:val="0096229D"/>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75D"/>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3ED"/>
    <w:rsid w:val="0098686E"/>
    <w:rsid w:val="00986E7F"/>
    <w:rsid w:val="00987536"/>
    <w:rsid w:val="00990AD7"/>
    <w:rsid w:val="00990BD5"/>
    <w:rsid w:val="0099196F"/>
    <w:rsid w:val="00991CD6"/>
    <w:rsid w:val="0099270C"/>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02A"/>
    <w:rsid w:val="0099723D"/>
    <w:rsid w:val="009973F1"/>
    <w:rsid w:val="009973F3"/>
    <w:rsid w:val="00997806"/>
    <w:rsid w:val="009A00F1"/>
    <w:rsid w:val="009A010D"/>
    <w:rsid w:val="009A071D"/>
    <w:rsid w:val="009A0C6F"/>
    <w:rsid w:val="009A14EF"/>
    <w:rsid w:val="009A1729"/>
    <w:rsid w:val="009A1CC9"/>
    <w:rsid w:val="009A2DF9"/>
    <w:rsid w:val="009A3717"/>
    <w:rsid w:val="009A373B"/>
    <w:rsid w:val="009A3A86"/>
    <w:rsid w:val="009A3DB8"/>
    <w:rsid w:val="009A4282"/>
    <w:rsid w:val="009A4869"/>
    <w:rsid w:val="009A5091"/>
    <w:rsid w:val="009A50F5"/>
    <w:rsid w:val="009A6A6B"/>
    <w:rsid w:val="009A6AC1"/>
    <w:rsid w:val="009A777F"/>
    <w:rsid w:val="009A7929"/>
    <w:rsid w:val="009A7DAA"/>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6B58"/>
    <w:rsid w:val="009C7249"/>
    <w:rsid w:val="009C7320"/>
    <w:rsid w:val="009C76FC"/>
    <w:rsid w:val="009C7DA3"/>
    <w:rsid w:val="009D036E"/>
    <w:rsid w:val="009D047F"/>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6E9"/>
    <w:rsid w:val="009D590D"/>
    <w:rsid w:val="009D5BAB"/>
    <w:rsid w:val="009D5FF6"/>
    <w:rsid w:val="009D60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4DB"/>
    <w:rsid w:val="009E6794"/>
    <w:rsid w:val="009E706F"/>
    <w:rsid w:val="009E7189"/>
    <w:rsid w:val="009E71C8"/>
    <w:rsid w:val="009E75F1"/>
    <w:rsid w:val="009E7620"/>
    <w:rsid w:val="009E79CB"/>
    <w:rsid w:val="009E7C89"/>
    <w:rsid w:val="009E7D82"/>
    <w:rsid w:val="009E7E46"/>
    <w:rsid w:val="009E7FC1"/>
    <w:rsid w:val="009F01E1"/>
    <w:rsid w:val="009F03C1"/>
    <w:rsid w:val="009F0B4D"/>
    <w:rsid w:val="009F0DD4"/>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6E34"/>
    <w:rsid w:val="009F73D4"/>
    <w:rsid w:val="009F7F0E"/>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4F92"/>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4F48"/>
    <w:rsid w:val="00A3611D"/>
    <w:rsid w:val="00A36339"/>
    <w:rsid w:val="00A366E4"/>
    <w:rsid w:val="00A40C79"/>
    <w:rsid w:val="00A41278"/>
    <w:rsid w:val="00A41331"/>
    <w:rsid w:val="00A41B4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942"/>
    <w:rsid w:val="00A65911"/>
    <w:rsid w:val="00A65ACC"/>
    <w:rsid w:val="00A65C0A"/>
    <w:rsid w:val="00A6643C"/>
    <w:rsid w:val="00A664E3"/>
    <w:rsid w:val="00A66F8E"/>
    <w:rsid w:val="00A6713B"/>
    <w:rsid w:val="00A67544"/>
    <w:rsid w:val="00A67678"/>
    <w:rsid w:val="00A67EE8"/>
    <w:rsid w:val="00A7000A"/>
    <w:rsid w:val="00A7075B"/>
    <w:rsid w:val="00A7108C"/>
    <w:rsid w:val="00A71629"/>
    <w:rsid w:val="00A71CE6"/>
    <w:rsid w:val="00A71D23"/>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75B8"/>
    <w:rsid w:val="00A77D6F"/>
    <w:rsid w:val="00A8056E"/>
    <w:rsid w:val="00A814BC"/>
    <w:rsid w:val="00A82D58"/>
    <w:rsid w:val="00A82FE0"/>
    <w:rsid w:val="00A8399D"/>
    <w:rsid w:val="00A839E0"/>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96C"/>
    <w:rsid w:val="00A93B69"/>
    <w:rsid w:val="00A93B8E"/>
    <w:rsid w:val="00A94335"/>
    <w:rsid w:val="00A95C8A"/>
    <w:rsid w:val="00A963C7"/>
    <w:rsid w:val="00A96677"/>
    <w:rsid w:val="00A96780"/>
    <w:rsid w:val="00A96C23"/>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B7"/>
    <w:rsid w:val="00AA4073"/>
    <w:rsid w:val="00AA4358"/>
    <w:rsid w:val="00AA45A6"/>
    <w:rsid w:val="00AA50EB"/>
    <w:rsid w:val="00AA51F5"/>
    <w:rsid w:val="00AA5E3B"/>
    <w:rsid w:val="00AA6752"/>
    <w:rsid w:val="00AA67D8"/>
    <w:rsid w:val="00AA68B4"/>
    <w:rsid w:val="00AA7071"/>
    <w:rsid w:val="00AA75FE"/>
    <w:rsid w:val="00AA7D6C"/>
    <w:rsid w:val="00AA7DA9"/>
    <w:rsid w:val="00AB0543"/>
    <w:rsid w:val="00AB0AC9"/>
    <w:rsid w:val="00AB0B65"/>
    <w:rsid w:val="00AB0B77"/>
    <w:rsid w:val="00AB14F6"/>
    <w:rsid w:val="00AB185A"/>
    <w:rsid w:val="00AB1BA7"/>
    <w:rsid w:val="00AB1E04"/>
    <w:rsid w:val="00AB29CF"/>
    <w:rsid w:val="00AB3113"/>
    <w:rsid w:val="00AB32D8"/>
    <w:rsid w:val="00AB348A"/>
    <w:rsid w:val="00AB39F4"/>
    <w:rsid w:val="00AB3F38"/>
    <w:rsid w:val="00AB43EC"/>
    <w:rsid w:val="00AB4A1F"/>
    <w:rsid w:val="00AB4BF4"/>
    <w:rsid w:val="00AB50AF"/>
    <w:rsid w:val="00AB50FC"/>
    <w:rsid w:val="00AB577C"/>
    <w:rsid w:val="00AB5ADF"/>
    <w:rsid w:val="00AB5E57"/>
    <w:rsid w:val="00AB5FB8"/>
    <w:rsid w:val="00AB61A8"/>
    <w:rsid w:val="00AB725F"/>
    <w:rsid w:val="00AB7525"/>
    <w:rsid w:val="00AC00EF"/>
    <w:rsid w:val="00AC0705"/>
    <w:rsid w:val="00AC087D"/>
    <w:rsid w:val="00AC0B98"/>
    <w:rsid w:val="00AC109B"/>
    <w:rsid w:val="00AC209E"/>
    <w:rsid w:val="00AC2107"/>
    <w:rsid w:val="00AC3007"/>
    <w:rsid w:val="00AC3456"/>
    <w:rsid w:val="00AC36A6"/>
    <w:rsid w:val="00AC44D0"/>
    <w:rsid w:val="00AC4D74"/>
    <w:rsid w:val="00AC4E94"/>
    <w:rsid w:val="00AC523D"/>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53F"/>
    <w:rsid w:val="00AE3B4E"/>
    <w:rsid w:val="00AE3E99"/>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0EBC"/>
    <w:rsid w:val="00AF1528"/>
    <w:rsid w:val="00AF1C6C"/>
    <w:rsid w:val="00AF25D5"/>
    <w:rsid w:val="00AF26F1"/>
    <w:rsid w:val="00AF2AFC"/>
    <w:rsid w:val="00AF3DBB"/>
    <w:rsid w:val="00AF4017"/>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4EA"/>
    <w:rsid w:val="00B1662E"/>
    <w:rsid w:val="00B16A6F"/>
    <w:rsid w:val="00B16BBE"/>
    <w:rsid w:val="00B1734E"/>
    <w:rsid w:val="00B176DC"/>
    <w:rsid w:val="00B178F9"/>
    <w:rsid w:val="00B17FAF"/>
    <w:rsid w:val="00B204A9"/>
    <w:rsid w:val="00B206BF"/>
    <w:rsid w:val="00B20B13"/>
    <w:rsid w:val="00B21118"/>
    <w:rsid w:val="00B226C7"/>
    <w:rsid w:val="00B22743"/>
    <w:rsid w:val="00B22C0D"/>
    <w:rsid w:val="00B22FB9"/>
    <w:rsid w:val="00B2334E"/>
    <w:rsid w:val="00B23927"/>
    <w:rsid w:val="00B23AF4"/>
    <w:rsid w:val="00B23B6D"/>
    <w:rsid w:val="00B23C15"/>
    <w:rsid w:val="00B243F2"/>
    <w:rsid w:val="00B24F5E"/>
    <w:rsid w:val="00B25762"/>
    <w:rsid w:val="00B25981"/>
    <w:rsid w:val="00B25B40"/>
    <w:rsid w:val="00B25FDE"/>
    <w:rsid w:val="00B26961"/>
    <w:rsid w:val="00B26AB0"/>
    <w:rsid w:val="00B26AD2"/>
    <w:rsid w:val="00B26CA2"/>
    <w:rsid w:val="00B2746D"/>
    <w:rsid w:val="00B27947"/>
    <w:rsid w:val="00B30B4E"/>
    <w:rsid w:val="00B30FED"/>
    <w:rsid w:val="00B31246"/>
    <w:rsid w:val="00B315E3"/>
    <w:rsid w:val="00B31D6D"/>
    <w:rsid w:val="00B32347"/>
    <w:rsid w:val="00B323DF"/>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E38"/>
    <w:rsid w:val="00B43518"/>
    <w:rsid w:val="00B435B1"/>
    <w:rsid w:val="00B4367F"/>
    <w:rsid w:val="00B438BA"/>
    <w:rsid w:val="00B4399C"/>
    <w:rsid w:val="00B44264"/>
    <w:rsid w:val="00B44292"/>
    <w:rsid w:val="00B44493"/>
    <w:rsid w:val="00B4469B"/>
    <w:rsid w:val="00B44F99"/>
    <w:rsid w:val="00B45679"/>
    <w:rsid w:val="00B45876"/>
    <w:rsid w:val="00B46082"/>
    <w:rsid w:val="00B46976"/>
    <w:rsid w:val="00B4732E"/>
    <w:rsid w:val="00B4758D"/>
    <w:rsid w:val="00B47A15"/>
    <w:rsid w:val="00B47B0A"/>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657"/>
    <w:rsid w:val="00B57777"/>
    <w:rsid w:val="00B57A17"/>
    <w:rsid w:val="00B57A37"/>
    <w:rsid w:val="00B60D0E"/>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085"/>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604C"/>
    <w:rsid w:val="00B7652C"/>
    <w:rsid w:val="00B76639"/>
    <w:rsid w:val="00B766BF"/>
    <w:rsid w:val="00B76FA6"/>
    <w:rsid w:val="00B76FA7"/>
    <w:rsid w:val="00B774B7"/>
    <w:rsid w:val="00B8037A"/>
    <w:rsid w:val="00B80910"/>
    <w:rsid w:val="00B80B71"/>
    <w:rsid w:val="00B81386"/>
    <w:rsid w:val="00B818F4"/>
    <w:rsid w:val="00B81BC9"/>
    <w:rsid w:val="00B8220F"/>
    <w:rsid w:val="00B8222F"/>
    <w:rsid w:val="00B822B7"/>
    <w:rsid w:val="00B82615"/>
    <w:rsid w:val="00B829BE"/>
    <w:rsid w:val="00B82CF3"/>
    <w:rsid w:val="00B82EA0"/>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542"/>
    <w:rsid w:val="00BA2FEF"/>
    <w:rsid w:val="00BA3D6F"/>
    <w:rsid w:val="00BA4F1C"/>
    <w:rsid w:val="00BA584C"/>
    <w:rsid w:val="00BA5E62"/>
    <w:rsid w:val="00BA6425"/>
    <w:rsid w:val="00BA66A2"/>
    <w:rsid w:val="00BA6D52"/>
    <w:rsid w:val="00BA7E34"/>
    <w:rsid w:val="00BA7E4E"/>
    <w:rsid w:val="00BA7E92"/>
    <w:rsid w:val="00BA7F3D"/>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2D0"/>
    <w:rsid w:val="00BC4343"/>
    <w:rsid w:val="00BC442C"/>
    <w:rsid w:val="00BC46EF"/>
    <w:rsid w:val="00BC4A0D"/>
    <w:rsid w:val="00BC50E7"/>
    <w:rsid w:val="00BC6BC1"/>
    <w:rsid w:val="00BC6FD6"/>
    <w:rsid w:val="00BC793D"/>
    <w:rsid w:val="00BD008E"/>
    <w:rsid w:val="00BD03A8"/>
    <w:rsid w:val="00BD0444"/>
    <w:rsid w:val="00BD051B"/>
    <w:rsid w:val="00BD0653"/>
    <w:rsid w:val="00BD0F02"/>
    <w:rsid w:val="00BD1B9B"/>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849"/>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4A6"/>
    <w:rsid w:val="00BF056E"/>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BF750C"/>
    <w:rsid w:val="00C00505"/>
    <w:rsid w:val="00C010A2"/>
    <w:rsid w:val="00C01253"/>
    <w:rsid w:val="00C01671"/>
    <w:rsid w:val="00C019FF"/>
    <w:rsid w:val="00C01BFB"/>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9B"/>
    <w:rsid w:val="00C312BD"/>
    <w:rsid w:val="00C31BFF"/>
    <w:rsid w:val="00C32217"/>
    <w:rsid w:val="00C322C1"/>
    <w:rsid w:val="00C327E7"/>
    <w:rsid w:val="00C32B5A"/>
    <w:rsid w:val="00C32EC0"/>
    <w:rsid w:val="00C3397A"/>
    <w:rsid w:val="00C3400F"/>
    <w:rsid w:val="00C344A0"/>
    <w:rsid w:val="00C34B64"/>
    <w:rsid w:val="00C34C36"/>
    <w:rsid w:val="00C34F37"/>
    <w:rsid w:val="00C352B3"/>
    <w:rsid w:val="00C35C24"/>
    <w:rsid w:val="00C3654C"/>
    <w:rsid w:val="00C3656F"/>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17E"/>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4BE7"/>
    <w:rsid w:val="00C654E0"/>
    <w:rsid w:val="00C67719"/>
    <w:rsid w:val="00C67EAB"/>
    <w:rsid w:val="00C70DFF"/>
    <w:rsid w:val="00C71CB4"/>
    <w:rsid w:val="00C72B94"/>
    <w:rsid w:val="00C72D64"/>
    <w:rsid w:val="00C745E6"/>
    <w:rsid w:val="00C74FEE"/>
    <w:rsid w:val="00C7542E"/>
    <w:rsid w:val="00C75A6B"/>
    <w:rsid w:val="00C761FE"/>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1DE3"/>
    <w:rsid w:val="00C92C7F"/>
    <w:rsid w:val="00C9369D"/>
    <w:rsid w:val="00C9383D"/>
    <w:rsid w:val="00C944FA"/>
    <w:rsid w:val="00C95617"/>
    <w:rsid w:val="00C957B6"/>
    <w:rsid w:val="00C95854"/>
    <w:rsid w:val="00C959FD"/>
    <w:rsid w:val="00C95D24"/>
    <w:rsid w:val="00C95E71"/>
    <w:rsid w:val="00C95EFF"/>
    <w:rsid w:val="00C96A2A"/>
    <w:rsid w:val="00C96AE7"/>
    <w:rsid w:val="00C96E6F"/>
    <w:rsid w:val="00C97872"/>
    <w:rsid w:val="00CA0532"/>
    <w:rsid w:val="00CA0818"/>
    <w:rsid w:val="00CA0B4C"/>
    <w:rsid w:val="00CA17DE"/>
    <w:rsid w:val="00CA221D"/>
    <w:rsid w:val="00CA2241"/>
    <w:rsid w:val="00CA3CDD"/>
    <w:rsid w:val="00CA3F67"/>
    <w:rsid w:val="00CA402A"/>
    <w:rsid w:val="00CA403B"/>
    <w:rsid w:val="00CA46C8"/>
    <w:rsid w:val="00CA505A"/>
    <w:rsid w:val="00CA53BD"/>
    <w:rsid w:val="00CA572A"/>
    <w:rsid w:val="00CA59DD"/>
    <w:rsid w:val="00CA6849"/>
    <w:rsid w:val="00CB008E"/>
    <w:rsid w:val="00CB01FA"/>
    <w:rsid w:val="00CB0737"/>
    <w:rsid w:val="00CB097A"/>
    <w:rsid w:val="00CB0E3E"/>
    <w:rsid w:val="00CB1BF3"/>
    <w:rsid w:val="00CB24A2"/>
    <w:rsid w:val="00CB26EC"/>
    <w:rsid w:val="00CB2881"/>
    <w:rsid w:val="00CB2D2A"/>
    <w:rsid w:val="00CB32E4"/>
    <w:rsid w:val="00CB3808"/>
    <w:rsid w:val="00CB4073"/>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58"/>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BCB"/>
    <w:rsid w:val="00CD6A95"/>
    <w:rsid w:val="00CD6B7C"/>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5D63"/>
    <w:rsid w:val="00CE6972"/>
    <w:rsid w:val="00CE75DD"/>
    <w:rsid w:val="00CE78AE"/>
    <w:rsid w:val="00CE7E62"/>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CF7F77"/>
    <w:rsid w:val="00D001A4"/>
    <w:rsid w:val="00D004FA"/>
    <w:rsid w:val="00D01967"/>
    <w:rsid w:val="00D01B21"/>
    <w:rsid w:val="00D01E2F"/>
    <w:rsid w:val="00D028FF"/>
    <w:rsid w:val="00D030B7"/>
    <w:rsid w:val="00D03102"/>
    <w:rsid w:val="00D03420"/>
    <w:rsid w:val="00D03727"/>
    <w:rsid w:val="00D0378A"/>
    <w:rsid w:val="00D03D32"/>
    <w:rsid w:val="00D04289"/>
    <w:rsid w:val="00D04E17"/>
    <w:rsid w:val="00D05132"/>
    <w:rsid w:val="00D0545E"/>
    <w:rsid w:val="00D05479"/>
    <w:rsid w:val="00D05EA9"/>
    <w:rsid w:val="00D05F0A"/>
    <w:rsid w:val="00D067FB"/>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20B8B"/>
    <w:rsid w:val="00D2162C"/>
    <w:rsid w:val="00D217E9"/>
    <w:rsid w:val="00D21A3C"/>
    <w:rsid w:val="00D233F1"/>
    <w:rsid w:val="00D23BA4"/>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1BCF"/>
    <w:rsid w:val="00D32786"/>
    <w:rsid w:val="00D328DA"/>
    <w:rsid w:val="00D32A09"/>
    <w:rsid w:val="00D3323C"/>
    <w:rsid w:val="00D33456"/>
    <w:rsid w:val="00D336CF"/>
    <w:rsid w:val="00D3396F"/>
    <w:rsid w:val="00D33D4D"/>
    <w:rsid w:val="00D34988"/>
    <w:rsid w:val="00D34A0B"/>
    <w:rsid w:val="00D3567F"/>
    <w:rsid w:val="00D36234"/>
    <w:rsid w:val="00D36371"/>
    <w:rsid w:val="00D364C2"/>
    <w:rsid w:val="00D37547"/>
    <w:rsid w:val="00D3768F"/>
    <w:rsid w:val="00D41005"/>
    <w:rsid w:val="00D41C80"/>
    <w:rsid w:val="00D41CC4"/>
    <w:rsid w:val="00D4229C"/>
    <w:rsid w:val="00D42B94"/>
    <w:rsid w:val="00D437D8"/>
    <w:rsid w:val="00D44994"/>
    <w:rsid w:val="00D44E40"/>
    <w:rsid w:val="00D45630"/>
    <w:rsid w:val="00D45C8D"/>
    <w:rsid w:val="00D45DF3"/>
    <w:rsid w:val="00D46174"/>
    <w:rsid w:val="00D47DD0"/>
    <w:rsid w:val="00D50183"/>
    <w:rsid w:val="00D505A3"/>
    <w:rsid w:val="00D51D12"/>
    <w:rsid w:val="00D521B2"/>
    <w:rsid w:val="00D523C9"/>
    <w:rsid w:val="00D52F94"/>
    <w:rsid w:val="00D5362B"/>
    <w:rsid w:val="00D53C29"/>
    <w:rsid w:val="00D54500"/>
    <w:rsid w:val="00D54536"/>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615"/>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5E6"/>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7E8"/>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49F"/>
    <w:rsid w:val="00DA2575"/>
    <w:rsid w:val="00DA26BA"/>
    <w:rsid w:val="00DA272E"/>
    <w:rsid w:val="00DA2DBA"/>
    <w:rsid w:val="00DA2ED7"/>
    <w:rsid w:val="00DA33B7"/>
    <w:rsid w:val="00DA3E7A"/>
    <w:rsid w:val="00DA3EF7"/>
    <w:rsid w:val="00DA3F5B"/>
    <w:rsid w:val="00DA430C"/>
    <w:rsid w:val="00DA4DE3"/>
    <w:rsid w:val="00DA4E38"/>
    <w:rsid w:val="00DA5471"/>
    <w:rsid w:val="00DA615D"/>
    <w:rsid w:val="00DA6598"/>
    <w:rsid w:val="00DA6C0F"/>
    <w:rsid w:val="00DA702F"/>
    <w:rsid w:val="00DA714D"/>
    <w:rsid w:val="00DA7500"/>
    <w:rsid w:val="00DA764C"/>
    <w:rsid w:val="00DA7F8A"/>
    <w:rsid w:val="00DB0176"/>
    <w:rsid w:val="00DB0404"/>
    <w:rsid w:val="00DB0545"/>
    <w:rsid w:val="00DB069C"/>
    <w:rsid w:val="00DB06C9"/>
    <w:rsid w:val="00DB08DD"/>
    <w:rsid w:val="00DB0E59"/>
    <w:rsid w:val="00DB0F03"/>
    <w:rsid w:val="00DB11F8"/>
    <w:rsid w:val="00DB18F8"/>
    <w:rsid w:val="00DB1F2A"/>
    <w:rsid w:val="00DB2175"/>
    <w:rsid w:val="00DB297F"/>
    <w:rsid w:val="00DB2C83"/>
    <w:rsid w:val="00DB3153"/>
    <w:rsid w:val="00DB317A"/>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3BE6"/>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D4E"/>
    <w:rsid w:val="00DD7072"/>
    <w:rsid w:val="00DD79A6"/>
    <w:rsid w:val="00DE0443"/>
    <w:rsid w:val="00DE068C"/>
    <w:rsid w:val="00DE0E59"/>
    <w:rsid w:val="00DE0F6C"/>
    <w:rsid w:val="00DE12F0"/>
    <w:rsid w:val="00DE1A69"/>
    <w:rsid w:val="00DE219B"/>
    <w:rsid w:val="00DE22AE"/>
    <w:rsid w:val="00DE3407"/>
    <w:rsid w:val="00DE37CA"/>
    <w:rsid w:val="00DE3979"/>
    <w:rsid w:val="00DE4B54"/>
    <w:rsid w:val="00DE4C15"/>
    <w:rsid w:val="00DE52E3"/>
    <w:rsid w:val="00DE57FA"/>
    <w:rsid w:val="00DE70CB"/>
    <w:rsid w:val="00DE73E6"/>
    <w:rsid w:val="00DE788B"/>
    <w:rsid w:val="00DE7C00"/>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C8B"/>
    <w:rsid w:val="00DF6F17"/>
    <w:rsid w:val="00DF6F28"/>
    <w:rsid w:val="00DF6F88"/>
    <w:rsid w:val="00DF7636"/>
    <w:rsid w:val="00DF78FA"/>
    <w:rsid w:val="00DF7960"/>
    <w:rsid w:val="00DF7AE1"/>
    <w:rsid w:val="00E0022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AB0"/>
    <w:rsid w:val="00E15E0E"/>
    <w:rsid w:val="00E16766"/>
    <w:rsid w:val="00E16771"/>
    <w:rsid w:val="00E174A2"/>
    <w:rsid w:val="00E17619"/>
    <w:rsid w:val="00E17805"/>
    <w:rsid w:val="00E178F3"/>
    <w:rsid w:val="00E17CAC"/>
    <w:rsid w:val="00E20112"/>
    <w:rsid w:val="00E203CF"/>
    <w:rsid w:val="00E20AD3"/>
    <w:rsid w:val="00E20F79"/>
    <w:rsid w:val="00E21278"/>
    <w:rsid w:val="00E2150A"/>
    <w:rsid w:val="00E2152C"/>
    <w:rsid w:val="00E22CCD"/>
    <w:rsid w:val="00E23296"/>
    <w:rsid w:val="00E239FC"/>
    <w:rsid w:val="00E23A11"/>
    <w:rsid w:val="00E23FB7"/>
    <w:rsid w:val="00E24A27"/>
    <w:rsid w:val="00E24B5C"/>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1A7E"/>
    <w:rsid w:val="00E32D62"/>
    <w:rsid w:val="00E33955"/>
    <w:rsid w:val="00E339DC"/>
    <w:rsid w:val="00E33E15"/>
    <w:rsid w:val="00E352B0"/>
    <w:rsid w:val="00E353A4"/>
    <w:rsid w:val="00E35923"/>
    <w:rsid w:val="00E361B8"/>
    <w:rsid w:val="00E36A1B"/>
    <w:rsid w:val="00E37DDE"/>
    <w:rsid w:val="00E40703"/>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71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5CE6"/>
    <w:rsid w:val="00E66248"/>
    <w:rsid w:val="00E66945"/>
    <w:rsid w:val="00E671C9"/>
    <w:rsid w:val="00E6743F"/>
    <w:rsid w:val="00E6758E"/>
    <w:rsid w:val="00E67DD9"/>
    <w:rsid w:val="00E67E23"/>
    <w:rsid w:val="00E70016"/>
    <w:rsid w:val="00E70018"/>
    <w:rsid w:val="00E70625"/>
    <w:rsid w:val="00E70658"/>
    <w:rsid w:val="00E708FB"/>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167"/>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87266"/>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ABC"/>
    <w:rsid w:val="00EA2CD9"/>
    <w:rsid w:val="00EA2FD5"/>
    <w:rsid w:val="00EA354A"/>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C05FD"/>
    <w:rsid w:val="00EC13E2"/>
    <w:rsid w:val="00EC1DCD"/>
    <w:rsid w:val="00EC2ADC"/>
    <w:rsid w:val="00EC2BF5"/>
    <w:rsid w:val="00EC2E2D"/>
    <w:rsid w:val="00EC363A"/>
    <w:rsid w:val="00EC370B"/>
    <w:rsid w:val="00EC391D"/>
    <w:rsid w:val="00EC420E"/>
    <w:rsid w:val="00EC462B"/>
    <w:rsid w:val="00EC4723"/>
    <w:rsid w:val="00EC4ECF"/>
    <w:rsid w:val="00EC56E0"/>
    <w:rsid w:val="00EC6057"/>
    <w:rsid w:val="00EC6847"/>
    <w:rsid w:val="00EC6C07"/>
    <w:rsid w:val="00EC6EB4"/>
    <w:rsid w:val="00EC7789"/>
    <w:rsid w:val="00EC7DB6"/>
    <w:rsid w:val="00ED162F"/>
    <w:rsid w:val="00ED1738"/>
    <w:rsid w:val="00ED2AE0"/>
    <w:rsid w:val="00ED2E52"/>
    <w:rsid w:val="00ED3024"/>
    <w:rsid w:val="00ED31DB"/>
    <w:rsid w:val="00ED35EE"/>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1C27"/>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348"/>
    <w:rsid w:val="00EF05BC"/>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1D4"/>
    <w:rsid w:val="00EF7228"/>
    <w:rsid w:val="00EF769B"/>
    <w:rsid w:val="00F00889"/>
    <w:rsid w:val="00F02651"/>
    <w:rsid w:val="00F027BA"/>
    <w:rsid w:val="00F03129"/>
    <w:rsid w:val="00F0350A"/>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6FA"/>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98"/>
    <w:rsid w:val="00F24DA7"/>
    <w:rsid w:val="00F24E21"/>
    <w:rsid w:val="00F24E27"/>
    <w:rsid w:val="00F24F0E"/>
    <w:rsid w:val="00F256ED"/>
    <w:rsid w:val="00F25A20"/>
    <w:rsid w:val="00F260B0"/>
    <w:rsid w:val="00F26252"/>
    <w:rsid w:val="00F2640F"/>
    <w:rsid w:val="00F272FD"/>
    <w:rsid w:val="00F27C34"/>
    <w:rsid w:val="00F27E46"/>
    <w:rsid w:val="00F301C2"/>
    <w:rsid w:val="00F30291"/>
    <w:rsid w:val="00F302E1"/>
    <w:rsid w:val="00F30366"/>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07FC"/>
    <w:rsid w:val="00F41595"/>
    <w:rsid w:val="00F41F05"/>
    <w:rsid w:val="00F433BD"/>
    <w:rsid w:val="00F43B95"/>
    <w:rsid w:val="00F43D00"/>
    <w:rsid w:val="00F444ED"/>
    <w:rsid w:val="00F44630"/>
    <w:rsid w:val="00F44EC5"/>
    <w:rsid w:val="00F4566B"/>
    <w:rsid w:val="00F470D6"/>
    <w:rsid w:val="00F47498"/>
    <w:rsid w:val="00F512B2"/>
    <w:rsid w:val="00F513A8"/>
    <w:rsid w:val="00F5283D"/>
    <w:rsid w:val="00F52ABA"/>
    <w:rsid w:val="00F52BC7"/>
    <w:rsid w:val="00F53BF4"/>
    <w:rsid w:val="00F54266"/>
    <w:rsid w:val="00F55043"/>
    <w:rsid w:val="00F5626D"/>
    <w:rsid w:val="00F56681"/>
    <w:rsid w:val="00F56B69"/>
    <w:rsid w:val="00F56DCF"/>
    <w:rsid w:val="00F57034"/>
    <w:rsid w:val="00F57B1F"/>
    <w:rsid w:val="00F60BE9"/>
    <w:rsid w:val="00F61B7B"/>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222B"/>
    <w:rsid w:val="00F72584"/>
    <w:rsid w:val="00F7260C"/>
    <w:rsid w:val="00F7264F"/>
    <w:rsid w:val="00F7290D"/>
    <w:rsid w:val="00F7302F"/>
    <w:rsid w:val="00F732EC"/>
    <w:rsid w:val="00F73D08"/>
    <w:rsid w:val="00F743D9"/>
    <w:rsid w:val="00F746C2"/>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06A"/>
    <w:rsid w:val="00F8325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781"/>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0F0A"/>
    <w:rsid w:val="00FC223F"/>
    <w:rsid w:val="00FC272A"/>
    <w:rsid w:val="00FC2E01"/>
    <w:rsid w:val="00FC4668"/>
    <w:rsid w:val="00FC4729"/>
    <w:rsid w:val="00FC4A8C"/>
    <w:rsid w:val="00FC4B5F"/>
    <w:rsid w:val="00FC53DB"/>
    <w:rsid w:val="00FC573C"/>
    <w:rsid w:val="00FC5E13"/>
    <w:rsid w:val="00FC5ED5"/>
    <w:rsid w:val="00FC5FC2"/>
    <w:rsid w:val="00FC6177"/>
    <w:rsid w:val="00FC6223"/>
    <w:rsid w:val="00FC6288"/>
    <w:rsid w:val="00FC63D1"/>
    <w:rsid w:val="00FC6E56"/>
    <w:rsid w:val="00FC7528"/>
    <w:rsid w:val="00FD0572"/>
    <w:rsid w:val="00FD0A9B"/>
    <w:rsid w:val="00FD1A97"/>
    <w:rsid w:val="00FD285E"/>
    <w:rsid w:val="00FD2A02"/>
    <w:rsid w:val="00FD2D7B"/>
    <w:rsid w:val="00FD3027"/>
    <w:rsid w:val="00FD3292"/>
    <w:rsid w:val="00FD37F6"/>
    <w:rsid w:val="00FD3E64"/>
    <w:rsid w:val="00FD40FA"/>
    <w:rsid w:val="00FD4589"/>
    <w:rsid w:val="00FD4608"/>
    <w:rsid w:val="00FD473E"/>
    <w:rsid w:val="00FD4C01"/>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91D"/>
    <w:rsid w:val="00FE1EAB"/>
    <w:rsid w:val="00FE23ED"/>
    <w:rsid w:val="00FE284B"/>
    <w:rsid w:val="00FE28FC"/>
    <w:rsid w:val="00FE2ACE"/>
    <w:rsid w:val="00FE2F3A"/>
    <w:rsid w:val="00FE3004"/>
    <w:rsid w:val="00FE3465"/>
    <w:rsid w:val="00FE35A6"/>
    <w:rsid w:val="00FE3CC4"/>
    <w:rsid w:val="00FE4681"/>
    <w:rsid w:val="00FE4C50"/>
    <w:rsid w:val="00FE4F6C"/>
    <w:rsid w:val="00FE5C6B"/>
    <w:rsid w:val="00FE5E83"/>
    <w:rsid w:val="00FE67CF"/>
    <w:rsid w:val="00FE6D20"/>
    <w:rsid w:val="00FE6FB9"/>
    <w:rsid w:val="00FE7549"/>
    <w:rsid w:val="00FE7BCC"/>
    <w:rsid w:val="00FE7CA0"/>
    <w:rsid w:val="00FF0832"/>
    <w:rsid w:val="00FF1153"/>
    <w:rsid w:val="00FF116C"/>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65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1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customStyle="1" w:styleId="discussionpointChar">
    <w:name w:val="discussion point Char"/>
    <w:link w:val="discussionpoint"/>
    <w:locked/>
    <w:rsid w:val="00D847E8"/>
    <w:rPr>
      <w:rFonts w:ascii="Batang" w:hAnsi="Batang"/>
    </w:rPr>
  </w:style>
  <w:style w:type="paragraph" w:customStyle="1" w:styleId="discussionpoint">
    <w:name w:val="discussion point"/>
    <w:basedOn w:val="Normal"/>
    <w:link w:val="discussionpointChar"/>
    <w:rsid w:val="00D847E8"/>
    <w:pPr>
      <w:overflowPunct w:val="0"/>
      <w:adjustRightInd/>
      <w:spacing w:after="60" w:line="252" w:lineRule="auto"/>
    </w:pPr>
    <w:rPr>
      <w:rFonts w:ascii="Batang"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610933">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435440">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559127965">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27006462">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C73CFF84-C12B-4FDD-986F-1267EF0C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2395</Words>
  <Characters>13657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3</cp:revision>
  <cp:lastPrinted>2007-06-18T23:08:00Z</cp:lastPrinted>
  <dcterms:created xsi:type="dcterms:W3CDTF">2021-08-06T20:10:00Z</dcterms:created>
  <dcterms:modified xsi:type="dcterms:W3CDTF">2021-08-06T20:10:00Z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