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9D9185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65FE7"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547D02">
        <w:rPr>
          <w:rFonts w:ascii="Arial" w:hAnsi="Arial" w:cs="Arial"/>
          <w:b/>
          <w:noProof/>
          <w:kern w:val="2"/>
          <w:lang w:eastAsia="zh-CN"/>
        </w:rPr>
        <w:t>6</w:t>
      </w:r>
      <w:r w:rsidR="00A259AC">
        <w:rPr>
          <w:rFonts w:ascii="Arial" w:hAnsi="Arial" w:cs="Arial"/>
          <w:b/>
          <w:noProof/>
          <w:kern w:val="2"/>
          <w:lang w:eastAsia="zh-CN"/>
        </w:rPr>
        <w:t>-e</w:t>
      </w:r>
      <w:r w:rsidR="00972929" w:rsidRPr="00D74B92">
        <w:rPr>
          <w:rFonts w:ascii="Arial" w:hAnsi="Arial" w:cs="Arial"/>
          <w:b/>
          <w:kern w:val="2"/>
          <w:lang w:eastAsia="zh-CN"/>
        </w:rPr>
        <w:tab/>
      </w:r>
      <w:r w:rsidR="00044919" w:rsidRPr="00044919">
        <w:rPr>
          <w:rFonts w:ascii="Arial" w:hAnsi="Arial" w:cs="Arial"/>
          <w:b/>
          <w:kern w:val="2"/>
          <w:lang w:eastAsia="zh-CN"/>
        </w:rPr>
        <w:t>R1-2107090</w:t>
      </w:r>
    </w:p>
    <w:p w14:paraId="2A9D85E6" w14:textId="07E45D98"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547D02">
        <w:rPr>
          <w:rFonts w:ascii="Arial" w:hAnsi="Arial" w:cs="Arial"/>
          <w:b/>
          <w:kern w:val="2"/>
          <w:lang w:eastAsia="zh-CN"/>
        </w:rPr>
        <w:t>August</w:t>
      </w:r>
      <w:r w:rsidRPr="000F75A1">
        <w:rPr>
          <w:rFonts w:ascii="Arial" w:hAnsi="Arial" w:cs="Arial"/>
          <w:b/>
          <w:kern w:val="2"/>
          <w:lang w:eastAsia="zh-CN"/>
        </w:rPr>
        <w:t xml:space="preserve"> </w:t>
      </w:r>
      <w:r w:rsidR="00653927">
        <w:rPr>
          <w:rFonts w:ascii="Arial" w:hAnsi="Arial" w:cs="Arial"/>
          <w:b/>
          <w:kern w:val="2"/>
          <w:lang w:eastAsia="zh-CN"/>
        </w:rPr>
        <w:t>1</w:t>
      </w:r>
      <w:r w:rsidR="00547D02">
        <w:rPr>
          <w:rFonts w:ascii="Arial" w:hAnsi="Arial" w:cs="Arial"/>
          <w:b/>
          <w:kern w:val="2"/>
          <w:lang w:eastAsia="zh-CN"/>
        </w:rPr>
        <w:t>6</w:t>
      </w:r>
      <w:r w:rsidRPr="000F75A1">
        <w:rPr>
          <w:rFonts w:ascii="Arial" w:hAnsi="Arial" w:cs="Arial"/>
          <w:b/>
          <w:kern w:val="2"/>
          <w:lang w:eastAsia="zh-CN"/>
        </w:rPr>
        <w:t xml:space="preserve"> – </w:t>
      </w:r>
      <w:r w:rsidR="00653927">
        <w:rPr>
          <w:rFonts w:ascii="Arial" w:hAnsi="Arial" w:cs="Arial"/>
          <w:b/>
          <w:kern w:val="2"/>
          <w:lang w:eastAsia="zh-CN"/>
        </w:rPr>
        <w:t>27</w:t>
      </w:r>
      <w:r w:rsidRPr="000F75A1">
        <w:rPr>
          <w:rFonts w:ascii="Arial" w:hAnsi="Arial" w:cs="Arial"/>
          <w:b/>
          <w:kern w:val="2"/>
          <w:lang w:eastAsia="zh-CN"/>
        </w:rPr>
        <w:t>, 202</w:t>
      </w:r>
      <w:r w:rsidR="00C90627">
        <w:rPr>
          <w:rFonts w:ascii="Arial" w:hAnsi="Arial" w:cs="Arial"/>
          <w:b/>
          <w:kern w:val="2"/>
          <w:lang w:eastAsia="zh-CN"/>
        </w:rPr>
        <w:t>1</w:t>
      </w:r>
    </w:p>
    <w:p w14:paraId="7826937B" w14:textId="627FE55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w:t>
      </w:r>
      <w:r w:rsidR="00D74F6E">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1443C06" w14:textId="6BD70DFB" w:rsidR="004458A9"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47D02" w:rsidRPr="00547D02">
        <w:rPr>
          <w:rFonts w:ascii="Arial" w:hAnsi="Arial" w:cs="Arial"/>
          <w:b/>
          <w:lang w:eastAsia="zh-CN"/>
        </w:rPr>
        <w:t>Discussion on the Identification of RedCap UEs</w:t>
      </w:r>
    </w:p>
    <w:p w14:paraId="62BCD72B" w14:textId="5BCA0C3C"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97D2B2E" w14:textId="1651CB5B" w:rsidR="004458A9" w:rsidRDefault="00E834AF" w:rsidP="002F718C">
      <w:pPr>
        <w:rPr>
          <w:rFonts w:eastAsia="Yu Mincho"/>
          <w:bCs/>
          <w:iCs/>
          <w:lang w:eastAsia="ja-JP"/>
        </w:rPr>
      </w:pPr>
      <w:r>
        <w:t>In t</w:t>
      </w:r>
      <w:r w:rsidR="00653927">
        <w:t xml:space="preserve">he 3GPP Rel-17 work item for reduced capability (RedCap) devices </w:t>
      </w:r>
      <w:r w:rsidR="00653927">
        <w:fldChar w:fldCharType="begin"/>
      </w:r>
      <w:r w:rsidR="00653927">
        <w:instrText xml:space="preserve"> REF _Ref60902124 \r \h </w:instrText>
      </w:r>
      <w:r w:rsidR="00653927">
        <w:fldChar w:fldCharType="separate"/>
      </w:r>
      <w:r w:rsidR="00303724">
        <w:t>[1]</w:t>
      </w:r>
      <w:r w:rsidR="00653927">
        <w:fldChar w:fldCharType="end"/>
      </w:r>
      <w:r>
        <w:rPr>
          <w:rFonts w:eastAsia="Yu Mincho"/>
          <w:bCs/>
          <w:iCs/>
          <w:lang w:eastAsia="ja-JP"/>
        </w:rPr>
        <w:t>,</w:t>
      </w:r>
      <w:r w:rsidR="004D6BA8">
        <w:rPr>
          <w:rFonts w:eastAsia="Yu Mincho"/>
          <w:bCs/>
          <w:iCs/>
          <w:lang w:eastAsia="ja-JP"/>
        </w:rPr>
        <w:t xml:space="preserve"> </w:t>
      </w:r>
      <w:r>
        <w:rPr>
          <w:rFonts w:eastAsia="Yu Mincho"/>
          <w:bCs/>
          <w:iCs/>
          <w:lang w:eastAsia="ja-JP"/>
        </w:rPr>
        <w:t>the objectives</w:t>
      </w:r>
      <w:r w:rsidR="004D6BA8">
        <w:rPr>
          <w:rFonts w:eastAsia="Yu Mincho"/>
          <w:bCs/>
          <w:iCs/>
          <w:lang w:eastAsia="ja-JP"/>
        </w:rPr>
        <w:t xml:space="preserve"> </w:t>
      </w:r>
      <w:r w:rsidR="00122B25">
        <w:rPr>
          <w:rFonts w:eastAsia="Yu Mincho"/>
          <w:bCs/>
          <w:iCs/>
          <w:lang w:eastAsia="ja-JP"/>
        </w:rPr>
        <w:t>include</w:t>
      </w:r>
      <w:r w:rsidR="004D6BA8">
        <w:rPr>
          <w:rFonts w:eastAsia="Yu Mincho"/>
          <w:bCs/>
          <w:iCs/>
          <w:lang w:eastAsia="ja-JP"/>
        </w:rPr>
        <w:t xml:space="preserve"> </w:t>
      </w:r>
      <w:r w:rsidR="0048094D">
        <w:rPr>
          <w:rFonts w:eastAsia="Yu Mincho"/>
          <w:bCs/>
          <w:iCs/>
          <w:lang w:eastAsia="ja-JP"/>
        </w:rPr>
        <w:t>specifying</w:t>
      </w:r>
      <w:r w:rsidR="00276D8B" w:rsidRPr="00276D8B">
        <w:t xml:space="preserve"> </w:t>
      </w:r>
      <w:r w:rsidR="00276D8B" w:rsidRPr="00276D8B">
        <w:rPr>
          <w:rFonts w:eastAsia="Yu Mincho"/>
          <w:bCs/>
          <w:iCs/>
          <w:lang w:eastAsia="ja-JP"/>
        </w:rPr>
        <w:t xml:space="preserve">support for </w:t>
      </w:r>
      <w:r w:rsidR="00613D5C">
        <w:rPr>
          <w:rFonts w:eastAsia="Yu Mincho"/>
          <w:bCs/>
          <w:iCs/>
          <w:lang w:eastAsia="ja-JP"/>
        </w:rPr>
        <w:t>a handful of</w:t>
      </w:r>
      <w:r w:rsidR="00276D8B" w:rsidRPr="00276D8B">
        <w:rPr>
          <w:rFonts w:eastAsia="Yu Mincho"/>
          <w:bCs/>
          <w:iCs/>
          <w:lang w:eastAsia="ja-JP"/>
        </w:rPr>
        <w:t xml:space="preserve"> UE complexity reduction features</w:t>
      </w:r>
      <w:r w:rsidR="00D37E8E">
        <w:rPr>
          <w:rFonts w:eastAsia="Yu Mincho"/>
          <w:bCs/>
          <w:iCs/>
          <w:lang w:eastAsia="ja-JP"/>
        </w:rPr>
        <w:t xml:space="preserve">, and the </w:t>
      </w:r>
      <w:r w:rsidR="00001E84">
        <w:rPr>
          <w:rFonts w:eastAsia="Yu Mincho"/>
          <w:bCs/>
          <w:iCs/>
          <w:lang w:eastAsia="ja-JP"/>
        </w:rPr>
        <w:t xml:space="preserve">corresponding </w:t>
      </w:r>
      <w:r w:rsidR="00D37E8E">
        <w:rPr>
          <w:rFonts w:eastAsia="Yu Mincho"/>
          <w:bCs/>
          <w:iCs/>
          <w:lang w:eastAsia="ja-JP"/>
        </w:rPr>
        <w:t>higher layer support:</w:t>
      </w:r>
    </w:p>
    <w:p w14:paraId="36C64253" w14:textId="77777777" w:rsidR="003079C4" w:rsidRPr="00FF38F9" w:rsidRDefault="003079C4" w:rsidP="003079C4">
      <w:pPr>
        <w:pStyle w:val="B1"/>
        <w:numPr>
          <w:ilvl w:val="0"/>
          <w:numId w:val="32"/>
        </w:numPr>
        <w:overflowPunct w:val="0"/>
        <w:autoSpaceDE w:val="0"/>
        <w:autoSpaceDN w:val="0"/>
        <w:adjustRightInd w:val="0"/>
        <w:jc w:val="both"/>
        <w:rPr>
          <w:rFonts w:eastAsia="SimSun"/>
          <w:bCs/>
          <w:i/>
          <w:iCs/>
          <w:lang w:val="en-US" w:eastAsia="ja-JP"/>
        </w:rPr>
      </w:pPr>
      <w:r w:rsidRPr="00FF38F9">
        <w:rPr>
          <w:rFonts w:eastAsia="SimSun"/>
          <w:bCs/>
          <w:i/>
          <w:i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6EEB360D" w14:textId="77777777" w:rsidR="003079C4" w:rsidRPr="00FF38F9" w:rsidRDefault="003079C4" w:rsidP="003079C4">
      <w:pPr>
        <w:pStyle w:val="B1"/>
        <w:numPr>
          <w:ilvl w:val="1"/>
          <w:numId w:val="32"/>
        </w:numPr>
        <w:overflowPunct w:val="0"/>
        <w:autoSpaceDE w:val="0"/>
        <w:autoSpaceDN w:val="0"/>
        <w:adjustRightInd w:val="0"/>
        <w:jc w:val="both"/>
        <w:rPr>
          <w:rFonts w:eastAsia="SimSun"/>
          <w:bCs/>
          <w:i/>
          <w:iCs/>
          <w:lang w:val="en-US" w:eastAsia="ja-JP"/>
        </w:rPr>
      </w:pPr>
      <w:r w:rsidRPr="00FF38F9">
        <w:rPr>
          <w:rFonts w:eastAsia="SimSun"/>
          <w:bCs/>
          <w:i/>
          <w:iCs/>
          <w:lang w:val="en-US" w:eastAsia="ja-JP"/>
        </w:rPr>
        <w:t>The existing UE capability framework is used; changes to capability signalling are specified only if necessary.</w:t>
      </w:r>
    </w:p>
    <w:p w14:paraId="50859100" w14:textId="77777777" w:rsidR="003079C4" w:rsidRPr="00FF38F9" w:rsidRDefault="003079C4" w:rsidP="003079C4">
      <w:pPr>
        <w:pStyle w:val="B1"/>
        <w:numPr>
          <w:ilvl w:val="0"/>
          <w:numId w:val="32"/>
        </w:numPr>
        <w:overflowPunct w:val="0"/>
        <w:autoSpaceDE w:val="0"/>
        <w:autoSpaceDN w:val="0"/>
        <w:adjustRightInd w:val="0"/>
        <w:jc w:val="both"/>
        <w:rPr>
          <w:rFonts w:eastAsia="SimSun"/>
          <w:bCs/>
          <w:i/>
          <w:iCs/>
          <w:lang w:val="en-US" w:eastAsia="ja-JP"/>
        </w:rPr>
      </w:pPr>
      <w:r w:rsidRPr="00FF38F9">
        <w:rPr>
          <w:rFonts w:eastAsia="SimSun"/>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06833142" w14:textId="06783F5D" w:rsidR="00741672" w:rsidRPr="004458A9" w:rsidRDefault="00E834AF" w:rsidP="002F718C">
      <w:pPr>
        <w:rPr>
          <w:rFonts w:eastAsia="Yu Mincho"/>
          <w:bCs/>
          <w:iCs/>
          <w:lang w:eastAsia="ja-JP"/>
        </w:rPr>
      </w:pPr>
      <w:r>
        <w:rPr>
          <w:rFonts w:eastAsia="Yu Mincho"/>
          <w:bCs/>
          <w:iCs/>
          <w:lang w:eastAsia="ja-JP"/>
        </w:rPr>
        <w:t>In RAN1#105, discussions were made regarding early indication, 2-step RACH, UE type and capabilities. While several agreements were reached and an LS sent</w:t>
      </w:r>
      <w:r w:rsidR="00BE35D0">
        <w:rPr>
          <w:rFonts w:eastAsia="Yu Mincho"/>
          <w:bCs/>
          <w:iCs/>
          <w:lang w:eastAsia="ja-JP"/>
        </w:rPr>
        <w:t>, there were some working assumptions and topics not concluded / agreed</w:t>
      </w:r>
      <w:r w:rsidR="003079C4" w:rsidRPr="003079C4">
        <w:rPr>
          <w:rFonts w:eastAsia="Yu Mincho"/>
          <w:bCs/>
          <w:iCs/>
          <w:lang w:eastAsia="ja-JP"/>
        </w:rPr>
        <w:t xml:space="preserve">. </w:t>
      </w:r>
      <w:r w:rsidR="000A0992" w:rsidRPr="003079C4">
        <w:rPr>
          <w:rFonts w:eastAsia="Yu Mincho"/>
          <w:bCs/>
          <w:iCs/>
          <w:lang w:eastAsia="ja-JP"/>
        </w:rPr>
        <w:t>Th</w:t>
      </w:r>
      <w:r w:rsidR="000A0992">
        <w:rPr>
          <w:rFonts w:eastAsia="Yu Mincho"/>
          <w:bCs/>
          <w:iCs/>
          <w:lang w:eastAsia="ja-JP"/>
        </w:rPr>
        <w:t>is</w:t>
      </w:r>
      <w:r w:rsidR="000A0992" w:rsidRPr="003079C4">
        <w:rPr>
          <w:rFonts w:eastAsia="Yu Mincho"/>
          <w:bCs/>
          <w:iCs/>
          <w:lang w:eastAsia="ja-JP"/>
        </w:rPr>
        <w:t xml:space="preserve"> </w:t>
      </w:r>
      <w:r w:rsidR="003079C4" w:rsidRPr="003079C4">
        <w:rPr>
          <w:rFonts w:eastAsia="Yu Mincho"/>
          <w:bCs/>
          <w:iCs/>
          <w:lang w:eastAsia="ja-JP"/>
        </w:rPr>
        <w:t xml:space="preserve">contribution </w:t>
      </w:r>
      <w:r w:rsidR="00BE35D0">
        <w:rPr>
          <w:rFonts w:eastAsia="Yu Mincho"/>
          <w:bCs/>
          <w:iCs/>
          <w:lang w:eastAsia="ja-JP"/>
        </w:rPr>
        <w:t>discusses the working assumptions and provides proposals</w:t>
      </w:r>
      <w:r w:rsidR="004E5E19">
        <w:rPr>
          <w:rFonts w:eastAsia="Yu Mincho"/>
          <w:bCs/>
          <w:iCs/>
          <w:lang w:eastAsia="ja-JP"/>
        </w:rPr>
        <w:t>.</w:t>
      </w:r>
    </w:p>
    <w:p w14:paraId="38A7F13E" w14:textId="7C039E68" w:rsidR="00D05F0A" w:rsidRDefault="00087F03" w:rsidP="00260236">
      <w:pPr>
        <w:pStyle w:val="Heading1"/>
      </w:pPr>
      <w:r>
        <w:t>Discussion</w:t>
      </w:r>
    </w:p>
    <w:p w14:paraId="31E0EFD9" w14:textId="16565252" w:rsidR="009A267E" w:rsidRPr="009A267E" w:rsidRDefault="009A267E" w:rsidP="009A267E">
      <w:pPr>
        <w:pStyle w:val="Heading2"/>
      </w:pPr>
      <w:r>
        <w:t>Early indication</w:t>
      </w:r>
    </w:p>
    <w:p w14:paraId="35969FC1" w14:textId="6AE7265B" w:rsidR="00547D02" w:rsidRDefault="00547D02" w:rsidP="00547D02">
      <w:r>
        <w:t>In RAN1#105, the following working assumption and conditional agreement were made</w:t>
      </w:r>
      <w:r w:rsidR="009A267E">
        <w:t xml:space="preserve"> regarding early indication</w:t>
      </w:r>
      <w:r w:rsidR="00124B5A">
        <w:t xml:space="preserve"> </w:t>
      </w:r>
      <w:r w:rsidR="00124B5A">
        <w:fldChar w:fldCharType="begin"/>
      </w:r>
      <w:r w:rsidR="00124B5A">
        <w:instrText xml:space="preserve"> REF _Ref71475691 \r \h </w:instrText>
      </w:r>
      <w:r w:rsidR="00124B5A">
        <w:fldChar w:fldCharType="separate"/>
      </w:r>
      <w:r w:rsidR="00124B5A">
        <w:t>[3]</w:t>
      </w:r>
      <w:r w:rsidR="00124B5A">
        <w:fldChar w:fldCharType="end"/>
      </w:r>
      <w:r w:rsidR="009A267E">
        <w:t>.</w:t>
      </w:r>
    </w:p>
    <w:tbl>
      <w:tblPr>
        <w:tblStyle w:val="TableGrid"/>
        <w:tblW w:w="0" w:type="auto"/>
        <w:tblLook w:val="04A0" w:firstRow="1" w:lastRow="0" w:firstColumn="1" w:lastColumn="0" w:noHBand="0" w:noVBand="1"/>
      </w:tblPr>
      <w:tblGrid>
        <w:gridCol w:w="9307"/>
      </w:tblGrid>
      <w:tr w:rsidR="00547D02" w14:paraId="635B793F" w14:textId="77777777" w:rsidTr="00547D02">
        <w:tc>
          <w:tcPr>
            <w:tcW w:w="9307" w:type="dxa"/>
          </w:tcPr>
          <w:p w14:paraId="19FC108C" w14:textId="77777777" w:rsidR="00547D02" w:rsidRPr="00547D02" w:rsidRDefault="00547D02" w:rsidP="00547D02">
            <w:pPr>
              <w:rPr>
                <w:rFonts w:eastAsia="Batang"/>
                <w:sz w:val="20"/>
                <w:highlight w:val="darkYellow"/>
              </w:rPr>
            </w:pPr>
            <w:r w:rsidRPr="00547D02">
              <w:rPr>
                <w:sz w:val="20"/>
                <w:szCs w:val="20"/>
                <w:highlight w:val="darkYellow"/>
              </w:rPr>
              <w:t>Working assumption:</w:t>
            </w:r>
          </w:p>
          <w:p w14:paraId="76138B5F" w14:textId="77777777" w:rsidR="00547D02" w:rsidRPr="00547D02" w:rsidRDefault="00547D02" w:rsidP="00547D02">
            <w:pPr>
              <w:numPr>
                <w:ilvl w:val="0"/>
                <w:numId w:val="46"/>
              </w:numPr>
              <w:autoSpaceDE/>
              <w:autoSpaceDN/>
              <w:adjustRightInd/>
              <w:snapToGrid/>
              <w:spacing w:after="0"/>
              <w:jc w:val="left"/>
              <w:rPr>
                <w:rFonts w:eastAsia="Times New Roman"/>
                <w:sz w:val="20"/>
                <w:szCs w:val="20"/>
                <w:lang w:eastAsia="ja-JP"/>
              </w:rPr>
            </w:pPr>
            <w:r w:rsidRPr="00547D02">
              <w:rPr>
                <w:rFonts w:eastAsia="Times New Roman"/>
                <w:sz w:val="20"/>
                <w:szCs w:val="20"/>
                <w:lang w:eastAsia="zh-CN"/>
              </w:rPr>
              <w:t>For 4-step RACH, support the early indication of RedCap UEs at least in Msg1.</w:t>
            </w:r>
          </w:p>
          <w:p w14:paraId="66D6A469" w14:textId="77777777" w:rsidR="00547D02" w:rsidRPr="00547D02" w:rsidRDefault="00547D02" w:rsidP="00547D02">
            <w:pPr>
              <w:numPr>
                <w:ilvl w:val="1"/>
                <w:numId w:val="46"/>
              </w:numPr>
              <w:autoSpaceDE/>
              <w:autoSpaceDN/>
              <w:adjustRightInd/>
              <w:snapToGrid/>
              <w:spacing w:after="0"/>
              <w:jc w:val="left"/>
              <w:rPr>
                <w:rFonts w:eastAsia="Times New Roman"/>
                <w:sz w:val="20"/>
                <w:szCs w:val="20"/>
                <w:lang w:eastAsia="ja-JP"/>
              </w:rPr>
            </w:pPr>
            <w:r w:rsidRPr="00547D02">
              <w:rPr>
                <w:rFonts w:eastAsia="Times New Roman"/>
                <w:sz w:val="20"/>
                <w:szCs w:val="20"/>
                <w:lang w:eastAsia="ja-JP"/>
              </w:rPr>
              <w:t>The early indication in Msg1 can be configured to be enabled/disabled</w:t>
            </w:r>
          </w:p>
          <w:p w14:paraId="536E355F" w14:textId="77777777" w:rsidR="00547D02" w:rsidRPr="00547D02" w:rsidRDefault="00547D02" w:rsidP="00547D02">
            <w:pPr>
              <w:numPr>
                <w:ilvl w:val="2"/>
                <w:numId w:val="46"/>
              </w:numPr>
              <w:autoSpaceDE/>
              <w:autoSpaceDN/>
              <w:adjustRightInd/>
              <w:snapToGrid/>
              <w:spacing w:after="0"/>
              <w:jc w:val="left"/>
              <w:rPr>
                <w:rFonts w:eastAsia="Times New Roman"/>
                <w:sz w:val="20"/>
                <w:szCs w:val="20"/>
                <w:lang w:eastAsia="ja-JP"/>
              </w:rPr>
            </w:pPr>
            <w:r w:rsidRPr="00547D02">
              <w:rPr>
                <w:rFonts w:eastAsia="Times New Roman"/>
                <w:sz w:val="20"/>
                <w:szCs w:val="20"/>
                <w:lang w:eastAsia="ja-JP"/>
              </w:rPr>
              <w:t>FFS How to support enable/disable the early indication</w:t>
            </w:r>
          </w:p>
          <w:p w14:paraId="46026690" w14:textId="77777777" w:rsidR="00547D02" w:rsidRPr="00547D02" w:rsidRDefault="00547D02" w:rsidP="00547D02">
            <w:pPr>
              <w:numPr>
                <w:ilvl w:val="1"/>
                <w:numId w:val="46"/>
              </w:numPr>
              <w:autoSpaceDE/>
              <w:autoSpaceDN/>
              <w:adjustRightInd/>
              <w:snapToGrid/>
              <w:spacing w:after="0"/>
              <w:jc w:val="left"/>
              <w:rPr>
                <w:rFonts w:eastAsia="Times New Roman"/>
                <w:sz w:val="20"/>
                <w:szCs w:val="20"/>
                <w:lang w:eastAsia="ja-JP"/>
              </w:rPr>
            </w:pPr>
            <w:r w:rsidRPr="00547D02">
              <w:rPr>
                <w:rFonts w:eastAsia="Times New Roman"/>
                <w:sz w:val="20"/>
                <w:szCs w:val="20"/>
                <w:lang w:eastAsia="ja-JP"/>
              </w:rPr>
              <w:t>FFS details e.g.:</w:t>
            </w:r>
          </w:p>
          <w:p w14:paraId="65256F1D" w14:textId="77777777" w:rsidR="00547D02" w:rsidRPr="00547D02" w:rsidRDefault="00547D02" w:rsidP="00547D02">
            <w:pPr>
              <w:numPr>
                <w:ilvl w:val="2"/>
                <w:numId w:val="46"/>
              </w:numPr>
              <w:autoSpaceDE/>
              <w:autoSpaceDN/>
              <w:adjustRightInd/>
              <w:snapToGrid/>
              <w:spacing w:after="0"/>
              <w:jc w:val="left"/>
              <w:rPr>
                <w:rFonts w:eastAsia="Times New Roman"/>
                <w:sz w:val="20"/>
                <w:szCs w:val="20"/>
                <w:lang w:eastAsia="ja-JP"/>
              </w:rPr>
            </w:pPr>
            <w:r w:rsidRPr="00547D02">
              <w:rPr>
                <w:rFonts w:eastAsia="Times New Roman"/>
                <w:sz w:val="20"/>
                <w:szCs w:val="20"/>
                <w:lang w:eastAsia="ja-JP"/>
              </w:rPr>
              <w:t>separate initial UL BWP</w:t>
            </w:r>
          </w:p>
          <w:p w14:paraId="68248C57" w14:textId="77777777" w:rsidR="00547D02" w:rsidRPr="00547D02" w:rsidRDefault="00547D02" w:rsidP="00547D02">
            <w:pPr>
              <w:numPr>
                <w:ilvl w:val="2"/>
                <w:numId w:val="46"/>
              </w:numPr>
              <w:autoSpaceDE/>
              <w:autoSpaceDN/>
              <w:adjustRightInd/>
              <w:snapToGrid/>
              <w:spacing w:after="0"/>
              <w:jc w:val="left"/>
              <w:rPr>
                <w:rFonts w:eastAsia="Times New Roman"/>
                <w:sz w:val="20"/>
                <w:szCs w:val="20"/>
                <w:lang w:eastAsia="ja-JP"/>
              </w:rPr>
            </w:pPr>
            <w:r w:rsidRPr="00547D02">
              <w:rPr>
                <w:rFonts w:eastAsia="Times New Roman"/>
                <w:sz w:val="20"/>
                <w:szCs w:val="20"/>
                <w:lang w:eastAsia="ja-JP"/>
              </w:rPr>
              <w:t>separate PRACH resource</w:t>
            </w:r>
          </w:p>
          <w:p w14:paraId="5D28D985" w14:textId="77777777" w:rsidR="00547D02" w:rsidRPr="00547D02" w:rsidRDefault="00547D02" w:rsidP="00547D02">
            <w:pPr>
              <w:numPr>
                <w:ilvl w:val="2"/>
                <w:numId w:val="46"/>
              </w:numPr>
              <w:autoSpaceDE/>
              <w:autoSpaceDN/>
              <w:adjustRightInd/>
              <w:snapToGrid/>
              <w:spacing w:after="0"/>
              <w:jc w:val="left"/>
              <w:rPr>
                <w:rFonts w:eastAsia="Times New Roman"/>
                <w:sz w:val="20"/>
                <w:szCs w:val="20"/>
                <w:lang w:eastAsia="ja-JP"/>
              </w:rPr>
            </w:pPr>
            <w:r w:rsidRPr="00547D02">
              <w:rPr>
                <w:rFonts w:eastAsia="Times New Roman"/>
                <w:sz w:val="20"/>
                <w:szCs w:val="20"/>
                <w:lang w:eastAsia="ja-JP"/>
              </w:rPr>
              <w:t>PRACH preamble partitioning</w:t>
            </w:r>
          </w:p>
          <w:p w14:paraId="635C349E" w14:textId="058404CE" w:rsidR="00547D02" w:rsidRPr="00547D02" w:rsidRDefault="00547D02" w:rsidP="00547D02">
            <w:pPr>
              <w:numPr>
                <w:ilvl w:val="1"/>
                <w:numId w:val="46"/>
              </w:numPr>
              <w:autoSpaceDE/>
              <w:autoSpaceDN/>
              <w:adjustRightInd/>
              <w:snapToGrid/>
              <w:spacing w:after="0"/>
              <w:jc w:val="left"/>
              <w:rPr>
                <w:rFonts w:eastAsia="Times New Roman"/>
                <w:lang w:eastAsia="ja-JP"/>
              </w:rPr>
            </w:pPr>
            <w:r w:rsidRPr="00547D02">
              <w:rPr>
                <w:rFonts w:eastAsia="Times New Roman"/>
                <w:sz w:val="20"/>
                <w:szCs w:val="20"/>
                <w:lang w:eastAsia="ja-JP"/>
              </w:rPr>
              <w:t xml:space="preserve">FFS the possibility of supporting Msg3 for the early indication </w:t>
            </w:r>
          </w:p>
        </w:tc>
      </w:tr>
    </w:tbl>
    <w:p w14:paraId="66E4DD31" w14:textId="77777777" w:rsidR="00547D02" w:rsidRDefault="00547D02" w:rsidP="00547D02"/>
    <w:tbl>
      <w:tblPr>
        <w:tblStyle w:val="TableGrid"/>
        <w:tblW w:w="0" w:type="auto"/>
        <w:tblLook w:val="04A0" w:firstRow="1" w:lastRow="0" w:firstColumn="1" w:lastColumn="0" w:noHBand="0" w:noVBand="1"/>
      </w:tblPr>
      <w:tblGrid>
        <w:gridCol w:w="9307"/>
      </w:tblGrid>
      <w:tr w:rsidR="00547D02" w14:paraId="0170009E" w14:textId="77777777" w:rsidTr="00547D02">
        <w:tc>
          <w:tcPr>
            <w:tcW w:w="9307" w:type="dxa"/>
          </w:tcPr>
          <w:p w14:paraId="50B1AA27" w14:textId="77777777" w:rsidR="00547D02" w:rsidRPr="00BE35D0" w:rsidRDefault="00547D02" w:rsidP="00547D02">
            <w:pPr>
              <w:rPr>
                <w:rFonts w:eastAsia="Batang"/>
                <w:sz w:val="20"/>
                <w:szCs w:val="20"/>
                <w:u w:val="single"/>
                <w:lang w:eastAsia="ja-JP"/>
              </w:rPr>
            </w:pPr>
            <w:r w:rsidRPr="00547D02">
              <w:rPr>
                <w:sz w:val="20"/>
                <w:szCs w:val="20"/>
                <w:highlight w:val="green"/>
                <w:lang w:eastAsia="ja-JP"/>
              </w:rPr>
              <w:t>Agreem</w:t>
            </w:r>
            <w:r w:rsidRPr="00BE35D0">
              <w:rPr>
                <w:sz w:val="20"/>
                <w:szCs w:val="20"/>
                <w:highlight w:val="green"/>
                <w:lang w:eastAsia="ja-JP"/>
              </w:rPr>
              <w:t>ent</w:t>
            </w:r>
            <w:r w:rsidRPr="00BE35D0">
              <w:rPr>
                <w:sz w:val="20"/>
                <w:szCs w:val="20"/>
                <w:u w:val="single"/>
                <w:lang w:eastAsia="ja-JP"/>
              </w:rPr>
              <w:t>: (if the above working assumption is confirmed)</w:t>
            </w:r>
          </w:p>
          <w:p w14:paraId="32B5BF13" w14:textId="6904DACB" w:rsidR="00547D02" w:rsidRDefault="00547D02" w:rsidP="00547D02">
            <w:pPr>
              <w:pStyle w:val="ListParagraph"/>
              <w:numPr>
                <w:ilvl w:val="0"/>
                <w:numId w:val="46"/>
              </w:numPr>
              <w:spacing w:after="0" w:line="240" w:lineRule="auto"/>
              <w:rPr>
                <w:lang w:eastAsia="ja-JP"/>
              </w:rPr>
            </w:pPr>
            <w:r w:rsidRPr="00547D02">
              <w:rPr>
                <w:sz w:val="20"/>
                <w:szCs w:val="20"/>
                <w:lang w:eastAsia="zh-CN"/>
              </w:rPr>
              <w:t>Early indication</w:t>
            </w:r>
            <w:r w:rsidRPr="00547D02">
              <w:rPr>
                <w:rFonts w:eastAsia="Times New Roman"/>
                <w:sz w:val="20"/>
                <w:szCs w:val="20"/>
                <w:lang w:eastAsia="zh-CN"/>
              </w:rPr>
              <w:t xml:space="preserve"> of RedCap UEs</w:t>
            </w:r>
            <w:r w:rsidRPr="00547D02">
              <w:rPr>
                <w:sz w:val="20"/>
                <w:szCs w:val="20"/>
                <w:lang w:eastAsia="zh-CN"/>
              </w:rPr>
              <w:t xml:space="preserve"> in Msg1 can be enabled/disabled via SIB</w:t>
            </w:r>
          </w:p>
        </w:tc>
      </w:tr>
    </w:tbl>
    <w:p w14:paraId="19C9E6F4" w14:textId="2757EE10" w:rsidR="009A267E" w:rsidRDefault="009A267E" w:rsidP="00547D02"/>
    <w:p w14:paraId="7877B25E" w14:textId="783D01AC" w:rsidR="0016771F" w:rsidRDefault="0016771F" w:rsidP="00547D02">
      <w:proofErr w:type="gramStart"/>
      <w:r>
        <w:t>Some</w:t>
      </w:r>
      <w:proofErr w:type="gramEnd"/>
      <w:r>
        <w:t xml:space="preserve"> problems </w:t>
      </w:r>
      <w:r w:rsidR="00E34E4B">
        <w:t>of</w:t>
      </w:r>
      <w:r>
        <w:t xml:space="preserve"> RedCap UEs </w:t>
      </w:r>
      <w:r w:rsidR="0028633B">
        <w:t xml:space="preserve">that can benefit from early indication </w:t>
      </w:r>
      <w:r>
        <w:t xml:space="preserve">include </w:t>
      </w:r>
    </w:p>
    <w:p w14:paraId="516CC757" w14:textId="0E094BF2" w:rsidR="000F7832" w:rsidRDefault="000F7832" w:rsidP="00044919">
      <w:pPr>
        <w:pStyle w:val="ListParagraph"/>
        <w:numPr>
          <w:ilvl w:val="0"/>
          <w:numId w:val="46"/>
        </w:numPr>
        <w:jc w:val="both"/>
      </w:pPr>
      <w:r>
        <w:t>The PUSCH can be located anywhere in the initial UL BWP</w:t>
      </w:r>
      <w:r w:rsidR="00BE35D0">
        <w:t xml:space="preserve"> for non-RedCap UEs</w:t>
      </w:r>
      <w:r>
        <w:t>, and frequency hopping may be configured</w:t>
      </w:r>
      <w:r w:rsidR="00BE35D0">
        <w:t xml:space="preserve"> with the offset exceeding the maximum bandwidth of a RedCap UE</w:t>
      </w:r>
      <w:r>
        <w:t>.</w:t>
      </w:r>
      <w:r w:rsidR="0016771F">
        <w:t xml:space="preserve"> </w:t>
      </w:r>
    </w:p>
    <w:p w14:paraId="7C3C58EE" w14:textId="2CA03AFD" w:rsidR="000F7832" w:rsidRDefault="0016771F" w:rsidP="00044919">
      <w:pPr>
        <w:pStyle w:val="ListParagraph"/>
        <w:numPr>
          <w:ilvl w:val="0"/>
          <w:numId w:val="46"/>
        </w:numPr>
        <w:jc w:val="both"/>
      </w:pPr>
      <w:r>
        <w:t xml:space="preserve">The frequency </w:t>
      </w:r>
      <w:r w:rsidR="00BE35D0">
        <w:t>offset</w:t>
      </w:r>
      <w:r>
        <w:t xml:space="preserve"> </w:t>
      </w:r>
      <w:r w:rsidR="00BE35D0">
        <w:t>for</w:t>
      </w:r>
      <w:r>
        <w:t xml:space="preserve"> PUCCH resources may exceed the maximum bandwidth of a RedCap UE (response to Msg4)</w:t>
      </w:r>
    </w:p>
    <w:p w14:paraId="14E936EB" w14:textId="63FAE865" w:rsidR="002515AE" w:rsidRDefault="00582CA9" w:rsidP="00044919">
      <w:pPr>
        <w:pStyle w:val="ListParagraph"/>
        <w:numPr>
          <w:ilvl w:val="0"/>
          <w:numId w:val="46"/>
        </w:numPr>
        <w:jc w:val="both"/>
      </w:pPr>
      <w:r>
        <w:lastRenderedPageBreak/>
        <w:t>Addressing DL performance loss due to a reduced number of Rx branches</w:t>
      </w:r>
      <w:r w:rsidR="0016771F">
        <w:t xml:space="preserve"> (</w:t>
      </w:r>
      <w:r w:rsidR="00044919">
        <w:t xml:space="preserve">affecting </w:t>
      </w:r>
      <w:r w:rsidR="0016771F">
        <w:t>PDCCH and PUSCH)</w:t>
      </w:r>
      <w:r w:rsidR="002515AE">
        <w:t xml:space="preserve">. It was noted in </w:t>
      </w:r>
      <w:r w:rsidR="002515AE">
        <w:fldChar w:fldCharType="begin"/>
      </w:r>
      <w:r w:rsidR="002515AE">
        <w:instrText xml:space="preserve"> REF _Ref71472695 \r \h </w:instrText>
      </w:r>
      <w:r w:rsidR="00044919">
        <w:instrText xml:space="preserve"> \* MERGEFORMAT </w:instrText>
      </w:r>
      <w:r w:rsidR="002515AE">
        <w:fldChar w:fldCharType="separate"/>
      </w:r>
      <w:r w:rsidR="002515AE">
        <w:t>[2]</w:t>
      </w:r>
      <w:r w:rsidR="002515AE">
        <w:fldChar w:fldCharType="end"/>
      </w:r>
      <w:r w:rsidR="002515AE">
        <w:t xml:space="preserve"> that the reduction of Rx branches shifts the operating point of the RedCap UE. In some instances, if the operating point (or received signal quality) is acceptable,</w:t>
      </w:r>
      <w:r w:rsidR="002515AE" w:rsidRPr="002515AE">
        <w:t xml:space="preserve"> </w:t>
      </w:r>
      <w:r w:rsidR="002515AE">
        <w:t xml:space="preserve">early </w:t>
      </w:r>
      <w:r w:rsidR="00FC513D">
        <w:t xml:space="preserve">indication </w:t>
      </w:r>
      <w:r w:rsidR="002515AE">
        <w:t>may be unnecessary for the UE.</w:t>
      </w:r>
    </w:p>
    <w:p w14:paraId="0842C5E7" w14:textId="20937842" w:rsidR="00582CA9" w:rsidRDefault="001D4867" w:rsidP="00547D02">
      <w:r>
        <w:t xml:space="preserve">Some </w:t>
      </w:r>
      <w:r w:rsidR="00DB502E">
        <w:t>observations</w:t>
      </w:r>
      <w:r>
        <w:t xml:space="preserve"> regarding </w:t>
      </w:r>
      <w:r w:rsidR="00DB502E">
        <w:t xml:space="preserve">potential </w:t>
      </w:r>
      <w:r w:rsidR="00BE35D0">
        <w:t>means</w:t>
      </w:r>
      <w:r w:rsidR="00DB502E">
        <w:t xml:space="preserve"> </w:t>
      </w:r>
      <w:r w:rsidR="00BE35D0">
        <w:t>for</w:t>
      </w:r>
      <w:r w:rsidR="00DB502E">
        <w:t xml:space="preserve"> early indication </w:t>
      </w:r>
      <w:r w:rsidR="00FC513D">
        <w:t xml:space="preserve">as a function of initial UL BWP for non-RedCap UEs are </w:t>
      </w:r>
      <w:r w:rsidR="00DB502E">
        <w:t xml:space="preserve">presented in </w:t>
      </w:r>
      <w:r w:rsidR="00DB502E">
        <w:fldChar w:fldCharType="begin"/>
      </w:r>
      <w:r w:rsidR="00DB502E">
        <w:instrText xml:space="preserve"> REF _Ref78356992 \h </w:instrText>
      </w:r>
      <w:r w:rsidR="00DB502E">
        <w:fldChar w:fldCharType="separate"/>
      </w:r>
      <w:r w:rsidR="00DB502E">
        <w:t xml:space="preserve">Table </w:t>
      </w:r>
      <w:r w:rsidR="00DB502E">
        <w:rPr>
          <w:noProof/>
        </w:rPr>
        <w:t>1</w:t>
      </w:r>
      <w:r w:rsidR="00DB502E">
        <w:fldChar w:fldCharType="end"/>
      </w:r>
      <w:r>
        <w:t>.</w:t>
      </w:r>
    </w:p>
    <w:p w14:paraId="174CB773" w14:textId="482CA62A" w:rsidR="00582CA9" w:rsidRDefault="00582CA9" w:rsidP="00582CA9">
      <w:pPr>
        <w:pStyle w:val="Caption"/>
        <w:keepNext/>
      </w:pPr>
      <w:bookmarkStart w:id="2" w:name="_Ref78356992"/>
      <w:r>
        <w:t xml:space="preserve">Table </w:t>
      </w:r>
      <w:fldSimple w:instr=" SEQ Table \* ARABIC ">
        <w:r>
          <w:rPr>
            <w:noProof/>
          </w:rPr>
          <w:t>1</w:t>
        </w:r>
      </w:fldSimple>
      <w:bookmarkEnd w:id="2"/>
      <w:r w:rsidR="001D4867">
        <w:t xml:space="preserve">. </w:t>
      </w:r>
      <w:r w:rsidR="00044919">
        <w:t>P</w:t>
      </w:r>
      <w:r w:rsidR="00DB502E">
        <w:t xml:space="preserve">otential </w:t>
      </w:r>
      <w:r w:rsidR="00BE35D0">
        <w:t>means for</w:t>
      </w:r>
      <w:r w:rsidR="00DB502E">
        <w:t xml:space="preserve"> early indication in Msg1</w:t>
      </w:r>
      <w:r w:rsidR="00044919">
        <w:t xml:space="preserve"> as a function for initial UL BWP size</w:t>
      </w:r>
      <w:r w:rsidR="00FC513D">
        <w:t xml:space="preserve"> for non-RedCap UEs</w:t>
      </w:r>
    </w:p>
    <w:tbl>
      <w:tblPr>
        <w:tblStyle w:val="TableGrid"/>
        <w:tblW w:w="5000" w:type="pct"/>
        <w:tblLook w:val="04A0" w:firstRow="1" w:lastRow="0" w:firstColumn="1" w:lastColumn="0" w:noHBand="0" w:noVBand="1"/>
      </w:tblPr>
      <w:tblGrid>
        <w:gridCol w:w="1615"/>
        <w:gridCol w:w="3846"/>
        <w:gridCol w:w="3846"/>
      </w:tblGrid>
      <w:tr w:rsidR="00007628" w14:paraId="500D7654" w14:textId="0E0324E4" w:rsidTr="00007628">
        <w:tc>
          <w:tcPr>
            <w:tcW w:w="868" w:type="pct"/>
          </w:tcPr>
          <w:p w14:paraId="15EDA68A" w14:textId="0F2500C1" w:rsidR="00007628" w:rsidRPr="00582CA9" w:rsidRDefault="0028633B" w:rsidP="00007628">
            <w:pPr>
              <w:pStyle w:val="tablecell"/>
              <w:rPr>
                <w:sz w:val="18"/>
                <w:szCs w:val="20"/>
              </w:rPr>
            </w:pPr>
            <w:r>
              <w:rPr>
                <w:sz w:val="18"/>
                <w:szCs w:val="20"/>
              </w:rPr>
              <w:t>Early indication</w:t>
            </w:r>
          </w:p>
        </w:tc>
        <w:tc>
          <w:tcPr>
            <w:tcW w:w="2066" w:type="pct"/>
          </w:tcPr>
          <w:p w14:paraId="591AC017" w14:textId="33ED1405" w:rsidR="00007628" w:rsidRPr="00582CA9" w:rsidRDefault="00413AB6" w:rsidP="00007628">
            <w:pPr>
              <w:pStyle w:val="tablecell"/>
              <w:rPr>
                <w:sz w:val="18"/>
                <w:szCs w:val="20"/>
              </w:rPr>
            </w:pPr>
            <w:r>
              <w:rPr>
                <w:sz w:val="18"/>
                <w:szCs w:val="20"/>
              </w:rPr>
              <w:t>Size of i</w:t>
            </w:r>
            <w:r w:rsidR="00007628" w:rsidRPr="00582CA9">
              <w:rPr>
                <w:sz w:val="18"/>
                <w:szCs w:val="20"/>
              </w:rPr>
              <w:t xml:space="preserve">nitial UL BWP </w:t>
            </w:r>
            <w:r>
              <w:rPr>
                <w:sz w:val="18"/>
                <w:szCs w:val="20"/>
              </w:rPr>
              <w:t>for non-RedCap UE</w:t>
            </w:r>
            <w:r w:rsidR="00007628">
              <w:rPr>
                <w:sz w:val="18"/>
                <w:szCs w:val="20"/>
              </w:rPr>
              <w:t xml:space="preserve"> </w:t>
            </w:r>
            <w:r w:rsidR="00007628" w:rsidRPr="00582CA9">
              <w:rPr>
                <w:sz w:val="18"/>
                <w:szCs w:val="20"/>
              </w:rPr>
              <w:sym w:font="Symbol" w:char="F0A3"/>
            </w:r>
            <w:r w:rsidR="00007628" w:rsidRPr="00582CA9">
              <w:rPr>
                <w:sz w:val="18"/>
                <w:szCs w:val="20"/>
              </w:rPr>
              <w:t xml:space="preserve"> max BW of RedCap UE</w:t>
            </w:r>
          </w:p>
        </w:tc>
        <w:tc>
          <w:tcPr>
            <w:tcW w:w="2066" w:type="pct"/>
          </w:tcPr>
          <w:p w14:paraId="29AAF767" w14:textId="6B30EA9E" w:rsidR="00007628" w:rsidRPr="00582CA9" w:rsidRDefault="00413AB6" w:rsidP="00007628">
            <w:pPr>
              <w:pStyle w:val="tablecell"/>
              <w:rPr>
                <w:sz w:val="18"/>
                <w:szCs w:val="20"/>
              </w:rPr>
            </w:pPr>
            <w:r>
              <w:rPr>
                <w:sz w:val="18"/>
                <w:szCs w:val="20"/>
              </w:rPr>
              <w:t>Size of i</w:t>
            </w:r>
            <w:r w:rsidRPr="00582CA9">
              <w:rPr>
                <w:sz w:val="18"/>
                <w:szCs w:val="20"/>
              </w:rPr>
              <w:t xml:space="preserve">nitial UL BWP </w:t>
            </w:r>
            <w:r>
              <w:rPr>
                <w:sz w:val="18"/>
                <w:szCs w:val="20"/>
              </w:rPr>
              <w:t>for non-RedCap UE</w:t>
            </w:r>
            <w:r w:rsidR="00007628">
              <w:rPr>
                <w:sz w:val="18"/>
                <w:szCs w:val="20"/>
              </w:rPr>
              <w:t xml:space="preserve"> &gt;</w:t>
            </w:r>
            <w:r w:rsidR="00007628" w:rsidRPr="00582CA9">
              <w:rPr>
                <w:sz w:val="18"/>
                <w:szCs w:val="20"/>
              </w:rPr>
              <w:t xml:space="preserve"> max BW of RedCap UE</w:t>
            </w:r>
          </w:p>
        </w:tc>
      </w:tr>
      <w:tr w:rsidR="00007628" w14:paraId="257693F7" w14:textId="1EE1E337" w:rsidTr="00007628">
        <w:tc>
          <w:tcPr>
            <w:tcW w:w="868" w:type="pct"/>
          </w:tcPr>
          <w:p w14:paraId="2F81661C" w14:textId="6098F268" w:rsidR="00007628" w:rsidRPr="00582CA9" w:rsidRDefault="00007628" w:rsidP="00007628">
            <w:pPr>
              <w:pStyle w:val="tablecell"/>
              <w:rPr>
                <w:sz w:val="18"/>
                <w:szCs w:val="20"/>
              </w:rPr>
            </w:pPr>
            <w:r>
              <w:rPr>
                <w:sz w:val="18"/>
                <w:szCs w:val="20"/>
              </w:rPr>
              <w:t>Separate</w:t>
            </w:r>
            <w:r w:rsidRPr="00582CA9">
              <w:rPr>
                <w:sz w:val="18"/>
                <w:szCs w:val="20"/>
              </w:rPr>
              <w:t xml:space="preserve"> </w:t>
            </w:r>
            <w:r>
              <w:rPr>
                <w:sz w:val="18"/>
                <w:szCs w:val="20"/>
              </w:rPr>
              <w:t>P</w:t>
            </w:r>
            <w:r w:rsidRPr="00582CA9">
              <w:rPr>
                <w:sz w:val="18"/>
                <w:szCs w:val="20"/>
              </w:rPr>
              <w:t>RACH occasion</w:t>
            </w:r>
            <w:r w:rsidR="00FC513D">
              <w:rPr>
                <w:sz w:val="18"/>
                <w:szCs w:val="20"/>
              </w:rPr>
              <w:t xml:space="preserve"> for RedCap UEs</w:t>
            </w:r>
          </w:p>
        </w:tc>
        <w:tc>
          <w:tcPr>
            <w:tcW w:w="2066" w:type="pct"/>
          </w:tcPr>
          <w:p w14:paraId="123701BD" w14:textId="53F9B300" w:rsidR="00007628" w:rsidRPr="00007628" w:rsidRDefault="00007628" w:rsidP="00007628">
            <w:pPr>
              <w:pStyle w:val="tablecell"/>
              <w:numPr>
                <w:ilvl w:val="0"/>
                <w:numId w:val="47"/>
              </w:numPr>
              <w:ind w:left="216" w:hanging="216"/>
              <w:rPr>
                <w:sz w:val="18"/>
                <w:szCs w:val="20"/>
              </w:rPr>
            </w:pPr>
            <w:r w:rsidRPr="00582CA9">
              <w:rPr>
                <w:sz w:val="18"/>
                <w:szCs w:val="20"/>
              </w:rPr>
              <w:t>Can identify UEs with DL performance loss</w:t>
            </w:r>
          </w:p>
        </w:tc>
        <w:tc>
          <w:tcPr>
            <w:tcW w:w="2066" w:type="pct"/>
          </w:tcPr>
          <w:p w14:paraId="74F58FD5" w14:textId="77777777" w:rsidR="00007628" w:rsidRDefault="00007628" w:rsidP="00007628">
            <w:pPr>
              <w:pStyle w:val="tablecell"/>
              <w:numPr>
                <w:ilvl w:val="0"/>
                <w:numId w:val="47"/>
              </w:numPr>
              <w:ind w:left="216" w:hanging="216"/>
              <w:rPr>
                <w:sz w:val="18"/>
                <w:szCs w:val="20"/>
              </w:rPr>
            </w:pPr>
            <w:r w:rsidRPr="00582CA9">
              <w:rPr>
                <w:sz w:val="18"/>
                <w:szCs w:val="20"/>
              </w:rPr>
              <w:t>Can identify UEs with DL performance loss</w:t>
            </w:r>
          </w:p>
          <w:p w14:paraId="1702244D" w14:textId="77777777" w:rsidR="00007628" w:rsidRDefault="00007628" w:rsidP="00007628">
            <w:pPr>
              <w:pStyle w:val="tablecell"/>
              <w:numPr>
                <w:ilvl w:val="0"/>
                <w:numId w:val="47"/>
              </w:numPr>
              <w:ind w:left="216" w:hanging="216"/>
              <w:rPr>
                <w:sz w:val="18"/>
                <w:szCs w:val="20"/>
              </w:rPr>
            </w:pPr>
            <w:r>
              <w:rPr>
                <w:sz w:val="18"/>
                <w:szCs w:val="20"/>
              </w:rPr>
              <w:t xml:space="preserve">Allows network to schedule PUSCH within </w:t>
            </w:r>
            <w:r w:rsidRPr="00582CA9">
              <w:rPr>
                <w:sz w:val="18"/>
                <w:szCs w:val="20"/>
              </w:rPr>
              <w:t>max BW of RedCap UE</w:t>
            </w:r>
          </w:p>
          <w:p w14:paraId="5AD682AE" w14:textId="66657E3E" w:rsidR="00007628" w:rsidRPr="00582CA9" w:rsidRDefault="00FC513D" w:rsidP="00007628">
            <w:pPr>
              <w:pStyle w:val="tablecell"/>
              <w:numPr>
                <w:ilvl w:val="0"/>
                <w:numId w:val="47"/>
              </w:numPr>
              <w:ind w:left="216" w:hanging="216"/>
              <w:rPr>
                <w:sz w:val="18"/>
                <w:szCs w:val="20"/>
              </w:rPr>
            </w:pPr>
            <w:r>
              <w:rPr>
                <w:sz w:val="18"/>
                <w:szCs w:val="20"/>
              </w:rPr>
              <w:t>P</w:t>
            </w:r>
            <w:r w:rsidR="001D4867">
              <w:rPr>
                <w:sz w:val="18"/>
                <w:szCs w:val="20"/>
              </w:rPr>
              <w:t xml:space="preserve">RACH occasions located within </w:t>
            </w:r>
            <w:r w:rsidR="001D4867" w:rsidRPr="00582CA9">
              <w:rPr>
                <w:sz w:val="18"/>
                <w:szCs w:val="20"/>
              </w:rPr>
              <w:t>max BW of RedCap UE</w:t>
            </w:r>
          </w:p>
        </w:tc>
      </w:tr>
      <w:tr w:rsidR="00007628" w14:paraId="731CDD47" w14:textId="726034E9" w:rsidTr="00007628">
        <w:tc>
          <w:tcPr>
            <w:tcW w:w="868" w:type="pct"/>
          </w:tcPr>
          <w:p w14:paraId="51172C97" w14:textId="400A4E2A" w:rsidR="00007628" w:rsidRPr="00582CA9" w:rsidRDefault="00007628" w:rsidP="00007628">
            <w:pPr>
              <w:pStyle w:val="tablecell"/>
              <w:rPr>
                <w:sz w:val="18"/>
                <w:szCs w:val="20"/>
              </w:rPr>
            </w:pPr>
            <w:r>
              <w:rPr>
                <w:sz w:val="18"/>
                <w:szCs w:val="20"/>
              </w:rPr>
              <w:t>P</w:t>
            </w:r>
            <w:r w:rsidRPr="00582CA9">
              <w:rPr>
                <w:sz w:val="18"/>
                <w:szCs w:val="20"/>
              </w:rPr>
              <w:t>RACH preamble</w:t>
            </w:r>
            <w:r>
              <w:rPr>
                <w:sz w:val="18"/>
                <w:szCs w:val="20"/>
              </w:rPr>
              <w:t xml:space="preserve"> partitioning</w:t>
            </w:r>
            <w:r w:rsidR="00FC513D">
              <w:rPr>
                <w:sz w:val="18"/>
                <w:szCs w:val="20"/>
              </w:rPr>
              <w:t xml:space="preserve"> for RedCap UEs</w:t>
            </w:r>
          </w:p>
        </w:tc>
        <w:tc>
          <w:tcPr>
            <w:tcW w:w="2066" w:type="pct"/>
          </w:tcPr>
          <w:p w14:paraId="01169019" w14:textId="21979B1D" w:rsidR="00007628" w:rsidRPr="00582CA9" w:rsidRDefault="00007628" w:rsidP="00007628">
            <w:pPr>
              <w:pStyle w:val="tablecell"/>
              <w:numPr>
                <w:ilvl w:val="0"/>
                <w:numId w:val="47"/>
              </w:numPr>
              <w:ind w:left="216" w:hanging="216"/>
              <w:rPr>
                <w:sz w:val="18"/>
                <w:szCs w:val="20"/>
              </w:rPr>
            </w:pPr>
            <w:r w:rsidRPr="00582CA9">
              <w:rPr>
                <w:sz w:val="18"/>
                <w:szCs w:val="20"/>
              </w:rPr>
              <w:t>Can identify UEs with DL performance loss</w:t>
            </w:r>
          </w:p>
        </w:tc>
        <w:tc>
          <w:tcPr>
            <w:tcW w:w="2066" w:type="pct"/>
          </w:tcPr>
          <w:p w14:paraId="0ADAE54F" w14:textId="77777777" w:rsidR="00007628" w:rsidRDefault="00007628" w:rsidP="00007628">
            <w:pPr>
              <w:pStyle w:val="tablecell"/>
              <w:numPr>
                <w:ilvl w:val="0"/>
                <w:numId w:val="47"/>
              </w:numPr>
              <w:ind w:left="216" w:hanging="216"/>
              <w:rPr>
                <w:sz w:val="18"/>
                <w:szCs w:val="20"/>
              </w:rPr>
            </w:pPr>
            <w:r w:rsidRPr="00582CA9">
              <w:rPr>
                <w:sz w:val="18"/>
                <w:szCs w:val="20"/>
              </w:rPr>
              <w:t>Can identify UEs with DL performance loss</w:t>
            </w:r>
          </w:p>
          <w:p w14:paraId="093256F3" w14:textId="77777777" w:rsidR="00007628" w:rsidRDefault="00007628" w:rsidP="00007628">
            <w:pPr>
              <w:pStyle w:val="tablecell"/>
              <w:numPr>
                <w:ilvl w:val="0"/>
                <w:numId w:val="47"/>
              </w:numPr>
              <w:ind w:left="216" w:hanging="216"/>
              <w:rPr>
                <w:sz w:val="18"/>
                <w:szCs w:val="20"/>
              </w:rPr>
            </w:pPr>
            <w:r>
              <w:rPr>
                <w:sz w:val="18"/>
                <w:szCs w:val="20"/>
              </w:rPr>
              <w:t xml:space="preserve">Allows network to schedule PUSCH within </w:t>
            </w:r>
            <w:r w:rsidRPr="00582CA9">
              <w:rPr>
                <w:sz w:val="18"/>
                <w:szCs w:val="20"/>
              </w:rPr>
              <w:t>max BW of RedCap UE</w:t>
            </w:r>
          </w:p>
          <w:p w14:paraId="5465073A" w14:textId="128AB6A2" w:rsidR="00007628" w:rsidRDefault="00007628" w:rsidP="00007628">
            <w:pPr>
              <w:pStyle w:val="tablecell"/>
              <w:numPr>
                <w:ilvl w:val="0"/>
                <w:numId w:val="47"/>
              </w:numPr>
              <w:ind w:left="216" w:hanging="216"/>
              <w:rPr>
                <w:sz w:val="18"/>
                <w:szCs w:val="20"/>
              </w:rPr>
            </w:pPr>
            <w:r>
              <w:rPr>
                <w:sz w:val="18"/>
                <w:szCs w:val="20"/>
              </w:rPr>
              <w:t xml:space="preserve">Allows </w:t>
            </w:r>
            <w:r w:rsidR="00D90889">
              <w:rPr>
                <w:sz w:val="18"/>
                <w:szCs w:val="20"/>
              </w:rPr>
              <w:t>sharing</w:t>
            </w:r>
            <w:r>
              <w:rPr>
                <w:sz w:val="18"/>
                <w:szCs w:val="20"/>
              </w:rPr>
              <w:t xml:space="preserve"> of PRACH occasions</w:t>
            </w:r>
          </w:p>
          <w:p w14:paraId="6FDAB777" w14:textId="52DEC2F3" w:rsidR="001D4867" w:rsidRPr="00582CA9" w:rsidRDefault="001D4867" w:rsidP="00007628">
            <w:pPr>
              <w:pStyle w:val="tablecell"/>
              <w:numPr>
                <w:ilvl w:val="0"/>
                <w:numId w:val="47"/>
              </w:numPr>
              <w:ind w:left="216" w:hanging="216"/>
              <w:rPr>
                <w:sz w:val="18"/>
                <w:szCs w:val="20"/>
              </w:rPr>
            </w:pPr>
            <w:r>
              <w:rPr>
                <w:sz w:val="18"/>
                <w:szCs w:val="20"/>
              </w:rPr>
              <w:t xml:space="preserve">Must ensure PRACH occasions </w:t>
            </w:r>
            <w:r w:rsidR="0028633B">
              <w:rPr>
                <w:sz w:val="18"/>
                <w:szCs w:val="20"/>
              </w:rPr>
              <w:t xml:space="preserve">are </w:t>
            </w:r>
            <w:r>
              <w:rPr>
                <w:sz w:val="18"/>
                <w:szCs w:val="20"/>
              </w:rPr>
              <w:t xml:space="preserve">located within </w:t>
            </w:r>
            <w:r w:rsidRPr="00582CA9">
              <w:rPr>
                <w:sz w:val="18"/>
                <w:szCs w:val="20"/>
              </w:rPr>
              <w:t>max BW of RedCap UE</w:t>
            </w:r>
          </w:p>
        </w:tc>
      </w:tr>
      <w:tr w:rsidR="00007628" w14:paraId="2BAA4C3F" w14:textId="34BD54EE" w:rsidTr="00007628">
        <w:tc>
          <w:tcPr>
            <w:tcW w:w="868" w:type="pct"/>
          </w:tcPr>
          <w:p w14:paraId="0D6EEA1E" w14:textId="780A6E82" w:rsidR="00007628" w:rsidRPr="00582CA9" w:rsidRDefault="00007628" w:rsidP="00007628">
            <w:pPr>
              <w:pStyle w:val="tablecell"/>
              <w:rPr>
                <w:sz w:val="18"/>
                <w:szCs w:val="20"/>
              </w:rPr>
            </w:pPr>
            <w:r w:rsidRPr="00582CA9">
              <w:rPr>
                <w:sz w:val="18"/>
                <w:szCs w:val="20"/>
              </w:rPr>
              <w:t xml:space="preserve">Separate </w:t>
            </w:r>
            <w:r>
              <w:rPr>
                <w:sz w:val="18"/>
                <w:szCs w:val="20"/>
              </w:rPr>
              <w:t xml:space="preserve">initial UL </w:t>
            </w:r>
            <w:r w:rsidRPr="00582CA9">
              <w:rPr>
                <w:sz w:val="18"/>
                <w:szCs w:val="20"/>
              </w:rPr>
              <w:t xml:space="preserve">BWP </w:t>
            </w:r>
            <w:r w:rsidR="00FC513D">
              <w:rPr>
                <w:sz w:val="18"/>
                <w:szCs w:val="20"/>
              </w:rPr>
              <w:t>for RedCap UEs</w:t>
            </w:r>
          </w:p>
        </w:tc>
        <w:tc>
          <w:tcPr>
            <w:tcW w:w="2066" w:type="pct"/>
          </w:tcPr>
          <w:p w14:paraId="73182DC8" w14:textId="50266101" w:rsidR="00007628" w:rsidRPr="00582CA9" w:rsidRDefault="00007628" w:rsidP="00007628">
            <w:pPr>
              <w:pStyle w:val="tablecell"/>
              <w:numPr>
                <w:ilvl w:val="0"/>
                <w:numId w:val="47"/>
              </w:numPr>
              <w:ind w:left="216" w:hanging="216"/>
              <w:rPr>
                <w:sz w:val="18"/>
                <w:szCs w:val="20"/>
              </w:rPr>
            </w:pPr>
            <w:r w:rsidRPr="00582CA9">
              <w:rPr>
                <w:sz w:val="18"/>
                <w:szCs w:val="20"/>
              </w:rPr>
              <w:t>Can identify UEs with DL performance loss</w:t>
            </w:r>
          </w:p>
        </w:tc>
        <w:tc>
          <w:tcPr>
            <w:tcW w:w="2066" w:type="pct"/>
          </w:tcPr>
          <w:p w14:paraId="5E6FFC4F" w14:textId="4AB20CA0" w:rsidR="00007628" w:rsidRPr="00582CA9" w:rsidRDefault="001D4867" w:rsidP="00007628">
            <w:pPr>
              <w:pStyle w:val="tablecell"/>
              <w:numPr>
                <w:ilvl w:val="0"/>
                <w:numId w:val="47"/>
              </w:numPr>
              <w:ind w:left="216" w:hanging="216"/>
              <w:rPr>
                <w:sz w:val="18"/>
                <w:szCs w:val="20"/>
              </w:rPr>
            </w:pPr>
            <w:r>
              <w:rPr>
                <w:sz w:val="18"/>
                <w:szCs w:val="20"/>
              </w:rPr>
              <w:t xml:space="preserve">May require a separate CORESET if PRACH occasions </w:t>
            </w:r>
            <w:r w:rsidR="0028633B">
              <w:rPr>
                <w:sz w:val="18"/>
                <w:szCs w:val="20"/>
              </w:rPr>
              <w:t xml:space="preserve">for RedCap and non-RedCap UEs </w:t>
            </w:r>
            <w:r>
              <w:rPr>
                <w:sz w:val="18"/>
                <w:szCs w:val="20"/>
              </w:rPr>
              <w:t>are aligned in time</w:t>
            </w:r>
          </w:p>
        </w:tc>
      </w:tr>
      <w:tr w:rsidR="00007628" w14:paraId="4F978128" w14:textId="092F5857" w:rsidTr="00007628">
        <w:tc>
          <w:tcPr>
            <w:tcW w:w="868" w:type="pct"/>
          </w:tcPr>
          <w:p w14:paraId="54B8C2BB" w14:textId="068FA332" w:rsidR="00007628" w:rsidRPr="00582CA9" w:rsidRDefault="00007628" w:rsidP="00007628">
            <w:pPr>
              <w:pStyle w:val="tablecell"/>
              <w:rPr>
                <w:sz w:val="18"/>
                <w:szCs w:val="20"/>
              </w:rPr>
            </w:pPr>
            <w:r>
              <w:rPr>
                <w:sz w:val="18"/>
                <w:szCs w:val="20"/>
              </w:rPr>
              <w:t>None</w:t>
            </w:r>
          </w:p>
        </w:tc>
        <w:tc>
          <w:tcPr>
            <w:tcW w:w="2066" w:type="pct"/>
          </w:tcPr>
          <w:p w14:paraId="4F136A2E" w14:textId="0B4F462B" w:rsidR="00007628" w:rsidRPr="00582CA9" w:rsidRDefault="00007628" w:rsidP="00007628">
            <w:pPr>
              <w:pStyle w:val="tablecell"/>
              <w:numPr>
                <w:ilvl w:val="0"/>
                <w:numId w:val="47"/>
              </w:numPr>
              <w:ind w:left="216" w:hanging="216"/>
              <w:rPr>
                <w:sz w:val="18"/>
                <w:szCs w:val="20"/>
              </w:rPr>
            </w:pPr>
            <w:r>
              <w:rPr>
                <w:sz w:val="18"/>
                <w:szCs w:val="20"/>
              </w:rPr>
              <w:t xml:space="preserve">Reuse non-RedCap UE </w:t>
            </w:r>
            <w:r w:rsidR="00FC513D">
              <w:rPr>
                <w:sz w:val="18"/>
                <w:szCs w:val="20"/>
              </w:rPr>
              <w:t xml:space="preserve">UL BWP </w:t>
            </w:r>
            <w:r>
              <w:rPr>
                <w:sz w:val="18"/>
                <w:szCs w:val="20"/>
              </w:rPr>
              <w:t>configuration</w:t>
            </w:r>
          </w:p>
        </w:tc>
        <w:tc>
          <w:tcPr>
            <w:tcW w:w="2066" w:type="pct"/>
          </w:tcPr>
          <w:p w14:paraId="785CBBD2" w14:textId="7D7755F3" w:rsidR="00007628" w:rsidRPr="00582CA9" w:rsidRDefault="001D4867" w:rsidP="00007628">
            <w:pPr>
              <w:pStyle w:val="tablecell"/>
              <w:numPr>
                <w:ilvl w:val="0"/>
                <w:numId w:val="47"/>
              </w:numPr>
              <w:ind w:left="216" w:hanging="216"/>
              <w:rPr>
                <w:sz w:val="18"/>
                <w:szCs w:val="20"/>
              </w:rPr>
            </w:pPr>
            <w:r>
              <w:rPr>
                <w:sz w:val="18"/>
                <w:szCs w:val="20"/>
              </w:rPr>
              <w:t>Unclear UE behavior</w:t>
            </w:r>
          </w:p>
        </w:tc>
      </w:tr>
      <w:tr w:rsidR="00007628" w14:paraId="0F139BF0" w14:textId="189E6CAA" w:rsidTr="00007628">
        <w:tc>
          <w:tcPr>
            <w:tcW w:w="868" w:type="pct"/>
          </w:tcPr>
          <w:p w14:paraId="6DBA5685" w14:textId="4C425CCF" w:rsidR="00007628" w:rsidRDefault="00007628" w:rsidP="00007628">
            <w:pPr>
              <w:pStyle w:val="tablecell"/>
              <w:rPr>
                <w:sz w:val="18"/>
                <w:szCs w:val="20"/>
              </w:rPr>
            </w:pPr>
            <w:r>
              <w:rPr>
                <w:sz w:val="18"/>
                <w:szCs w:val="20"/>
              </w:rPr>
              <w:t>Notes</w:t>
            </w:r>
          </w:p>
        </w:tc>
        <w:tc>
          <w:tcPr>
            <w:tcW w:w="2066" w:type="pct"/>
          </w:tcPr>
          <w:p w14:paraId="2096207F" w14:textId="328A29A6" w:rsidR="00007628" w:rsidRPr="00582CA9" w:rsidRDefault="0028633B" w:rsidP="00007628">
            <w:pPr>
              <w:pStyle w:val="tablecell"/>
              <w:numPr>
                <w:ilvl w:val="0"/>
                <w:numId w:val="47"/>
              </w:numPr>
              <w:ind w:left="216" w:hanging="216"/>
              <w:rPr>
                <w:sz w:val="18"/>
                <w:szCs w:val="20"/>
              </w:rPr>
            </w:pPr>
            <w:r>
              <w:rPr>
                <w:sz w:val="18"/>
                <w:szCs w:val="20"/>
              </w:rPr>
              <w:t xml:space="preserve">RO, </w:t>
            </w:r>
            <w:r w:rsidR="00007628">
              <w:rPr>
                <w:sz w:val="18"/>
                <w:szCs w:val="20"/>
              </w:rPr>
              <w:t xml:space="preserve">PUSCH and PUCCH are located within </w:t>
            </w:r>
            <w:r w:rsidR="00007628" w:rsidRPr="00582CA9">
              <w:rPr>
                <w:sz w:val="18"/>
                <w:szCs w:val="20"/>
              </w:rPr>
              <w:t>max BW of RedCap UE</w:t>
            </w:r>
          </w:p>
        </w:tc>
        <w:tc>
          <w:tcPr>
            <w:tcW w:w="2066" w:type="pct"/>
          </w:tcPr>
          <w:p w14:paraId="10BB7586" w14:textId="77777777" w:rsidR="00007628" w:rsidRPr="00582CA9" w:rsidRDefault="00007628" w:rsidP="00007628">
            <w:pPr>
              <w:pStyle w:val="tablecell"/>
              <w:numPr>
                <w:ilvl w:val="0"/>
                <w:numId w:val="47"/>
              </w:numPr>
              <w:ind w:left="216" w:hanging="216"/>
              <w:rPr>
                <w:sz w:val="18"/>
                <w:szCs w:val="20"/>
              </w:rPr>
            </w:pPr>
          </w:p>
        </w:tc>
      </w:tr>
    </w:tbl>
    <w:p w14:paraId="5DAC68CA" w14:textId="37D8CBC3" w:rsidR="00DB502E" w:rsidRDefault="00DB502E" w:rsidP="00547D02"/>
    <w:p w14:paraId="130DCF82" w14:textId="326CE34C" w:rsidR="00413AB6" w:rsidRDefault="00413AB6" w:rsidP="00547D02">
      <w:r>
        <w:t xml:space="preserve">The table shows that </w:t>
      </w:r>
      <w:r w:rsidR="00BE35D0">
        <w:t xml:space="preserve">supporting </w:t>
      </w:r>
      <w:r>
        <w:t>early indication requires additional work to ensure correct operation when the s</w:t>
      </w:r>
      <w:r w:rsidRPr="00413AB6">
        <w:t>ize of initial UL BWP for non-RedCap UE &gt; max BW of RedCap UE</w:t>
      </w:r>
      <w:r>
        <w:t>.</w:t>
      </w:r>
      <w:r w:rsidR="005F5349">
        <w:t xml:space="preserve"> </w:t>
      </w:r>
      <w:r w:rsidR="00275F99">
        <w:t>Since further discussion is needed for the details of the various means of early indication, it may not be possible to select the means for early indication in this meeting.</w:t>
      </w:r>
    </w:p>
    <w:p w14:paraId="520420CB" w14:textId="57760DE2" w:rsidR="004A0C61" w:rsidRDefault="00B638FE" w:rsidP="00547D02">
      <w:r>
        <w:t>T</w:t>
      </w:r>
      <w:r w:rsidR="004A0C61">
        <w:t>he working assumption can be confirmed</w:t>
      </w:r>
      <w:r w:rsidR="00A45E96">
        <w:t xml:space="preserve">. There </w:t>
      </w:r>
      <w:r w:rsidR="00C315D6">
        <w:t xml:space="preserve">can be </w:t>
      </w:r>
      <w:r w:rsidR="00A45E96">
        <w:t>more design options / implementation options available using Msg1 for early indication. In addition, the</w:t>
      </w:r>
      <w:r>
        <w:t xml:space="preserve"> framework for Msg1 early indication can be extended if a RedCap UE supports other features that depend on </w:t>
      </w:r>
      <w:r w:rsidR="00A45E96">
        <w:t>Msg1.</w:t>
      </w:r>
    </w:p>
    <w:p w14:paraId="7964BD99" w14:textId="6E3C4D73" w:rsidR="005F5349" w:rsidRPr="00A45E96" w:rsidRDefault="005F5349" w:rsidP="002515AE">
      <w:pPr>
        <w:autoSpaceDE/>
        <w:autoSpaceDN/>
        <w:adjustRightInd/>
        <w:snapToGrid/>
        <w:jc w:val="left"/>
        <w:rPr>
          <w:b/>
          <w:bCs/>
          <w:i/>
          <w:iCs/>
        </w:rPr>
      </w:pPr>
      <w:r w:rsidRPr="005F5349">
        <w:rPr>
          <w:b/>
          <w:bCs/>
          <w:i/>
          <w:iCs/>
        </w:rPr>
        <w:t>Proposal</w:t>
      </w:r>
      <w:r w:rsidR="001D4867" w:rsidRPr="005F5349">
        <w:rPr>
          <w:b/>
          <w:bCs/>
          <w:i/>
          <w:iCs/>
        </w:rPr>
        <w:t xml:space="preserve"> 1: </w:t>
      </w:r>
      <w:r w:rsidRPr="005F5349">
        <w:rPr>
          <w:b/>
          <w:bCs/>
          <w:i/>
          <w:iCs/>
        </w:rPr>
        <w:t xml:space="preserve">Confirm the working assumption “for </w:t>
      </w:r>
      <w:r w:rsidRPr="00A45E96">
        <w:rPr>
          <w:b/>
          <w:bCs/>
          <w:i/>
          <w:iCs/>
        </w:rPr>
        <w:t>4-step RACH, support the early indication of RedCap UEs at least i</w:t>
      </w:r>
      <w:r w:rsidRPr="00276DC1">
        <w:rPr>
          <w:b/>
          <w:bCs/>
          <w:i/>
          <w:iCs/>
        </w:rPr>
        <w:t>n Msg1”</w:t>
      </w:r>
      <w:r w:rsidR="00B30F96" w:rsidRPr="00276DC1">
        <w:rPr>
          <w:b/>
          <w:bCs/>
          <w:i/>
          <w:iCs/>
        </w:rPr>
        <w:t>.</w:t>
      </w:r>
    </w:p>
    <w:p w14:paraId="5FFE14D0" w14:textId="02FFED53" w:rsidR="005F5349" w:rsidRDefault="003C1582" w:rsidP="00D64A85">
      <w:r>
        <w:t>Another agreement reached in RAN1#105 is regarding 2-step RACH</w:t>
      </w:r>
      <w:r w:rsidR="00791C7F">
        <w:t xml:space="preserve"> is presented below</w:t>
      </w:r>
      <w:r w:rsidR="002515AE">
        <w:t xml:space="preserve"> </w:t>
      </w:r>
      <w:r w:rsidR="002515AE">
        <w:fldChar w:fldCharType="begin"/>
      </w:r>
      <w:r w:rsidR="002515AE">
        <w:instrText xml:space="preserve"> REF _Ref71475691 \r \h </w:instrText>
      </w:r>
      <w:r w:rsidR="002515AE">
        <w:fldChar w:fldCharType="separate"/>
      </w:r>
      <w:r w:rsidR="002515AE">
        <w:t>[3]</w:t>
      </w:r>
      <w:r w:rsidR="002515AE">
        <w:fldChar w:fldCharType="end"/>
      </w:r>
      <w:r>
        <w:t xml:space="preserve">. </w:t>
      </w:r>
    </w:p>
    <w:tbl>
      <w:tblPr>
        <w:tblStyle w:val="TableGrid"/>
        <w:tblW w:w="0" w:type="auto"/>
        <w:tblLook w:val="04A0" w:firstRow="1" w:lastRow="0" w:firstColumn="1" w:lastColumn="0" w:noHBand="0" w:noVBand="1"/>
      </w:tblPr>
      <w:tblGrid>
        <w:gridCol w:w="9307"/>
      </w:tblGrid>
      <w:tr w:rsidR="00D64A85" w14:paraId="27F5C893" w14:textId="77777777" w:rsidTr="00497642">
        <w:tc>
          <w:tcPr>
            <w:tcW w:w="9307" w:type="dxa"/>
          </w:tcPr>
          <w:p w14:paraId="3B31D0DF" w14:textId="77777777" w:rsidR="00D64A85" w:rsidRPr="009A267E" w:rsidRDefault="00D64A85" w:rsidP="00497642">
            <w:pPr>
              <w:rPr>
                <w:sz w:val="20"/>
                <w:szCs w:val="20"/>
                <w:highlight w:val="green"/>
                <w:lang w:eastAsia="ja-JP"/>
              </w:rPr>
            </w:pPr>
            <w:r w:rsidRPr="009A267E">
              <w:rPr>
                <w:sz w:val="20"/>
                <w:szCs w:val="20"/>
                <w:highlight w:val="green"/>
                <w:lang w:eastAsia="ja-JP"/>
              </w:rPr>
              <w:t>Agreement:</w:t>
            </w:r>
          </w:p>
          <w:p w14:paraId="0126D1EF" w14:textId="77777777" w:rsidR="00D64A85" w:rsidRPr="009A267E" w:rsidRDefault="00D64A85" w:rsidP="00497642">
            <w:pPr>
              <w:pStyle w:val="ListParagraph"/>
              <w:numPr>
                <w:ilvl w:val="0"/>
                <w:numId w:val="46"/>
              </w:numPr>
              <w:spacing w:after="0" w:line="240" w:lineRule="auto"/>
              <w:rPr>
                <w:sz w:val="20"/>
                <w:szCs w:val="20"/>
                <w:lang w:eastAsia="ja-JP"/>
              </w:rPr>
            </w:pPr>
            <w:r w:rsidRPr="009A267E">
              <w:rPr>
                <w:sz w:val="20"/>
                <w:szCs w:val="20"/>
                <w:lang w:eastAsia="zh-CN"/>
              </w:rPr>
              <w:t>Support 2-step RACH for RedCap UEs as an optional feature</w:t>
            </w:r>
          </w:p>
          <w:p w14:paraId="4950744C" w14:textId="77777777" w:rsidR="00D64A85" w:rsidRPr="009A267E" w:rsidRDefault="00D64A85" w:rsidP="00497642">
            <w:pPr>
              <w:pStyle w:val="ListParagraph"/>
              <w:numPr>
                <w:ilvl w:val="1"/>
                <w:numId w:val="46"/>
              </w:numPr>
              <w:spacing w:after="0" w:line="240" w:lineRule="auto"/>
              <w:rPr>
                <w:sz w:val="20"/>
                <w:szCs w:val="20"/>
                <w:lang w:eastAsia="ja-JP"/>
              </w:rPr>
            </w:pPr>
            <w:r w:rsidRPr="009A267E">
              <w:rPr>
                <w:sz w:val="20"/>
                <w:szCs w:val="20"/>
                <w:lang w:eastAsia="zh-CN"/>
              </w:rPr>
              <w:t>FFS details of early indication in MsgA, e.g.:</w:t>
            </w:r>
          </w:p>
          <w:p w14:paraId="2E8A6379" w14:textId="77777777" w:rsidR="00D64A85" w:rsidRPr="009A267E" w:rsidRDefault="00D64A85" w:rsidP="00497642">
            <w:pPr>
              <w:pStyle w:val="ListParagraph"/>
              <w:numPr>
                <w:ilvl w:val="2"/>
                <w:numId w:val="46"/>
              </w:numPr>
              <w:spacing w:after="0" w:line="240" w:lineRule="auto"/>
              <w:rPr>
                <w:sz w:val="20"/>
                <w:szCs w:val="20"/>
                <w:lang w:eastAsia="ja-JP"/>
              </w:rPr>
            </w:pPr>
            <w:r w:rsidRPr="009A267E">
              <w:rPr>
                <w:sz w:val="20"/>
                <w:szCs w:val="20"/>
                <w:lang w:eastAsia="ja-JP"/>
              </w:rPr>
              <w:t>Separation of 2-step RACH resources or MsgA preambles</w:t>
            </w:r>
          </w:p>
          <w:p w14:paraId="0E16F26D" w14:textId="77777777" w:rsidR="00D64A85" w:rsidRPr="009A267E" w:rsidRDefault="00D64A85" w:rsidP="00497642">
            <w:pPr>
              <w:pStyle w:val="ListParagraph"/>
              <w:numPr>
                <w:ilvl w:val="2"/>
                <w:numId w:val="46"/>
              </w:numPr>
              <w:spacing w:after="0" w:line="240" w:lineRule="auto"/>
              <w:rPr>
                <w:sz w:val="20"/>
                <w:szCs w:val="20"/>
                <w:lang w:eastAsia="ja-JP"/>
              </w:rPr>
            </w:pPr>
            <w:r w:rsidRPr="009A267E">
              <w:rPr>
                <w:sz w:val="20"/>
                <w:szCs w:val="20"/>
                <w:lang w:eastAsia="ja-JP"/>
              </w:rPr>
              <w:t>Separation of initial UL BWP</w:t>
            </w:r>
          </w:p>
          <w:p w14:paraId="215EEE6E" w14:textId="77777777" w:rsidR="00D64A85" w:rsidRPr="009A267E" w:rsidRDefault="00D64A85" w:rsidP="00497642">
            <w:pPr>
              <w:pStyle w:val="ListParagraph"/>
              <w:numPr>
                <w:ilvl w:val="2"/>
                <w:numId w:val="46"/>
              </w:numPr>
              <w:spacing w:after="0" w:line="240" w:lineRule="auto"/>
              <w:rPr>
                <w:sz w:val="20"/>
                <w:szCs w:val="20"/>
              </w:rPr>
            </w:pPr>
            <w:r w:rsidRPr="009A267E">
              <w:rPr>
                <w:sz w:val="20"/>
                <w:szCs w:val="20"/>
                <w:lang w:eastAsia="ja-JP"/>
              </w:rPr>
              <w:t>Using a new indication in MsgA PUSCH part</w:t>
            </w:r>
          </w:p>
          <w:p w14:paraId="51EDB997" w14:textId="77777777" w:rsidR="00D64A85" w:rsidRDefault="00D64A85" w:rsidP="00497642">
            <w:pPr>
              <w:pStyle w:val="ListParagraph"/>
              <w:numPr>
                <w:ilvl w:val="1"/>
                <w:numId w:val="46"/>
              </w:numPr>
              <w:spacing w:after="0" w:line="240" w:lineRule="auto"/>
            </w:pPr>
            <w:r w:rsidRPr="009A267E">
              <w:rPr>
                <w:sz w:val="20"/>
                <w:szCs w:val="20"/>
                <w:lang w:eastAsia="ja-JP"/>
              </w:rPr>
              <w:t>Note: Discussion on 4-step RACH for early indication should be prioritised</w:t>
            </w:r>
          </w:p>
        </w:tc>
      </w:tr>
    </w:tbl>
    <w:p w14:paraId="7223C5B3" w14:textId="16B5B625" w:rsidR="009A267E" w:rsidRDefault="009A267E" w:rsidP="00547D02"/>
    <w:p w14:paraId="5419703F" w14:textId="7ADF98ED" w:rsidR="00791C7F" w:rsidRPr="00791C7F" w:rsidRDefault="00CC4EE3" w:rsidP="00547D02">
      <w:r>
        <w:t>While 4-step RACH</w:t>
      </w:r>
      <w:r w:rsidRPr="00CC4EE3">
        <w:t xml:space="preserve"> </w:t>
      </w:r>
      <w:r>
        <w:t xml:space="preserve">is prioritized, it is noted that </w:t>
      </w:r>
      <w:r w:rsidR="007635E3">
        <w:t xml:space="preserve">several </w:t>
      </w:r>
      <w:r w:rsidR="00791C7F">
        <w:t xml:space="preserve">observations in </w:t>
      </w:r>
      <w:r w:rsidR="00791C7F">
        <w:fldChar w:fldCharType="begin"/>
      </w:r>
      <w:r w:rsidR="00791C7F">
        <w:instrText xml:space="preserve"> REF _Ref78356992 \h </w:instrText>
      </w:r>
      <w:r w:rsidR="00791C7F">
        <w:fldChar w:fldCharType="separate"/>
      </w:r>
      <w:r w:rsidR="00791C7F">
        <w:t xml:space="preserve">Table </w:t>
      </w:r>
      <w:r w:rsidR="00791C7F">
        <w:rPr>
          <w:noProof/>
        </w:rPr>
        <w:t>1</w:t>
      </w:r>
      <w:r w:rsidR="00791C7F">
        <w:fldChar w:fldCharType="end"/>
      </w:r>
      <w:r w:rsidR="00791C7F">
        <w:t xml:space="preserve"> </w:t>
      </w:r>
      <w:r>
        <w:t xml:space="preserve">can be </w:t>
      </w:r>
      <w:r w:rsidR="00791C7F">
        <w:t>appl</w:t>
      </w:r>
      <w:r>
        <w:t>icable</w:t>
      </w:r>
      <w:r w:rsidRPr="00CC4EE3">
        <w:t xml:space="preserve"> </w:t>
      </w:r>
      <w:r>
        <w:t>to 2-step RACH</w:t>
      </w:r>
      <w:r w:rsidR="00791C7F">
        <w:t xml:space="preserve">. Additional considerations for MsgA PUSCH include </w:t>
      </w:r>
      <w:r>
        <w:t>whe</w:t>
      </w:r>
      <w:r w:rsidR="00791C7F">
        <w:t>the</w:t>
      </w:r>
      <w:r>
        <w:t>r the</w:t>
      </w:r>
      <w:r w:rsidR="00791C7F">
        <w:t xml:space="preserve"> timing between MsgA and MsgA PUSCH, provided by </w:t>
      </w:r>
      <w:r w:rsidR="00791C7F" w:rsidRPr="00791C7F">
        <w:rPr>
          <w:i/>
          <w:iCs/>
        </w:rPr>
        <w:t>msgA-PUSCH-TimeDomainOffset</w:t>
      </w:r>
      <w:r w:rsidR="00791C7F">
        <w:t xml:space="preserve"> as the number of slots from the PRACH slot, is sufficient given the bandwidth of the RedCap UE. </w:t>
      </w:r>
      <w:r>
        <w:t>For RedCap UEs, t</w:t>
      </w:r>
      <w:r w:rsidR="00791C7F">
        <w:t xml:space="preserve">here may be a minimum time needed for frequency shifting </w:t>
      </w:r>
      <w:r w:rsidR="00C315D6">
        <w:t xml:space="preserve">[if necessary] </w:t>
      </w:r>
      <w:r w:rsidR="00791C7F">
        <w:t xml:space="preserve">between </w:t>
      </w:r>
      <w:r>
        <w:t>the</w:t>
      </w:r>
      <w:r w:rsidR="002F5618">
        <w:t xml:space="preserve"> transmission</w:t>
      </w:r>
      <w:r>
        <w:t>s</w:t>
      </w:r>
      <w:r w:rsidR="002F5618">
        <w:t xml:space="preserve"> </w:t>
      </w:r>
      <w:r>
        <w:t xml:space="preserve">of MsgA </w:t>
      </w:r>
      <w:r w:rsidR="002F5618">
        <w:t>and MsgA PUSCH.</w:t>
      </w:r>
      <w:r>
        <w:t xml:space="preserve"> </w:t>
      </w:r>
    </w:p>
    <w:p w14:paraId="77D17E21" w14:textId="00AEDA79" w:rsidR="009A267E" w:rsidRPr="009A267E" w:rsidRDefault="009A267E" w:rsidP="009A267E">
      <w:pPr>
        <w:pStyle w:val="Heading2"/>
      </w:pPr>
      <w:r>
        <w:lastRenderedPageBreak/>
        <w:t>UE type</w:t>
      </w:r>
      <w:r w:rsidR="002F5618">
        <w:t xml:space="preserve"> / Capabilities</w:t>
      </w:r>
    </w:p>
    <w:p w14:paraId="69FFDED8" w14:textId="75325A22" w:rsidR="009A267E" w:rsidRDefault="002515AE" w:rsidP="00547D02">
      <w:r>
        <w:t xml:space="preserve">A working assumption reached in RAN1#105 is regarding types is presented below </w:t>
      </w:r>
      <w:r>
        <w:fldChar w:fldCharType="begin"/>
      </w:r>
      <w:r>
        <w:instrText xml:space="preserve"> REF _Ref71475691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307"/>
      </w:tblGrid>
      <w:tr w:rsidR="00547D02" w14:paraId="3216B051" w14:textId="77777777" w:rsidTr="00547D02">
        <w:tc>
          <w:tcPr>
            <w:tcW w:w="9307" w:type="dxa"/>
          </w:tcPr>
          <w:p w14:paraId="53D0FE21" w14:textId="77777777" w:rsidR="00547D02" w:rsidRPr="00547D02" w:rsidRDefault="00547D02" w:rsidP="00547D02">
            <w:pPr>
              <w:rPr>
                <w:rFonts w:eastAsia="Batang"/>
                <w:b/>
                <w:bCs/>
                <w:sz w:val="20"/>
                <w:szCs w:val="20"/>
                <w:highlight w:val="darkYellow"/>
                <w:lang w:eastAsia="ja-JP"/>
              </w:rPr>
            </w:pPr>
            <w:r w:rsidRPr="00547D02">
              <w:rPr>
                <w:b/>
                <w:bCs/>
                <w:sz w:val="20"/>
                <w:szCs w:val="20"/>
                <w:highlight w:val="darkYellow"/>
                <w:lang w:eastAsia="ja-JP"/>
              </w:rPr>
              <w:t>Working assumption:</w:t>
            </w:r>
          </w:p>
          <w:p w14:paraId="13B225B0" w14:textId="77777777" w:rsidR="00547D02" w:rsidRPr="00547D02" w:rsidRDefault="00547D02" w:rsidP="00547D02">
            <w:pPr>
              <w:pStyle w:val="ListParagraph"/>
              <w:numPr>
                <w:ilvl w:val="0"/>
                <w:numId w:val="46"/>
              </w:numPr>
              <w:spacing w:after="0" w:line="240" w:lineRule="auto"/>
              <w:rPr>
                <w:sz w:val="20"/>
                <w:szCs w:val="20"/>
                <w:lang w:eastAsia="zh-CN"/>
              </w:rPr>
            </w:pPr>
            <w:r w:rsidRPr="00547D02">
              <w:rPr>
                <w:sz w:val="20"/>
                <w:szCs w:val="20"/>
                <w:lang w:eastAsia="zh-CN"/>
              </w:rPr>
              <w:t>RedCap UE type is defined based on one of the following options</w:t>
            </w:r>
          </w:p>
          <w:p w14:paraId="345C816B" w14:textId="77777777" w:rsidR="00547D02" w:rsidRPr="00547D02" w:rsidRDefault="00547D02" w:rsidP="00547D02">
            <w:pPr>
              <w:pStyle w:val="ListParagraph"/>
              <w:numPr>
                <w:ilvl w:val="1"/>
                <w:numId w:val="46"/>
              </w:numPr>
              <w:spacing w:after="0" w:line="240" w:lineRule="auto"/>
              <w:rPr>
                <w:sz w:val="20"/>
                <w:szCs w:val="20"/>
                <w:lang w:eastAsia="zh-CN"/>
              </w:rPr>
            </w:pPr>
            <w:r w:rsidRPr="00547D02">
              <w:rPr>
                <w:sz w:val="20"/>
                <w:szCs w:val="20"/>
                <w:lang w:eastAsia="zh-CN"/>
              </w:rPr>
              <w:t>Option 2: Only include the reduced capabilities that the network needs to know during initial access, if any.</w:t>
            </w:r>
          </w:p>
          <w:p w14:paraId="5BDDAD5A" w14:textId="77777777" w:rsidR="00547D02" w:rsidRPr="00547D02" w:rsidRDefault="00547D02" w:rsidP="00547D02">
            <w:pPr>
              <w:pStyle w:val="ListParagraph"/>
              <w:numPr>
                <w:ilvl w:val="1"/>
                <w:numId w:val="46"/>
              </w:numPr>
              <w:spacing w:after="0" w:line="240" w:lineRule="auto"/>
              <w:rPr>
                <w:sz w:val="20"/>
                <w:szCs w:val="20"/>
                <w:lang w:eastAsia="ja-JP"/>
              </w:rPr>
            </w:pPr>
            <w:r w:rsidRPr="00547D02">
              <w:rPr>
                <w:sz w:val="20"/>
                <w:szCs w:val="20"/>
                <w:lang w:eastAsia="zh-CN"/>
              </w:rPr>
              <w:t xml:space="preserve">Option 4: The corresponding minimum set of the reduced capabilities that one RedCap UE type shall mandatorily support </w:t>
            </w:r>
          </w:p>
          <w:p w14:paraId="0A27C0A8" w14:textId="05232AB4" w:rsidR="00547D02" w:rsidRDefault="00547D02" w:rsidP="00547D02">
            <w:pPr>
              <w:pStyle w:val="ListParagraph"/>
              <w:numPr>
                <w:ilvl w:val="1"/>
                <w:numId w:val="46"/>
              </w:numPr>
              <w:spacing w:after="0" w:line="240" w:lineRule="auto"/>
            </w:pPr>
            <w:r w:rsidRPr="00547D02">
              <w:rPr>
                <w:sz w:val="20"/>
                <w:szCs w:val="20"/>
                <w:lang w:eastAsia="ja-JP"/>
              </w:rPr>
              <w:t xml:space="preserve">FFS: details of the set of </w:t>
            </w:r>
            <w:r w:rsidRPr="00547D02">
              <w:rPr>
                <w:sz w:val="20"/>
                <w:szCs w:val="20"/>
                <w:lang w:eastAsia="zh-CN"/>
              </w:rPr>
              <w:t xml:space="preserve">reduced </w:t>
            </w:r>
            <w:r w:rsidRPr="00547D02">
              <w:rPr>
                <w:sz w:val="20"/>
                <w:szCs w:val="20"/>
                <w:lang w:eastAsia="ja-JP"/>
              </w:rPr>
              <w:t>capabilities</w:t>
            </w:r>
          </w:p>
        </w:tc>
      </w:tr>
    </w:tbl>
    <w:p w14:paraId="4BA1E0FC" w14:textId="77777777" w:rsidR="002515AE" w:rsidRDefault="002515AE" w:rsidP="009A267E"/>
    <w:p w14:paraId="563151CC" w14:textId="2ED3D00F" w:rsidR="0077262E" w:rsidRDefault="002515AE" w:rsidP="009A267E">
      <w:r>
        <w:t xml:space="preserve">As noted in </w:t>
      </w:r>
      <w:r>
        <w:fldChar w:fldCharType="begin"/>
      </w:r>
      <w:r>
        <w:instrText xml:space="preserve"> REF _Ref78365234 \r \h </w:instrText>
      </w:r>
      <w:r>
        <w:fldChar w:fldCharType="separate"/>
      </w:r>
      <w:r>
        <w:t>[4]</w:t>
      </w:r>
      <w:r>
        <w:fldChar w:fldCharType="end"/>
      </w:r>
      <w:r>
        <w:t>, t</w:t>
      </w:r>
      <w:r w:rsidRPr="00124B5A">
        <w:t>h</w:t>
      </w:r>
      <w:r>
        <w:t>ese</w:t>
      </w:r>
      <w:r w:rsidRPr="00124B5A">
        <w:t xml:space="preserve"> </w:t>
      </w:r>
      <w:r w:rsidR="0077262E">
        <w:t>O</w:t>
      </w:r>
      <w:r w:rsidRPr="00124B5A">
        <w:t xml:space="preserve">ptions </w:t>
      </w:r>
      <w:r>
        <w:t>(</w:t>
      </w:r>
      <w:r w:rsidR="0077262E">
        <w:t>O</w:t>
      </w:r>
      <w:r>
        <w:t xml:space="preserve">ptions 2 and 4) </w:t>
      </w:r>
      <w:r w:rsidRPr="00124B5A">
        <w:t>w</w:t>
      </w:r>
      <w:r>
        <w:t xml:space="preserve">ere </w:t>
      </w:r>
      <w:r w:rsidRPr="00124B5A">
        <w:t>agreed in the study phase</w:t>
      </w:r>
      <w:r>
        <w:t>, not in the normative phase.</w:t>
      </w:r>
      <w:r w:rsidR="00B30F96">
        <w:t xml:space="preserve"> </w:t>
      </w:r>
      <w:r w:rsidR="0077262E">
        <w:t>These options predate the WID decision to have only one RedCap UE type and that the definition</w:t>
      </w:r>
      <w:r w:rsidR="00FC513D">
        <w:t xml:space="preserve"> of UE type</w:t>
      </w:r>
      <w:r w:rsidR="0077262E">
        <w:t xml:space="preserve"> is done using the existing UE capability framework, so the Options themselves are not so clear. </w:t>
      </w:r>
    </w:p>
    <w:p w14:paraId="3FE166BA" w14:textId="61705D34" w:rsidR="002515AE" w:rsidRDefault="0077262E" w:rsidP="009A267E">
      <w:r>
        <w:t xml:space="preserve">We suggest again that we should be focusing per the WID on the FG structure, and </w:t>
      </w:r>
      <w:r w:rsidR="007635E3">
        <w:t>what</w:t>
      </w:r>
      <w:r>
        <w:t xml:space="preserve"> we are going to say in the basic feature group for a RedCap UE type (one for FR1 and one for FR2). </w:t>
      </w:r>
      <w:r w:rsidR="00B30F96">
        <w:t>There</w:t>
      </w:r>
      <w:r w:rsidR="00B30F96" w:rsidRPr="00124B5A">
        <w:t xml:space="preserve"> may </w:t>
      </w:r>
      <w:r w:rsidR="00857040">
        <w:t>be</w:t>
      </w:r>
      <w:r w:rsidR="00B30F96" w:rsidRPr="00124B5A">
        <w:t xml:space="preserve"> just one basic FG for </w:t>
      </w:r>
      <w:r>
        <w:t xml:space="preserve">a </w:t>
      </w:r>
      <w:r w:rsidR="00B30F96" w:rsidRPr="00124B5A">
        <w:t xml:space="preserve">RedCap </w:t>
      </w:r>
      <w:r>
        <w:t xml:space="preserve">device </w:t>
      </w:r>
      <w:r w:rsidR="00B30F96" w:rsidRPr="00124B5A">
        <w:t xml:space="preserve">(or one per FR), and then a set of other dependent FGs that </w:t>
      </w:r>
      <w:r w:rsidR="007635E3">
        <w:t xml:space="preserve">can </w:t>
      </w:r>
      <w:r w:rsidR="00B30F96" w:rsidRPr="00124B5A">
        <w:t xml:space="preserve">handle any necessary differences with non-RedCap </w:t>
      </w:r>
      <w:r w:rsidR="00857040">
        <w:t xml:space="preserve">UEs </w:t>
      </w:r>
      <w:r w:rsidR="00B30F96" w:rsidRPr="00124B5A">
        <w:t>(e.g., since 256QAM is optional we may need capability signaling for it) or between RedCap devices (e.g., number of R</w:t>
      </w:r>
      <w:r w:rsidR="00857040">
        <w:t>x branches</w:t>
      </w:r>
      <w:r w:rsidR="00B30F96" w:rsidRPr="00124B5A">
        <w:t xml:space="preserve"> or MIMO layers). </w:t>
      </w:r>
    </w:p>
    <w:p w14:paraId="18C96DCD" w14:textId="002299D5" w:rsidR="00B30F96" w:rsidRDefault="00B30F96" w:rsidP="00B30F96">
      <w:r>
        <w:t xml:space="preserve">Most likely this </w:t>
      </w:r>
      <w:r w:rsidR="0077262E">
        <w:t xml:space="preserve">basic FG </w:t>
      </w:r>
      <w:r>
        <w:t xml:space="preserve">will be similar to Option 4, which we could take as a working </w:t>
      </w:r>
      <w:r w:rsidR="007635E3">
        <w:t>assumption,</w:t>
      </w:r>
      <w:r>
        <w:t xml:space="preserve"> so we do not have to discuss updating the definition of the </w:t>
      </w:r>
      <w:r w:rsidR="0077262E">
        <w:t>o</w:t>
      </w:r>
      <w:r>
        <w:t xml:space="preserve">ption. </w:t>
      </w:r>
    </w:p>
    <w:p w14:paraId="658AD325" w14:textId="2D17EBF5" w:rsidR="0077262E" w:rsidRPr="005F5349" w:rsidRDefault="0077262E" w:rsidP="0077262E">
      <w:pPr>
        <w:autoSpaceDE/>
        <w:autoSpaceDN/>
        <w:adjustRightInd/>
        <w:snapToGrid/>
        <w:jc w:val="left"/>
        <w:rPr>
          <w:rFonts w:eastAsia="Times New Roman"/>
          <w:b/>
          <w:bCs/>
          <w:i/>
          <w:iCs/>
          <w:sz w:val="20"/>
          <w:szCs w:val="20"/>
          <w:lang w:eastAsia="ja-JP"/>
        </w:rPr>
      </w:pPr>
      <w:r w:rsidRPr="005F5349">
        <w:rPr>
          <w:b/>
          <w:bCs/>
          <w:i/>
          <w:iCs/>
        </w:rPr>
        <w:t xml:space="preserve">Proposal </w:t>
      </w:r>
      <w:r>
        <w:rPr>
          <w:b/>
          <w:bCs/>
          <w:i/>
          <w:iCs/>
        </w:rPr>
        <w:t>2</w:t>
      </w:r>
      <w:r w:rsidRPr="005F5349">
        <w:rPr>
          <w:b/>
          <w:bCs/>
          <w:i/>
          <w:iCs/>
        </w:rPr>
        <w:t xml:space="preserve">: </w:t>
      </w:r>
      <w:r>
        <w:rPr>
          <w:b/>
          <w:bCs/>
          <w:i/>
          <w:iCs/>
        </w:rPr>
        <w:t xml:space="preserve">Modify </w:t>
      </w:r>
      <w:r w:rsidR="00BD46BC">
        <w:rPr>
          <w:b/>
          <w:bCs/>
          <w:i/>
          <w:iCs/>
        </w:rPr>
        <w:t xml:space="preserve">the </w:t>
      </w:r>
      <w:r>
        <w:rPr>
          <w:b/>
          <w:bCs/>
          <w:i/>
          <w:iCs/>
        </w:rPr>
        <w:t>working assumption</w:t>
      </w:r>
      <w:r w:rsidR="00BD46BC" w:rsidRPr="00BD46BC">
        <w:t xml:space="preserve"> </w:t>
      </w:r>
      <w:r w:rsidR="00BD46BC">
        <w:rPr>
          <w:b/>
          <w:bCs/>
          <w:i/>
          <w:iCs/>
        </w:rPr>
        <w:t xml:space="preserve">for the definition for </w:t>
      </w:r>
      <w:r w:rsidR="00BD46BC" w:rsidRPr="00BD46BC">
        <w:rPr>
          <w:b/>
          <w:bCs/>
          <w:i/>
          <w:iCs/>
        </w:rPr>
        <w:t>RedCap UE type</w:t>
      </w:r>
      <w:r>
        <w:rPr>
          <w:b/>
          <w:bCs/>
          <w:i/>
          <w:iCs/>
        </w:rPr>
        <w:t xml:space="preserve"> to focus only on Option 4.</w:t>
      </w:r>
    </w:p>
    <w:p w14:paraId="00F79B44" w14:textId="44029723" w:rsidR="00FC513D" w:rsidRDefault="00FC513D" w:rsidP="00583971">
      <w:r>
        <w:t xml:space="preserve">Based on discussions, agreements, and working assumptions over several meetings, it </w:t>
      </w:r>
      <w:r w:rsidR="00001E84">
        <w:t>appears likely that</w:t>
      </w:r>
      <w:r>
        <w:t xml:space="preserve"> the minimum set of reduced capabilities </w:t>
      </w:r>
      <w:r w:rsidR="00001E84">
        <w:t>includes reduced bandwidth and a reduced number of Rx branches.</w:t>
      </w:r>
    </w:p>
    <w:p w14:paraId="32B25532" w14:textId="0EE1A159" w:rsidR="00B32C2B" w:rsidRDefault="00181828" w:rsidP="00583971">
      <w:r>
        <w:t>This proposal</w:t>
      </w:r>
      <w:r w:rsidR="0077262E">
        <w:t xml:space="preserve"> in the FL summary</w:t>
      </w:r>
      <w:r>
        <w:t xml:space="preserve"> had agreement from most companies </w:t>
      </w:r>
      <w:r>
        <w:fldChar w:fldCharType="begin"/>
      </w:r>
      <w:r>
        <w:instrText xml:space="preserve"> REF _Ref78365234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307"/>
      </w:tblGrid>
      <w:tr w:rsidR="00181828" w14:paraId="58DB06D2" w14:textId="77777777" w:rsidTr="00181828">
        <w:tc>
          <w:tcPr>
            <w:tcW w:w="9307" w:type="dxa"/>
          </w:tcPr>
          <w:p w14:paraId="0A741A00" w14:textId="77777777" w:rsidR="00181828" w:rsidRPr="00181828" w:rsidRDefault="00181828" w:rsidP="00181828">
            <w:pPr>
              <w:rPr>
                <w:sz w:val="20"/>
                <w:szCs w:val="20"/>
              </w:rPr>
            </w:pPr>
            <w:r w:rsidRPr="00181828">
              <w:rPr>
                <w:sz w:val="20"/>
                <w:szCs w:val="20"/>
              </w:rPr>
              <w:t>Medium Priority Proposal 5-1:</w:t>
            </w:r>
          </w:p>
          <w:p w14:paraId="23163AC2" w14:textId="046B79DB" w:rsidR="00181828" w:rsidRPr="00181828" w:rsidRDefault="00181828" w:rsidP="00181828">
            <w:pPr>
              <w:pStyle w:val="ListParagraph"/>
              <w:numPr>
                <w:ilvl w:val="0"/>
                <w:numId w:val="46"/>
              </w:numPr>
              <w:spacing w:after="0" w:line="240" w:lineRule="auto"/>
              <w:rPr>
                <w:sz w:val="20"/>
                <w:szCs w:val="20"/>
                <w:lang w:eastAsia="zh-CN"/>
              </w:rPr>
            </w:pPr>
            <w:r w:rsidRPr="00181828">
              <w:rPr>
                <w:sz w:val="20"/>
                <w:szCs w:val="20"/>
                <w:lang w:eastAsia="zh-CN"/>
              </w:rPr>
              <w:t>For the necessary updates of UE capabilities, current definition of mandatory/optional support of L1 UE capabilities in TS38.306 is reused for RedCap UEs by default unless any update is identified</w:t>
            </w:r>
          </w:p>
          <w:p w14:paraId="422D246B" w14:textId="0286DEF5" w:rsidR="00181828" w:rsidRPr="00181828" w:rsidRDefault="00181828" w:rsidP="00583971">
            <w:pPr>
              <w:pStyle w:val="ListParagraph"/>
              <w:numPr>
                <w:ilvl w:val="1"/>
                <w:numId w:val="46"/>
              </w:numPr>
              <w:spacing w:after="0" w:line="240" w:lineRule="auto"/>
              <w:rPr>
                <w:sz w:val="20"/>
                <w:szCs w:val="20"/>
                <w:lang w:eastAsia="zh-CN"/>
              </w:rPr>
            </w:pPr>
            <w:r w:rsidRPr="00181828">
              <w:rPr>
                <w:sz w:val="20"/>
                <w:szCs w:val="20"/>
                <w:lang w:eastAsia="zh-CN"/>
              </w:rPr>
              <w:t>Note: UE capabilities related to CA, DC and wider max UE bandwidth are not applicable to RedCap UEs</w:t>
            </w:r>
          </w:p>
        </w:tc>
      </w:tr>
    </w:tbl>
    <w:p w14:paraId="4E58F4FE" w14:textId="00F257DD" w:rsidR="00B30F96" w:rsidRDefault="00B30F96" w:rsidP="00583971"/>
    <w:p w14:paraId="6C2165C8" w14:textId="67EFB55A" w:rsidR="00181828" w:rsidRDefault="00181828" w:rsidP="00583971">
      <w:r>
        <w:t>This approach make</w:t>
      </w:r>
      <w:r w:rsidR="0077262E">
        <w:t>s</w:t>
      </w:r>
      <w:r>
        <w:t xml:space="preserve"> </w:t>
      </w:r>
      <w:r w:rsidR="00276DC1">
        <w:t xml:space="preserve">sense from a practical perspective: there are over 700 capabilities listed in 38.306, including those related to CA, DC, and wider max UE bandwidth. To re-evaluate all is not realistic. </w:t>
      </w:r>
    </w:p>
    <w:p w14:paraId="042EE2EB" w14:textId="7EF8AA26" w:rsidR="00276DC1" w:rsidRPr="00276DC1" w:rsidRDefault="00276DC1" w:rsidP="00276DC1">
      <w:pPr>
        <w:autoSpaceDE/>
        <w:autoSpaceDN/>
        <w:adjustRightInd/>
        <w:snapToGrid/>
        <w:jc w:val="left"/>
        <w:rPr>
          <w:b/>
          <w:bCs/>
          <w:i/>
          <w:iCs/>
        </w:rPr>
      </w:pPr>
      <w:r w:rsidRPr="005F5349">
        <w:rPr>
          <w:b/>
          <w:bCs/>
          <w:i/>
          <w:iCs/>
        </w:rPr>
        <w:t xml:space="preserve">Proposal </w:t>
      </w:r>
      <w:r w:rsidR="0077262E">
        <w:rPr>
          <w:b/>
          <w:bCs/>
          <w:i/>
          <w:iCs/>
        </w:rPr>
        <w:t>3</w:t>
      </w:r>
      <w:r w:rsidRPr="005F5349">
        <w:rPr>
          <w:b/>
          <w:bCs/>
          <w:i/>
          <w:iCs/>
        </w:rPr>
        <w:t xml:space="preserve">: </w:t>
      </w:r>
      <w:r>
        <w:rPr>
          <w:b/>
          <w:bCs/>
          <w:i/>
          <w:iCs/>
        </w:rPr>
        <w:t>Agree to the proposal “</w:t>
      </w:r>
      <w:r w:rsidR="00BC0E55" w:rsidRPr="00BC0E55">
        <w:rPr>
          <w:b/>
          <w:bCs/>
          <w:i/>
          <w:iCs/>
        </w:rPr>
        <w:t>current definition of mandatory/optional support of L1 UE capabilities in TS38.306 is reused for RedCap UEs by default unless any update is identified</w:t>
      </w:r>
      <w:r w:rsidR="00BC0E55">
        <w:rPr>
          <w:b/>
          <w:bCs/>
          <w:i/>
          <w:iCs/>
        </w:rPr>
        <w:t>”</w:t>
      </w:r>
      <w:r w:rsidRPr="00276DC1">
        <w:rPr>
          <w:b/>
          <w:bCs/>
          <w:i/>
          <w:iCs/>
        </w:rPr>
        <w:t>.</w:t>
      </w:r>
    </w:p>
    <w:p w14:paraId="1DE92B99" w14:textId="77777777" w:rsidR="00181828" w:rsidRPr="00373C7B" w:rsidRDefault="00181828" w:rsidP="00373C7B"/>
    <w:p w14:paraId="1A801C54" w14:textId="5BBF2CFF" w:rsidR="004B3422" w:rsidRPr="00E27CC0" w:rsidRDefault="004B3422" w:rsidP="004B3422">
      <w:pPr>
        <w:pStyle w:val="Heading1"/>
        <w:tabs>
          <w:tab w:val="clear" w:pos="432"/>
        </w:tabs>
      </w:pPr>
      <w:bookmarkStart w:id="3" w:name="_Ref129681832"/>
      <w:r>
        <w:t>Conclusion</w:t>
      </w:r>
    </w:p>
    <w:p w14:paraId="27C0A301" w14:textId="38EB0B99" w:rsidR="00D173B5" w:rsidRDefault="00E93024" w:rsidP="00DB5432">
      <w:r w:rsidRPr="007F5EC6">
        <w:t>In this contribution,</w:t>
      </w:r>
      <w:r w:rsidR="0077262E">
        <w:t xml:space="preserve"> we provide proposals regarding the working assumptions and </w:t>
      </w:r>
      <w:r w:rsidR="007635E3">
        <w:t>open items</w:t>
      </w:r>
      <w:r w:rsidR="00D173B5">
        <w:t>.</w:t>
      </w:r>
    </w:p>
    <w:p w14:paraId="23839180" w14:textId="1A74331C" w:rsidR="00BD46BC" w:rsidRPr="005F5349" w:rsidRDefault="00BD46BC" w:rsidP="00BD46BC">
      <w:pPr>
        <w:autoSpaceDE/>
        <w:autoSpaceDN/>
        <w:adjustRightInd/>
        <w:snapToGrid/>
        <w:jc w:val="left"/>
        <w:rPr>
          <w:rFonts w:eastAsia="Times New Roman"/>
          <w:b/>
          <w:bCs/>
          <w:i/>
          <w:iCs/>
          <w:sz w:val="20"/>
          <w:szCs w:val="20"/>
          <w:lang w:eastAsia="ja-JP"/>
        </w:rPr>
      </w:pPr>
      <w:r w:rsidRPr="005F5349">
        <w:rPr>
          <w:b/>
          <w:bCs/>
          <w:i/>
          <w:iCs/>
        </w:rPr>
        <w:t xml:space="preserve">Proposal 1: Confirm the working assumption “for </w:t>
      </w:r>
      <w:r w:rsidRPr="005F5349">
        <w:rPr>
          <w:rFonts w:eastAsia="Times New Roman"/>
          <w:b/>
          <w:bCs/>
          <w:i/>
          <w:iCs/>
          <w:sz w:val="20"/>
          <w:szCs w:val="20"/>
          <w:lang w:eastAsia="zh-CN"/>
        </w:rPr>
        <w:t>4-step RACH, support the early indication of RedCap UEs at least i</w:t>
      </w:r>
      <w:r w:rsidRPr="00276DC1">
        <w:rPr>
          <w:b/>
          <w:bCs/>
          <w:i/>
          <w:iCs/>
        </w:rPr>
        <w:t>n Msg1”.</w:t>
      </w:r>
    </w:p>
    <w:p w14:paraId="3B5A8940" w14:textId="77777777" w:rsidR="00BD46BC" w:rsidRPr="005F5349" w:rsidRDefault="00BD46BC" w:rsidP="00BD46BC">
      <w:pPr>
        <w:autoSpaceDE/>
        <w:autoSpaceDN/>
        <w:adjustRightInd/>
        <w:snapToGrid/>
        <w:jc w:val="left"/>
        <w:rPr>
          <w:rFonts w:eastAsia="Times New Roman"/>
          <w:b/>
          <w:bCs/>
          <w:i/>
          <w:iCs/>
          <w:sz w:val="20"/>
          <w:szCs w:val="20"/>
          <w:lang w:eastAsia="ja-JP"/>
        </w:rPr>
      </w:pPr>
      <w:r w:rsidRPr="005F5349">
        <w:rPr>
          <w:b/>
          <w:bCs/>
          <w:i/>
          <w:iCs/>
        </w:rPr>
        <w:t xml:space="preserve">Proposal </w:t>
      </w:r>
      <w:r>
        <w:rPr>
          <w:b/>
          <w:bCs/>
          <w:i/>
          <w:iCs/>
        </w:rPr>
        <w:t>2</w:t>
      </w:r>
      <w:r w:rsidRPr="005F5349">
        <w:rPr>
          <w:b/>
          <w:bCs/>
          <w:i/>
          <w:iCs/>
        </w:rPr>
        <w:t xml:space="preserve">: </w:t>
      </w:r>
      <w:r>
        <w:rPr>
          <w:b/>
          <w:bCs/>
          <w:i/>
          <w:iCs/>
        </w:rPr>
        <w:t>Modify the working assumption</w:t>
      </w:r>
      <w:r w:rsidRPr="00BD46BC">
        <w:t xml:space="preserve"> </w:t>
      </w:r>
      <w:r>
        <w:rPr>
          <w:b/>
          <w:bCs/>
          <w:i/>
          <w:iCs/>
        </w:rPr>
        <w:t xml:space="preserve">for the definition for </w:t>
      </w:r>
      <w:r w:rsidRPr="00BD46BC">
        <w:rPr>
          <w:b/>
          <w:bCs/>
          <w:i/>
          <w:iCs/>
        </w:rPr>
        <w:t>RedCap UE type</w:t>
      </w:r>
      <w:r>
        <w:rPr>
          <w:b/>
          <w:bCs/>
          <w:i/>
          <w:iCs/>
        </w:rPr>
        <w:t xml:space="preserve"> to focus only on Option 4.</w:t>
      </w:r>
    </w:p>
    <w:p w14:paraId="6E4C2CA1" w14:textId="77777777" w:rsidR="00BD46BC" w:rsidRPr="00276DC1" w:rsidRDefault="00BD46BC" w:rsidP="00BD46BC">
      <w:pPr>
        <w:autoSpaceDE/>
        <w:autoSpaceDN/>
        <w:adjustRightInd/>
        <w:snapToGrid/>
        <w:jc w:val="left"/>
        <w:rPr>
          <w:b/>
          <w:bCs/>
          <w:i/>
          <w:iCs/>
        </w:rPr>
      </w:pPr>
      <w:r w:rsidRPr="005F5349">
        <w:rPr>
          <w:b/>
          <w:bCs/>
          <w:i/>
          <w:iCs/>
        </w:rPr>
        <w:t xml:space="preserve">Proposal </w:t>
      </w:r>
      <w:r>
        <w:rPr>
          <w:b/>
          <w:bCs/>
          <w:i/>
          <w:iCs/>
        </w:rPr>
        <w:t>3</w:t>
      </w:r>
      <w:r w:rsidRPr="005F5349">
        <w:rPr>
          <w:b/>
          <w:bCs/>
          <w:i/>
          <w:iCs/>
        </w:rPr>
        <w:t xml:space="preserve">: </w:t>
      </w:r>
      <w:r>
        <w:rPr>
          <w:b/>
          <w:bCs/>
          <w:i/>
          <w:iCs/>
        </w:rPr>
        <w:t>Agree to the proposal “</w:t>
      </w:r>
      <w:r w:rsidRPr="00BC0E55">
        <w:rPr>
          <w:b/>
          <w:bCs/>
          <w:i/>
          <w:iCs/>
        </w:rPr>
        <w:t>current definition of mandatory/optional support of L1 UE capabilities in TS38.306 is reused for RedCap UEs by default unless any update is identified</w:t>
      </w:r>
      <w:r>
        <w:rPr>
          <w:b/>
          <w:bCs/>
          <w:i/>
          <w:iCs/>
        </w:rPr>
        <w:t>”</w:t>
      </w:r>
      <w:r w:rsidRPr="00276DC1">
        <w:rPr>
          <w:b/>
          <w:bCs/>
          <w:i/>
          <w:iCs/>
        </w:rPr>
        <w:t>.</w:t>
      </w:r>
    </w:p>
    <w:p w14:paraId="584BE1E5" w14:textId="77777777" w:rsidR="00BD46BC" w:rsidRDefault="00BD46BC" w:rsidP="00DB5432"/>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lastRenderedPageBreak/>
        <w:t>References</w:t>
      </w:r>
    </w:p>
    <w:p w14:paraId="0C91BF73" w14:textId="47771399" w:rsidR="002A16D5" w:rsidRPr="007C4F6F" w:rsidRDefault="003079C4" w:rsidP="002A16D5">
      <w:pPr>
        <w:pStyle w:val="References"/>
        <w:rPr>
          <w:lang w:val="en-GB" w:eastAsia="zh-CN"/>
        </w:rPr>
      </w:pPr>
      <w:bookmarkStart w:id="7" w:name="_Ref60902124"/>
      <w:bookmarkEnd w:id="3"/>
      <w:bookmarkEnd w:id="4"/>
      <w:bookmarkEnd w:id="5"/>
      <w:bookmarkEnd w:id="6"/>
      <w:r>
        <w:rPr>
          <w:lang w:val="en-GB"/>
        </w:rPr>
        <w:t>RP-210918</w:t>
      </w:r>
      <w:r>
        <w:rPr>
          <w:lang w:eastAsia="zh-CN"/>
        </w:rPr>
        <w:t>, “New WID on support of reduced capability NR devices”, Ericsson, Nokia, RAN#91e, Mar. 22-26, 2021.</w:t>
      </w:r>
      <w:bookmarkEnd w:id="7"/>
    </w:p>
    <w:p w14:paraId="1E3A13B5" w14:textId="22921183" w:rsidR="00131C65" w:rsidRPr="00F16977" w:rsidRDefault="002F5618" w:rsidP="00131C65">
      <w:pPr>
        <w:pStyle w:val="References"/>
        <w:rPr>
          <w:lang w:val="en-GB" w:eastAsia="zh-CN"/>
        </w:rPr>
      </w:pPr>
      <w:bookmarkStart w:id="8" w:name="_Ref71472695"/>
      <w:r w:rsidRPr="002F5618">
        <w:rPr>
          <w:lang w:val="en-GB" w:eastAsia="zh-CN"/>
        </w:rPr>
        <w:t>R1-2104191</w:t>
      </w:r>
      <w:r w:rsidR="00131C65">
        <w:rPr>
          <w:lang w:val="en-GB" w:eastAsia="zh-CN"/>
        </w:rPr>
        <w:t>,</w:t>
      </w:r>
      <w:r w:rsidR="00131C65" w:rsidRPr="00131C65">
        <w:rPr>
          <w:lang w:val="en-GB" w:eastAsia="zh-CN"/>
        </w:rPr>
        <w:t xml:space="preserve"> </w:t>
      </w:r>
      <w:r w:rsidR="00131C65">
        <w:rPr>
          <w:lang w:val="en-GB" w:eastAsia="zh-CN"/>
        </w:rPr>
        <w:t>“</w:t>
      </w:r>
      <w:r>
        <w:t>Discussion on the Identification of RedCap UEs</w:t>
      </w:r>
      <w:r w:rsidR="00131C65">
        <w:rPr>
          <w:lang w:val="en-GB" w:eastAsia="zh-CN"/>
        </w:rPr>
        <w:t>”, FUTUREWEI, RAN1#105, May 19-27, 2021.</w:t>
      </w:r>
      <w:bookmarkEnd w:id="8"/>
    </w:p>
    <w:p w14:paraId="146B5F9B" w14:textId="32CBDAF5" w:rsidR="00A84D0A" w:rsidRDefault="00A84D0A" w:rsidP="00A84D0A">
      <w:pPr>
        <w:pStyle w:val="References"/>
        <w:rPr>
          <w:lang w:val="en-GB" w:eastAsia="zh-CN"/>
        </w:rPr>
      </w:pPr>
      <w:bookmarkStart w:id="9" w:name="_Ref71475691"/>
      <w:r>
        <w:rPr>
          <w:lang w:val="en-GB" w:eastAsia="zh-CN"/>
        </w:rPr>
        <w:t>Chair notes,</w:t>
      </w:r>
      <w:r w:rsidRPr="001E59DC">
        <w:rPr>
          <w:lang w:val="en-GB" w:eastAsia="zh-CN"/>
        </w:rPr>
        <w:t xml:space="preserve"> </w:t>
      </w:r>
      <w:r>
        <w:rPr>
          <w:lang w:val="en-GB" w:eastAsia="zh-CN"/>
        </w:rPr>
        <w:t>RAN1#10</w:t>
      </w:r>
      <w:r w:rsidR="002F5618">
        <w:rPr>
          <w:lang w:val="en-GB" w:eastAsia="zh-CN"/>
        </w:rPr>
        <w:t>5</w:t>
      </w:r>
      <w:r>
        <w:rPr>
          <w:lang w:val="en-GB" w:eastAsia="zh-CN"/>
        </w:rPr>
        <w:t xml:space="preserve">, </w:t>
      </w:r>
      <w:r w:rsidR="002F5618">
        <w:rPr>
          <w:lang w:val="en-GB" w:eastAsia="zh-CN"/>
        </w:rPr>
        <w:t>May</w:t>
      </w:r>
      <w:r>
        <w:rPr>
          <w:lang w:val="en-GB" w:eastAsia="zh-CN"/>
        </w:rPr>
        <w:t xml:space="preserve"> 1</w:t>
      </w:r>
      <w:r w:rsidR="002F5618">
        <w:rPr>
          <w:lang w:val="en-GB" w:eastAsia="zh-CN"/>
        </w:rPr>
        <w:t>9</w:t>
      </w:r>
      <w:r>
        <w:rPr>
          <w:lang w:val="en-GB" w:eastAsia="zh-CN"/>
        </w:rPr>
        <w:t>-2</w:t>
      </w:r>
      <w:r w:rsidR="002F5618">
        <w:rPr>
          <w:lang w:val="en-GB" w:eastAsia="zh-CN"/>
        </w:rPr>
        <w:t>7</w:t>
      </w:r>
      <w:r>
        <w:rPr>
          <w:lang w:val="en-GB" w:eastAsia="zh-CN"/>
        </w:rPr>
        <w:t>, 2021.</w:t>
      </w:r>
      <w:bookmarkEnd w:id="9"/>
    </w:p>
    <w:p w14:paraId="579D7642" w14:textId="01F19CF9" w:rsidR="00124B5A" w:rsidRPr="00124B5A" w:rsidRDefault="00124B5A" w:rsidP="00124B5A">
      <w:pPr>
        <w:pStyle w:val="References"/>
        <w:rPr>
          <w:lang w:val="en-GB" w:eastAsia="zh-CN"/>
        </w:rPr>
      </w:pPr>
      <w:bookmarkStart w:id="10" w:name="_Ref78365234"/>
      <w:r w:rsidRPr="00124B5A">
        <w:rPr>
          <w:lang w:val="en-GB" w:eastAsia="zh-CN"/>
        </w:rPr>
        <w:t>R1-2106328</w:t>
      </w:r>
      <w:r>
        <w:rPr>
          <w:lang w:val="en-GB" w:eastAsia="zh-CN"/>
        </w:rPr>
        <w:t>, “</w:t>
      </w:r>
      <w:r w:rsidRPr="00124B5A">
        <w:rPr>
          <w:lang w:val="en-GB" w:eastAsia="zh-CN"/>
        </w:rPr>
        <w:t xml:space="preserve">FL summary #5 on RAN1 aspects for RAN2-led features for </w:t>
      </w:r>
      <w:r>
        <w:rPr>
          <w:lang w:val="en-GB" w:eastAsia="zh-CN"/>
        </w:rPr>
        <w:t>RedCap”,</w:t>
      </w:r>
      <w:r w:rsidRPr="00124B5A">
        <w:rPr>
          <w:lang w:val="en-GB" w:eastAsia="zh-CN"/>
        </w:rPr>
        <w:t xml:space="preserve"> NTT DOCOMO</w:t>
      </w:r>
      <w:r>
        <w:rPr>
          <w:lang w:val="en-GB" w:eastAsia="zh-CN"/>
        </w:rPr>
        <w:t>,</w:t>
      </w:r>
      <w:r w:rsidRPr="00124B5A">
        <w:rPr>
          <w:lang w:val="en-GB" w:eastAsia="zh-CN"/>
        </w:rPr>
        <w:t xml:space="preserve"> </w:t>
      </w:r>
      <w:r>
        <w:rPr>
          <w:lang w:val="en-GB" w:eastAsia="zh-CN"/>
        </w:rPr>
        <w:t>RAN1#105, May 19-27, 2021.</w:t>
      </w:r>
      <w:bookmarkEnd w:id="10"/>
    </w:p>
    <w:p w14:paraId="1F2885D6" w14:textId="77777777" w:rsidR="00276D8B" w:rsidRPr="00F16977" w:rsidRDefault="00276D8B" w:rsidP="002F718C">
      <w:pPr>
        <w:rPr>
          <w:lang w:val="en-GB" w:eastAsia="zh-CN"/>
        </w:rPr>
      </w:pPr>
    </w:p>
    <w:sectPr w:rsidR="00276D8B"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C8963" w14:textId="77777777" w:rsidR="0054037B" w:rsidRDefault="0054037B">
      <w:r>
        <w:separator/>
      </w:r>
    </w:p>
  </w:endnote>
  <w:endnote w:type="continuationSeparator" w:id="0">
    <w:p w14:paraId="6EE79D8F" w14:textId="77777777" w:rsidR="0054037B" w:rsidRDefault="0054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F2A6D" w14:textId="77777777" w:rsidR="0054037B" w:rsidRDefault="0054037B">
      <w:r>
        <w:separator/>
      </w:r>
    </w:p>
  </w:footnote>
  <w:footnote w:type="continuationSeparator" w:id="0">
    <w:p w14:paraId="0A1B162E" w14:textId="77777777" w:rsidR="0054037B" w:rsidRDefault="00540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22F7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6AA6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B06B8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C8C7B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68E272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CC0455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7AA0A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0A32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57694E0"/>
    <w:lvl w:ilvl="0">
      <w:start w:val="1"/>
      <w:numFmt w:val="decimal"/>
      <w:lvlText w:val="%1."/>
      <w:lvlJc w:val="left"/>
      <w:pPr>
        <w:tabs>
          <w:tab w:val="num" w:pos="360"/>
        </w:tabs>
        <w:ind w:left="360" w:hanging="360"/>
      </w:pPr>
    </w:lvl>
  </w:abstractNum>
  <w:abstractNum w:abstractNumId="9"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600F6A"/>
    <w:multiLevelType w:val="hybridMultilevel"/>
    <w:tmpl w:val="B71884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13173E2"/>
    <w:multiLevelType w:val="hybridMultilevel"/>
    <w:tmpl w:val="4C163F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1444AC3"/>
    <w:multiLevelType w:val="hybridMultilevel"/>
    <w:tmpl w:val="9B8E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15:restartNumberingAfterBreak="0">
    <w:nsid w:val="35B7797E"/>
    <w:multiLevelType w:val="hybridMultilevel"/>
    <w:tmpl w:val="7EAAA0D2"/>
    <w:lvl w:ilvl="0" w:tplc="0400E20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9"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E092EC1"/>
    <w:multiLevelType w:val="hybridMultilevel"/>
    <w:tmpl w:val="272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E61CC9"/>
    <w:multiLevelType w:val="hybridMultilevel"/>
    <w:tmpl w:val="08A27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9E21B14"/>
    <w:multiLevelType w:val="hybridMultilevel"/>
    <w:tmpl w:val="FFCE3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985F9A"/>
    <w:multiLevelType w:val="multilevel"/>
    <w:tmpl w:val="BAD4C6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EC449C"/>
    <w:multiLevelType w:val="hybridMultilevel"/>
    <w:tmpl w:val="C2908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40"/>
  </w:num>
  <w:num w:numId="4">
    <w:abstractNumId w:val="43"/>
  </w:num>
  <w:num w:numId="5">
    <w:abstractNumId w:val="29"/>
  </w:num>
  <w:num w:numId="6">
    <w:abstractNumId w:val="13"/>
  </w:num>
  <w:num w:numId="7">
    <w:abstractNumId w:val="16"/>
  </w:num>
  <w:num w:numId="8">
    <w:abstractNumId w:val="37"/>
  </w:num>
  <w:num w:numId="9">
    <w:abstractNumId w:val="36"/>
  </w:num>
  <w:num w:numId="10">
    <w:abstractNumId w:val="11"/>
  </w:num>
  <w:num w:numId="11">
    <w:abstractNumId w:val="33"/>
  </w:num>
  <w:num w:numId="12">
    <w:abstractNumId w:val="12"/>
  </w:num>
  <w:num w:numId="13">
    <w:abstractNumId w:val="9"/>
  </w:num>
  <w:num w:numId="14">
    <w:abstractNumId w:val="31"/>
  </w:num>
  <w:num w:numId="15">
    <w:abstractNumId w:val="20"/>
  </w:num>
  <w:num w:numId="16">
    <w:abstractNumId w:val="38"/>
  </w:num>
  <w:num w:numId="17">
    <w:abstractNumId w:val="44"/>
  </w:num>
  <w:num w:numId="18">
    <w:abstractNumId w:val="18"/>
  </w:num>
  <w:num w:numId="19">
    <w:abstractNumId w:val="10"/>
  </w:num>
  <w:num w:numId="20">
    <w:abstractNumId w:val="41"/>
  </w:num>
  <w:num w:numId="21">
    <w:abstractNumId w:val="27"/>
  </w:num>
  <w:num w:numId="22">
    <w:abstractNumId w:val="10"/>
  </w:num>
  <w:num w:numId="23">
    <w:abstractNumId w:val="22"/>
  </w:num>
  <w:num w:numId="24">
    <w:abstractNumId w:val="25"/>
  </w:num>
  <w:num w:numId="25">
    <w:abstractNumId w:val="30"/>
  </w:num>
  <w:num w:numId="26">
    <w:abstractNumId w:val="23"/>
  </w:num>
  <w:num w:numId="27">
    <w:abstractNumId w:val="42"/>
  </w:num>
  <w:num w:numId="28">
    <w:abstractNumId w:val="39"/>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2"/>
  </w:num>
  <w:num w:numId="33">
    <w:abstractNumId w:val="34"/>
  </w:num>
  <w:num w:numId="34">
    <w:abstractNumId w:val="19"/>
  </w:num>
  <w:num w:numId="35">
    <w:abstractNumId w:val="26"/>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35"/>
  </w:num>
  <w:num w:numId="46">
    <w:abstractNumId w:val="17"/>
  </w:num>
  <w:num w:numId="4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E84"/>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628"/>
    <w:rsid w:val="00007813"/>
    <w:rsid w:val="000102D7"/>
    <w:rsid w:val="000109E6"/>
    <w:rsid w:val="00010CD9"/>
    <w:rsid w:val="0001116D"/>
    <w:rsid w:val="00011278"/>
    <w:rsid w:val="00011F67"/>
    <w:rsid w:val="00012862"/>
    <w:rsid w:val="000128E6"/>
    <w:rsid w:val="00012F77"/>
    <w:rsid w:val="00013371"/>
    <w:rsid w:val="00013612"/>
    <w:rsid w:val="0001410B"/>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4919"/>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5DAA"/>
    <w:rsid w:val="000565C8"/>
    <w:rsid w:val="000567AD"/>
    <w:rsid w:val="0005748D"/>
    <w:rsid w:val="00057DC8"/>
    <w:rsid w:val="00060AB2"/>
    <w:rsid w:val="00060E7E"/>
    <w:rsid w:val="000612E1"/>
    <w:rsid w:val="000614FE"/>
    <w:rsid w:val="00061C0B"/>
    <w:rsid w:val="00062839"/>
    <w:rsid w:val="0006295E"/>
    <w:rsid w:val="00063C08"/>
    <w:rsid w:val="0006422F"/>
    <w:rsid w:val="00064C68"/>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992"/>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8DC"/>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832"/>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0FC9"/>
    <w:rsid w:val="00121162"/>
    <w:rsid w:val="00122412"/>
    <w:rsid w:val="00122B25"/>
    <w:rsid w:val="001233BB"/>
    <w:rsid w:val="00124258"/>
    <w:rsid w:val="0012449B"/>
    <w:rsid w:val="00124875"/>
    <w:rsid w:val="00124B5A"/>
    <w:rsid w:val="00124D84"/>
    <w:rsid w:val="00124D97"/>
    <w:rsid w:val="001250DD"/>
    <w:rsid w:val="00125733"/>
    <w:rsid w:val="001263AA"/>
    <w:rsid w:val="001273F3"/>
    <w:rsid w:val="00130779"/>
    <w:rsid w:val="001307A1"/>
    <w:rsid w:val="00130D24"/>
    <w:rsid w:val="00130F5A"/>
    <w:rsid w:val="001314A8"/>
    <w:rsid w:val="0013160D"/>
    <w:rsid w:val="00131C65"/>
    <w:rsid w:val="001321D3"/>
    <w:rsid w:val="00132FAA"/>
    <w:rsid w:val="00133129"/>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71F"/>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828"/>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4867"/>
    <w:rsid w:val="001D5033"/>
    <w:rsid w:val="001D5058"/>
    <w:rsid w:val="001D5453"/>
    <w:rsid w:val="001D5783"/>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9DC"/>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64D"/>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5AE"/>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428"/>
    <w:rsid w:val="002606D6"/>
    <w:rsid w:val="00260F70"/>
    <w:rsid w:val="00261C98"/>
    <w:rsid w:val="00262339"/>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F99"/>
    <w:rsid w:val="00276851"/>
    <w:rsid w:val="00276A35"/>
    <w:rsid w:val="00276D8B"/>
    <w:rsid w:val="00276DC1"/>
    <w:rsid w:val="00276F36"/>
    <w:rsid w:val="0027746E"/>
    <w:rsid w:val="002774DD"/>
    <w:rsid w:val="00277835"/>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59AF"/>
    <w:rsid w:val="00285F67"/>
    <w:rsid w:val="0028633B"/>
    <w:rsid w:val="002866AD"/>
    <w:rsid w:val="00286AE7"/>
    <w:rsid w:val="00287243"/>
    <w:rsid w:val="00287552"/>
    <w:rsid w:val="00290647"/>
    <w:rsid w:val="00291385"/>
    <w:rsid w:val="00291422"/>
    <w:rsid w:val="00291A48"/>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6B"/>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2CDD"/>
    <w:rsid w:val="002E3341"/>
    <w:rsid w:val="002E3C65"/>
    <w:rsid w:val="002E3F5B"/>
    <w:rsid w:val="002E4362"/>
    <w:rsid w:val="002E45EB"/>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618"/>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3724"/>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079C4"/>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95F"/>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9AC"/>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582"/>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6EC3"/>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E7F9F"/>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AB6"/>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8A9"/>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383"/>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97ADE"/>
    <w:rsid w:val="004A0C61"/>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5E19"/>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6FA6"/>
    <w:rsid w:val="005076EC"/>
    <w:rsid w:val="005078D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B53"/>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37B"/>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47D02"/>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A9"/>
    <w:rsid w:val="00582CE5"/>
    <w:rsid w:val="00582E1A"/>
    <w:rsid w:val="00583147"/>
    <w:rsid w:val="00583938"/>
    <w:rsid w:val="00583971"/>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689"/>
    <w:rsid w:val="005D6959"/>
    <w:rsid w:val="005D706C"/>
    <w:rsid w:val="005D7E0D"/>
    <w:rsid w:val="005D7FF5"/>
    <w:rsid w:val="005E0355"/>
    <w:rsid w:val="005E0623"/>
    <w:rsid w:val="005E0B3F"/>
    <w:rsid w:val="005E1FBC"/>
    <w:rsid w:val="005E234A"/>
    <w:rsid w:val="005E2867"/>
    <w:rsid w:val="005E2F63"/>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2CDD"/>
    <w:rsid w:val="005F3D1F"/>
    <w:rsid w:val="005F4171"/>
    <w:rsid w:val="005F46D6"/>
    <w:rsid w:val="005F4B64"/>
    <w:rsid w:val="005F4DD6"/>
    <w:rsid w:val="005F50D8"/>
    <w:rsid w:val="005F5349"/>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7D9"/>
    <w:rsid w:val="00607A2E"/>
    <w:rsid w:val="00607AA4"/>
    <w:rsid w:val="00607D8D"/>
    <w:rsid w:val="00607DCE"/>
    <w:rsid w:val="00607F2E"/>
    <w:rsid w:val="00610D72"/>
    <w:rsid w:val="006130F7"/>
    <w:rsid w:val="00613AF8"/>
    <w:rsid w:val="00613D5C"/>
    <w:rsid w:val="00613D8E"/>
    <w:rsid w:val="006142E0"/>
    <w:rsid w:val="0061444B"/>
    <w:rsid w:val="00614454"/>
    <w:rsid w:val="00616112"/>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013C"/>
    <w:rsid w:val="00641457"/>
    <w:rsid w:val="006425F7"/>
    <w:rsid w:val="00643607"/>
    <w:rsid w:val="00643660"/>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3927"/>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B11FC"/>
    <w:rsid w:val="006B120D"/>
    <w:rsid w:val="006B17E7"/>
    <w:rsid w:val="006B19E8"/>
    <w:rsid w:val="006B1A8A"/>
    <w:rsid w:val="006B1FD5"/>
    <w:rsid w:val="006B2129"/>
    <w:rsid w:val="006B24D6"/>
    <w:rsid w:val="006B2C5E"/>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FD7"/>
    <w:rsid w:val="006D00DB"/>
    <w:rsid w:val="006D02E3"/>
    <w:rsid w:val="006D0327"/>
    <w:rsid w:val="006D0361"/>
    <w:rsid w:val="006D03BF"/>
    <w:rsid w:val="006D0E17"/>
    <w:rsid w:val="006D16B0"/>
    <w:rsid w:val="006D2182"/>
    <w:rsid w:val="006D227A"/>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7AA"/>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4E14"/>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672"/>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35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62E"/>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A28"/>
    <w:rsid w:val="00783E1D"/>
    <w:rsid w:val="00783F3E"/>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1C7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512"/>
    <w:rsid w:val="007B0D96"/>
    <w:rsid w:val="007B1543"/>
    <w:rsid w:val="007B1AC0"/>
    <w:rsid w:val="007B1B9F"/>
    <w:rsid w:val="007B2333"/>
    <w:rsid w:val="007B25A8"/>
    <w:rsid w:val="007B270A"/>
    <w:rsid w:val="007B2D3B"/>
    <w:rsid w:val="007B44D9"/>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4F6F"/>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54"/>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60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5D60"/>
    <w:rsid w:val="0084638E"/>
    <w:rsid w:val="00846791"/>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0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75"/>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1FC6"/>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4132"/>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3B05"/>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AA6"/>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67E"/>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761"/>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3A5"/>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B41"/>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5E96"/>
    <w:rsid w:val="00A460BF"/>
    <w:rsid w:val="00A462FE"/>
    <w:rsid w:val="00A46EFA"/>
    <w:rsid w:val="00A4787E"/>
    <w:rsid w:val="00A501C9"/>
    <w:rsid w:val="00A50506"/>
    <w:rsid w:val="00A50F0F"/>
    <w:rsid w:val="00A510AE"/>
    <w:rsid w:val="00A51BE1"/>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AE2"/>
    <w:rsid w:val="00A75CC1"/>
    <w:rsid w:val="00A75E88"/>
    <w:rsid w:val="00A7611B"/>
    <w:rsid w:val="00A775B8"/>
    <w:rsid w:val="00A8056E"/>
    <w:rsid w:val="00A814BC"/>
    <w:rsid w:val="00A82D58"/>
    <w:rsid w:val="00A82FE0"/>
    <w:rsid w:val="00A8399D"/>
    <w:rsid w:val="00A83E3D"/>
    <w:rsid w:val="00A8443A"/>
    <w:rsid w:val="00A84750"/>
    <w:rsid w:val="00A8479C"/>
    <w:rsid w:val="00A84D0A"/>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4FA9"/>
    <w:rsid w:val="00A956AA"/>
    <w:rsid w:val="00A95C8A"/>
    <w:rsid w:val="00A963C7"/>
    <w:rsid w:val="00A96677"/>
    <w:rsid w:val="00A96780"/>
    <w:rsid w:val="00A96C23"/>
    <w:rsid w:val="00AA06F7"/>
    <w:rsid w:val="00AA07A5"/>
    <w:rsid w:val="00AA080D"/>
    <w:rsid w:val="00AA0A41"/>
    <w:rsid w:val="00AA0AF1"/>
    <w:rsid w:val="00AA0BF5"/>
    <w:rsid w:val="00AA11BD"/>
    <w:rsid w:val="00AA1626"/>
    <w:rsid w:val="00AA170A"/>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8AF"/>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CAA"/>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0F96"/>
    <w:rsid w:val="00B31246"/>
    <w:rsid w:val="00B315E3"/>
    <w:rsid w:val="00B31D6D"/>
    <w:rsid w:val="00B32347"/>
    <w:rsid w:val="00B326FF"/>
    <w:rsid w:val="00B32864"/>
    <w:rsid w:val="00B32C2B"/>
    <w:rsid w:val="00B3378D"/>
    <w:rsid w:val="00B33CEE"/>
    <w:rsid w:val="00B340AA"/>
    <w:rsid w:val="00B3455B"/>
    <w:rsid w:val="00B34A9F"/>
    <w:rsid w:val="00B34B80"/>
    <w:rsid w:val="00B3501B"/>
    <w:rsid w:val="00B35CDA"/>
    <w:rsid w:val="00B3690B"/>
    <w:rsid w:val="00B372F2"/>
    <w:rsid w:val="00B37D97"/>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8FE"/>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7A6B"/>
    <w:rsid w:val="00BC00EC"/>
    <w:rsid w:val="00BC01DD"/>
    <w:rsid w:val="00BC04E1"/>
    <w:rsid w:val="00BC08C5"/>
    <w:rsid w:val="00BC0E5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6BC"/>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5D0"/>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091F"/>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5D6"/>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1E9"/>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0EC0"/>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C4A"/>
    <w:rsid w:val="00CC12E2"/>
    <w:rsid w:val="00CC17F0"/>
    <w:rsid w:val="00CC1853"/>
    <w:rsid w:val="00CC1D13"/>
    <w:rsid w:val="00CC1FAE"/>
    <w:rsid w:val="00CC27A0"/>
    <w:rsid w:val="00CC39A4"/>
    <w:rsid w:val="00CC3A23"/>
    <w:rsid w:val="00CC3BD5"/>
    <w:rsid w:val="00CC3CD6"/>
    <w:rsid w:val="00CC426A"/>
    <w:rsid w:val="00CC4EE3"/>
    <w:rsid w:val="00CC5080"/>
    <w:rsid w:val="00CC50D9"/>
    <w:rsid w:val="00CC603E"/>
    <w:rsid w:val="00CC70D9"/>
    <w:rsid w:val="00CC737C"/>
    <w:rsid w:val="00CC737E"/>
    <w:rsid w:val="00CD0643"/>
    <w:rsid w:val="00CD087D"/>
    <w:rsid w:val="00CD0F5D"/>
    <w:rsid w:val="00CD1C0B"/>
    <w:rsid w:val="00CD239A"/>
    <w:rsid w:val="00CD469A"/>
    <w:rsid w:val="00CD48BB"/>
    <w:rsid w:val="00CD4DDA"/>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C34"/>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3B5"/>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37E8E"/>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47E91"/>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A85"/>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4F6E"/>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889"/>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5EA9"/>
    <w:rsid w:val="00D964C9"/>
    <w:rsid w:val="00D9683C"/>
    <w:rsid w:val="00D977A0"/>
    <w:rsid w:val="00D97884"/>
    <w:rsid w:val="00D97A30"/>
    <w:rsid w:val="00D97C79"/>
    <w:rsid w:val="00D97F43"/>
    <w:rsid w:val="00DA0101"/>
    <w:rsid w:val="00DA010D"/>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02E"/>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186"/>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4E4B"/>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AB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4AF"/>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BA6"/>
    <w:rsid w:val="00E95DD9"/>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2A1"/>
    <w:rsid w:val="00F04380"/>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498"/>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8E5"/>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C77"/>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383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13D"/>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8F9"/>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F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582CA9"/>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customStyle="1" w:styleId="xmsonormal">
    <w:name w:val="x_msonormal"/>
    <w:basedOn w:val="Normal"/>
    <w:uiPriority w:val="99"/>
    <w:qFormat/>
    <w:rsid w:val="00B17CAA"/>
    <w:pPr>
      <w:autoSpaceDE/>
      <w:autoSpaceDN/>
      <w:adjustRightInd/>
      <w:snapToGrid/>
      <w:spacing w:before="100" w:beforeAutospacing="1" w:after="100" w:afterAutospacing="1"/>
      <w:jc w:val="left"/>
    </w:pPr>
    <w:rPr>
      <w:rFonts w:ascii="Calibri" w:hAnsi="Calibri" w:cs="Calibri"/>
      <w:lang w:eastAsia="zh-CN"/>
    </w:rPr>
  </w:style>
  <w:style w:type="table" w:styleId="ListTable2">
    <w:name w:val="List Table 2"/>
    <w:basedOn w:val="TableNormal"/>
    <w:uiPriority w:val="47"/>
    <w:rsid w:val="00A133A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89453044">
      <w:bodyDiv w:val="1"/>
      <w:marLeft w:val="0"/>
      <w:marRight w:val="0"/>
      <w:marTop w:val="0"/>
      <w:marBottom w:val="0"/>
      <w:divBdr>
        <w:top w:val="none" w:sz="0" w:space="0" w:color="auto"/>
        <w:left w:val="none" w:sz="0" w:space="0" w:color="auto"/>
        <w:bottom w:val="none" w:sz="0" w:space="0" w:color="auto"/>
        <w:right w:val="none" w:sz="0" w:space="0" w:color="auto"/>
      </w:divBdr>
    </w:div>
    <w:div w:id="71284614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73190451">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2A4F4BBE-C1AC-4520-8689-E91F6FD2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3</cp:revision>
  <cp:lastPrinted>2007-06-18T23:08:00Z</cp:lastPrinted>
  <dcterms:created xsi:type="dcterms:W3CDTF">2021-08-06T17:22:00Z</dcterms:created>
  <dcterms:modified xsi:type="dcterms:W3CDTF">2021-08-06T17:24:00Z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(3)+agwMVD99kq/C1YO/ypfA/zCzkvPgNt9jnqGAaMwgBreCXHW6kNgszXMKXz8HfZGIgIC40b4
hnJdahNnq05qytwK1PFdyvG2V6oVoW6SirweYchWp8z4hkKD0QF5MjzDk/UHqmikcARHBJ+o
5mFmowQiMusdJW3yy+WSTvdsseJU2w9vLlJMc+9qvn43ziNRXmN2psYn8PX4uB3S7rau4wsw
p79I7oQ3eMkH0PMCwA</vt:lpwstr>
  </property>
  <property fmtid="{D5CDD505-2E9C-101B-9397-08002B2CF9AE}" pid="13" name="_2015_ms_pID_725343_00">
    <vt:lpwstr>_2015_ms_pID_725343</vt:lpwstr>
  </property>
  <property fmtid="{D5CDD505-2E9C-101B-9397-08002B2CF9AE}" pid="14" name="_2015_ms_pID_7253431">
    <vt:lpwstr>ePTzzfmgYGtk6mKpADYNaV4VBqInIPpgJUBm9mbMEvnFYwgB0yzggM
M/9Ro60Bvmx04NiYrUo4T2bKc/Z9h592pNs6JoxYpdi1tyu8PoazCB+4ViCqs304oCT8yALO
C4Kj5ztjygQHGKeghVbW+/fBxUUwk9It1iWSiOT8qvxh30OCUDcALxhrhK8cbBqo0YjESsOq
mCAzmKA4iJP9thWDLdKggJywkY3yGJZOTEh2</vt:lpwstr>
  </property>
  <property fmtid="{D5CDD505-2E9C-101B-9397-08002B2CF9AE}" pid="15" name="_2015_ms_pID_7253431_00">
    <vt:lpwstr>_2015_ms_pID_7253431</vt:lpwstr>
  </property>
  <property fmtid="{D5CDD505-2E9C-101B-9397-08002B2CF9AE}" pid="16" name="_2015_ms_pID_7253432">
    <vt:lpwstr>B0yV1xaz84ThE+Uh53SMMbYR4FTv2Hx/BpyN
RIjM6xgqt23hPy2GBTb9Xv+5YAFpIjC8ct6B0czjzcBcwHG5XgU=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