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77777777" w:rsidR="00241FFE" w:rsidRDefault="000661E6">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#105-e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highlight w:val="yellow"/>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rFonts w:hint="eastAsia"/>
                <w:bCs/>
                <w:lang w:eastAsia="zh-CN"/>
              </w:rPr>
            </w:pPr>
            <w:r>
              <w:rPr>
                <w:bCs/>
              </w:rPr>
              <w:t>Intel</w:t>
            </w:r>
          </w:p>
        </w:tc>
        <w:tc>
          <w:tcPr>
            <w:tcW w:w="7627" w:type="dxa"/>
          </w:tcPr>
          <w:p w14:paraId="5BA9BD41" w14:textId="5E0EBB98" w:rsidR="00FF3FF6" w:rsidRDefault="00FF3FF6" w:rsidP="00FF3FF6">
            <w:pPr>
              <w:rPr>
                <w:rFonts w:hint="eastAsia"/>
                <w:lang w:eastAsia="zh-CN"/>
              </w:rPr>
            </w:pPr>
            <w:r>
              <w:rPr>
                <w:lang w:eastAsia="zh-CN"/>
              </w:rPr>
              <w:t>We are fine with the proposal.</w:t>
            </w:r>
          </w:p>
        </w:tc>
      </w:tr>
    </w:tbl>
    <w:p w14:paraId="4DA907E5" w14:textId="77777777" w:rsidR="00241FFE" w:rsidRDefault="00241FFE">
      <w:pPr>
        <w:rPr>
          <w:b/>
          <w:bCs/>
        </w:rPr>
      </w:pPr>
    </w:p>
    <w:p w14:paraId="4DA907E6" w14:textId="77777777" w:rsidR="00241FFE" w:rsidRDefault="000661E6">
      <w:pPr>
        <w:pStyle w:val="Heading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lastRenderedPageBreak/>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rFonts w:hint="eastAsia"/>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rFonts w:hint="eastAsia"/>
                <w:bCs/>
                <w:lang w:eastAsia="zh-CN"/>
              </w:rPr>
            </w:pPr>
          </w:p>
        </w:tc>
      </w:tr>
    </w:tbl>
    <w:p w14:paraId="4DA90816" w14:textId="77777777" w:rsidR="00241FFE" w:rsidRDefault="00241FFE"/>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lastRenderedPageBreak/>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rFonts w:hint="eastAsia"/>
                <w:bCs/>
                <w:lang w:eastAsia="zh-CN"/>
              </w:rPr>
            </w:pPr>
            <w:r>
              <w:rPr>
                <w:bCs/>
              </w:rPr>
              <w:t>Intel</w:t>
            </w:r>
          </w:p>
        </w:tc>
        <w:tc>
          <w:tcPr>
            <w:tcW w:w="7627" w:type="dxa"/>
          </w:tcPr>
          <w:p w14:paraId="14BFC0EF" w14:textId="68FB5E54" w:rsidR="00FF3FF6" w:rsidRDefault="00FF3FF6" w:rsidP="00FF3FF6">
            <w:pPr>
              <w:spacing w:after="0"/>
              <w:rPr>
                <w:rFonts w:hint="eastAsia"/>
                <w:bCs/>
                <w:lang w:eastAsia="zh-CN"/>
              </w:rPr>
            </w:pPr>
            <w:r>
              <w:rPr>
                <w:lang w:eastAsia="zh-CN"/>
              </w:rPr>
              <w:t>We are fine with the proposal.</w:t>
            </w:r>
          </w:p>
        </w:tc>
      </w:tr>
    </w:tbl>
    <w:p w14:paraId="4DA90857" w14:textId="77777777"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lastRenderedPageBreak/>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rFonts w:hint="eastAsia"/>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rFonts w:hint="eastAsia"/>
                <w:bCs/>
                <w:lang w:eastAsia="zh-CN"/>
              </w:rPr>
            </w:pPr>
            <w:r>
              <w:rPr>
                <w:lang w:eastAsia="zh-CN"/>
              </w:rPr>
              <w:t xml:space="preserve">For the sub-bullet, our view is that time domain window size can be larger than bundle size </w:t>
            </w:r>
            <w:r>
              <w:rPr>
                <w:lang w:eastAsia="zh-CN"/>
              </w:rPr>
              <w:lastRenderedPageBreak/>
              <w:t xml:space="preserve">for inter-slot frequency hopping. But within the bundle size, power consistency and phase continuity need to be maintained.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5" w:name="_Ref54470658"/>
      <w:r>
        <w:t>References</w:t>
      </w:r>
      <w:bookmarkEnd w:id="15"/>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035A71">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035A71">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035A71">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035A71">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035A71">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035A71">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035A71">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035A71">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035A71">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035A71">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035A71">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035A71">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035A71">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035A71">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035A71">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035A71">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035A71">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035A71">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035A71">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035A71">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035A71">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035A71">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035A71">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035A71">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035A71">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035A71">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035A71">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EBDE6" w14:textId="77777777" w:rsidR="00035A71" w:rsidRDefault="00035A71">
      <w:pPr>
        <w:spacing w:after="0" w:line="240" w:lineRule="auto"/>
      </w:pPr>
      <w:r>
        <w:separator/>
      </w:r>
    </w:p>
  </w:endnote>
  <w:endnote w:type="continuationSeparator" w:id="0">
    <w:p w14:paraId="56B5D90B" w14:textId="77777777" w:rsidR="00035A71" w:rsidRDefault="0003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260CCC" w:rsidRDefault="00260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260CCC" w:rsidRDefault="00260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77777777" w:rsidR="00260CCC" w:rsidRDefault="00260CCC">
    <w:pPr>
      <w:pStyle w:val="Footer"/>
      <w:ind w:right="360"/>
    </w:pPr>
    <w:r>
      <w:rPr>
        <w:rStyle w:val="PageNumber"/>
      </w:rPr>
      <w:fldChar w:fldCharType="begin"/>
    </w:r>
    <w:r>
      <w:rPr>
        <w:rStyle w:val="PageNumber"/>
      </w:rPr>
      <w:instrText xml:space="preserve"> PAGE </w:instrText>
    </w:r>
    <w:r>
      <w:rPr>
        <w:rStyle w:val="PageNumber"/>
      </w:rPr>
      <w:fldChar w:fldCharType="separate"/>
    </w:r>
    <w:r w:rsidR="00160CCF">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0CCF">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6E3F" w14:textId="77777777" w:rsidR="00FF3FF6" w:rsidRDefault="00FF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9496E" w14:textId="77777777" w:rsidR="00035A71" w:rsidRDefault="00035A71">
      <w:pPr>
        <w:spacing w:after="0" w:line="240" w:lineRule="auto"/>
      </w:pPr>
      <w:r>
        <w:separator/>
      </w:r>
    </w:p>
  </w:footnote>
  <w:footnote w:type="continuationSeparator" w:id="0">
    <w:p w14:paraId="1DC344FF" w14:textId="77777777" w:rsidR="00035A71" w:rsidRDefault="0003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260CCC" w:rsidRDefault="00260CC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F1613" w14:textId="77777777" w:rsidR="00FF3FF6" w:rsidRDefault="00FF3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D327A" w14:textId="77777777" w:rsidR="00FF3FF6" w:rsidRDefault="00FF3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8"/>
  </w:num>
  <w:num w:numId="3">
    <w:abstractNumId w:val="9"/>
  </w:num>
  <w:num w:numId="4">
    <w:abstractNumId w:val="7"/>
  </w:num>
  <w:num w:numId="5">
    <w:abstractNumId w:val="19"/>
  </w:num>
  <w:num w:numId="6">
    <w:abstractNumId w:val="6"/>
  </w:num>
  <w:num w:numId="7">
    <w:abstractNumId w:val="1"/>
  </w:num>
  <w:num w:numId="8">
    <w:abstractNumId w:val="18"/>
  </w:num>
  <w:num w:numId="9">
    <w:abstractNumId w:val="20"/>
  </w:num>
  <w:num w:numId="10">
    <w:abstractNumId w:val="15"/>
  </w:num>
  <w:num w:numId="11">
    <w:abstractNumId w:val="4"/>
  </w:num>
  <w:num w:numId="12">
    <w:abstractNumId w:val="0"/>
  </w:num>
  <w:num w:numId="13">
    <w:abstractNumId w:val="16"/>
  </w:num>
  <w:num w:numId="14">
    <w:abstractNumId w:val="14"/>
  </w:num>
  <w:num w:numId="15">
    <w:abstractNumId w:val="12"/>
  </w:num>
  <w:num w:numId="16">
    <w:abstractNumId w:val="5"/>
  </w:num>
  <w:num w:numId="17">
    <w:abstractNumId w:val="13"/>
  </w:num>
  <w:num w:numId="18">
    <w:abstractNumId w:val="2"/>
  </w:num>
  <w:num w:numId="19">
    <w:abstractNumId w:val="1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5E4C4-C6F9-403D-A6D2-2DA6F2C1E061}">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11</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10</cp:revision>
  <cp:lastPrinted>2014-11-07T05:38:00Z</cp:lastPrinted>
  <dcterms:created xsi:type="dcterms:W3CDTF">2021-05-19T07:04:00Z</dcterms:created>
  <dcterms:modified xsi:type="dcterms:W3CDTF">2021-05-19T16:10:00Z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