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6E990F42"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DD5FA5">
        <w:rPr>
          <w:sz w:val="32"/>
          <w:szCs w:val="32"/>
        </w:rPr>
        <w:t>5</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75957C3D" w:rsidR="00E93FAD" w:rsidRDefault="00F97FDE">
      <w:pPr>
        <w:pStyle w:val="3GPPHeader"/>
        <w:rPr>
          <w:sz w:val="22"/>
        </w:rPr>
      </w:pPr>
      <w:r>
        <w:rPr>
          <w:sz w:val="22"/>
        </w:rPr>
        <w:t>Title:</w:t>
      </w:r>
      <w:r>
        <w:rPr>
          <w:sz w:val="22"/>
        </w:rPr>
        <w:tab/>
        <w:t>Summary#</w:t>
      </w:r>
      <w:r w:rsidR="00DD5FA5">
        <w:rPr>
          <w:sz w:val="22"/>
        </w:rPr>
        <w:t>2</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128EEF4E"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 xml:space="preserve">that is updated version of R1-2106044,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3B495E9F"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0E6D51">
            <w:pPr>
              <w:pStyle w:val="ListParagraph"/>
              <w:numPr>
                <w:ilvl w:val="0"/>
                <w:numId w:val="34"/>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w:t>
            </w:r>
            <w:r w:rsidRPr="00340789">
              <w:rPr>
                <w:rFonts w:ascii="Times New Roman" w:hAnsi="Times New Roman" w:cs="Times New Roman"/>
              </w:rPr>
              <w:lastRenderedPageBreak/>
              <w:t xml:space="preserve">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26905">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26905">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BD5A4E">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05683B">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lastRenderedPageBreak/>
        <w:t>Option 2a:</w:t>
      </w:r>
    </w:p>
    <w:p w14:paraId="1B559E76" w14:textId="77777777" w:rsidR="0005683B" w:rsidRPr="0044199F" w:rsidRDefault="0005683B" w:rsidP="0005683B">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05683B">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A0343B">
      <w:pPr>
        <w:pStyle w:val="ListParagraph"/>
        <w:numPr>
          <w:ilvl w:val="0"/>
          <w:numId w:val="70"/>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133"/>
        <w:gridCol w:w="8496"/>
      </w:tblGrid>
      <w:tr w:rsidR="0005683B" w14:paraId="0602E9D7" w14:textId="77777777" w:rsidTr="00E00363">
        <w:tc>
          <w:tcPr>
            <w:tcW w:w="962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A56AD7">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E00363">
        <w:tc>
          <w:tcPr>
            <w:tcW w:w="113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E00363">
        <w:tc>
          <w:tcPr>
            <w:tcW w:w="113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E00363">
        <w:tc>
          <w:tcPr>
            <w:tcW w:w="1133" w:type="dxa"/>
          </w:tcPr>
          <w:p w14:paraId="165DE051" w14:textId="40EAE02D" w:rsidR="0005683B" w:rsidRPr="00CE3A9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23CE64E9" w14:textId="51262F21" w:rsidR="0005683B" w:rsidRPr="00CE3A9B" w:rsidRDefault="0005683B" w:rsidP="00E00363">
            <w:pPr>
              <w:pStyle w:val="ListParagraph"/>
              <w:ind w:left="0"/>
              <w:rPr>
                <w:rFonts w:ascii="Times New Roman" w:eastAsiaTheme="minorEastAsia" w:hAnsi="Times New Roman" w:cs="Times New Roman"/>
                <w:szCs w:val="20"/>
                <w:lang w:val="en-US" w:eastAsia="zh-CN"/>
              </w:rPr>
            </w:pPr>
          </w:p>
        </w:tc>
      </w:tr>
      <w:tr w:rsidR="0005683B" w14:paraId="7B19BB37" w14:textId="77777777" w:rsidTr="00CE3A9B">
        <w:trPr>
          <w:trHeight w:val="70"/>
        </w:trPr>
        <w:tc>
          <w:tcPr>
            <w:tcW w:w="1133" w:type="dxa"/>
          </w:tcPr>
          <w:p w14:paraId="2830843A" w14:textId="59DF775C"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684D5DF0" w14:textId="0DA6FA5D" w:rsidR="0005683B" w:rsidRPr="00364E9A" w:rsidRDefault="0005683B" w:rsidP="00E00363">
            <w:pPr>
              <w:pStyle w:val="ListParagraph"/>
              <w:ind w:left="0"/>
              <w:rPr>
                <w:rFonts w:ascii="Times New Roman" w:eastAsia="Times New Roman" w:hAnsi="Times New Roman" w:cs="Times New Roman"/>
                <w:szCs w:val="20"/>
                <w:lang w:val="en-US" w:eastAsia="ja-JP"/>
              </w:rPr>
            </w:pPr>
          </w:p>
        </w:tc>
      </w:tr>
      <w:tr w:rsidR="0005683B" w14:paraId="3AD95F6F" w14:textId="77777777" w:rsidTr="00E00363">
        <w:tc>
          <w:tcPr>
            <w:tcW w:w="1133" w:type="dxa"/>
          </w:tcPr>
          <w:p w14:paraId="253036ED" w14:textId="3B8AAA6B"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45B7E502" w14:textId="6CF2D963" w:rsidR="0005683B" w:rsidRPr="00364E9A" w:rsidRDefault="0005683B" w:rsidP="00E00363">
            <w:pPr>
              <w:pStyle w:val="ListParagraph"/>
              <w:ind w:left="0"/>
              <w:rPr>
                <w:rFonts w:ascii="Times New Roman" w:hAnsi="Times New Roman" w:cs="Times New Roman"/>
              </w:rPr>
            </w:pPr>
          </w:p>
        </w:tc>
      </w:tr>
      <w:tr w:rsidR="0005683B" w14:paraId="0AB80861" w14:textId="77777777" w:rsidTr="00E00363">
        <w:tc>
          <w:tcPr>
            <w:tcW w:w="1133" w:type="dxa"/>
          </w:tcPr>
          <w:p w14:paraId="402EF9C5" w14:textId="336B6D9A"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080A35A1" w14:textId="51B8A3A9" w:rsidR="0005683B" w:rsidRPr="00364E9A" w:rsidRDefault="0005683B" w:rsidP="00E00363">
            <w:pPr>
              <w:pStyle w:val="ListParagraph"/>
              <w:ind w:left="0"/>
              <w:rPr>
                <w:rFonts w:ascii="Times New Roman" w:eastAsiaTheme="minorEastAsia" w:hAnsi="Times New Roman" w:cs="Times New Roman"/>
                <w:lang w:eastAsia="zh-CN"/>
              </w:rPr>
            </w:pP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lastRenderedPageBreak/>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46600D">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lastRenderedPageBreak/>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an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don’t agree with Intel that gNB must terminate its COT if the UE initiates a COT and shares it with the gNB. gNB has freedom to use UE’s COT or use gNB’s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a node is allowed to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In our view, in this case, both gNB and UE would be ”initiating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by regulations, there is no restrictions to terminate gNB’s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Q3: We would like to propose one compromised solution. Hope companies can consider it for progress. Since the main motivation for the objective of supporting UE initiated COT is for CG transmission, as the UE should more knowledge about the buffer status. So we would like to at least give the UE a chance to decide whether to share gNB’s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810FF4">
            <w:pPr>
              <w:pStyle w:val="ListParagraph"/>
              <w:numPr>
                <w:ilvl w:val="0"/>
                <w:numId w:val="65"/>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can decide and inform gNB whether the CG transmission uses gNB initiated COT or UE initiated COT; </w:t>
            </w:r>
          </w:p>
          <w:p w14:paraId="085B3EA0" w14:textId="306CA8B7" w:rsidR="00810FF4" w:rsidRPr="00810FF4" w:rsidRDefault="00810FF4" w:rsidP="00A60C3D">
            <w:pPr>
              <w:pStyle w:val="ListParagraph"/>
              <w:numPr>
                <w:ilvl w:val="0"/>
                <w:numId w:val="65"/>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On vivo’s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Alt-b:</w:t>
            </w:r>
          </w:p>
          <w:p w14:paraId="67C2A630" w14:textId="77777777"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804BC6">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804BC6">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804BC6">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804BC6">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BF2AF6">
            <w:pPr>
              <w:pStyle w:val="ListParagraph"/>
              <w:numPr>
                <w:ilvl w:val="1"/>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Please read also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have to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I do agree that depending on the design and related signalling (implicit/explicit) between gNB and UE, the operation would be different from what regulation allows. Your 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I assume with overlapping C</w:t>
            </w:r>
            <w:r>
              <w:rPr>
                <w:rFonts w:ascii="Times New Roman" w:eastAsiaTheme="minorEastAsia" w:hAnsi="Times New Roman" w:cs="Times New Roman"/>
                <w:lang w:val="en-US" w:eastAsia="zh-CN"/>
              </w:rPr>
              <w:t xml:space="preserve">OT,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w:t>
            </w:r>
            <w:r w:rsidRPr="00BF2AF6">
              <w:rPr>
                <w:rFonts w:ascii="Times New Roman" w:eastAsiaTheme="minorEastAsia" w:hAnsi="Times New Roman" w:cs="Times New Roman"/>
                <w:lang w:eastAsia="zh-CN"/>
              </w:rPr>
              <w:lastRenderedPageBreak/>
              <w:t xml:space="preserve">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A60C3D">
            <w:pPr>
              <w:numPr>
                <w:ilvl w:val="0"/>
                <w:numId w:val="29"/>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A60C3D">
            <w:pPr>
              <w:numPr>
                <w:ilvl w:val="1"/>
                <w:numId w:val="29"/>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A60C3D">
            <w:pPr>
              <w:numPr>
                <w:ilvl w:val="1"/>
                <w:numId w:val="29"/>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A0343B">
            <w:pPr>
              <w:pStyle w:val="ListParagraph"/>
              <w:numPr>
                <w:ilvl w:val="0"/>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A56AD7">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A56AD7">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A56AD7">
      <w:pPr>
        <w:numPr>
          <w:ilvl w:val="0"/>
          <w:numId w:val="29"/>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A56AD7">
      <w:pPr>
        <w:numPr>
          <w:ilvl w:val="1"/>
          <w:numId w:val="29"/>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A56AD7">
      <w:pPr>
        <w:numPr>
          <w:ilvl w:val="1"/>
          <w:numId w:val="29"/>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A56AD7">
      <w:pPr>
        <w:pStyle w:val="ListParagraph"/>
        <w:numPr>
          <w:ilvl w:val="0"/>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497525">
      <w:pPr>
        <w:pStyle w:val="ListParagraph"/>
        <w:numPr>
          <w:ilvl w:val="0"/>
          <w:numId w:val="71"/>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145"/>
        <w:gridCol w:w="8496"/>
      </w:tblGrid>
      <w:tr w:rsidR="001B1237" w14:paraId="50D4CEE0" w14:textId="77777777" w:rsidTr="00E00363">
        <w:tc>
          <w:tcPr>
            <w:tcW w:w="962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E00363">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E00363">
        <w:tc>
          <w:tcPr>
            <w:tcW w:w="113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E00363">
        <w:tc>
          <w:tcPr>
            <w:tcW w:w="1133"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Regarding </w:t>
            </w:r>
            <w:r w:rsidRPr="00CE3A9B">
              <w:rPr>
                <w:rFonts w:ascii="Times New Roman" w:eastAsia="TimesNewRomanPSMT" w:hAnsi="Times New Roman" w:cs="Times New Roman"/>
                <w:b/>
                <w:bCs/>
                <w:lang w:eastAsia="sv-SE"/>
              </w:rPr>
              <w:t>”UE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E00363">
        <w:tc>
          <w:tcPr>
            <w:tcW w:w="1133"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exactly whether the UL transmission is using gNB’s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would like to understand better the benefit of the compromise.</w:t>
            </w:r>
          </w:p>
        </w:tc>
      </w:tr>
      <w:tr w:rsidR="001B1237" w14:paraId="321C9471" w14:textId="77777777" w:rsidTr="00E00363">
        <w:tc>
          <w:tcPr>
            <w:tcW w:w="1133" w:type="dxa"/>
          </w:tcPr>
          <w:p w14:paraId="1294C036"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6F9E973B" w14:textId="77777777" w:rsidR="001B1237" w:rsidRPr="00CE3A9B" w:rsidRDefault="001B1237" w:rsidP="00E00363">
            <w:pPr>
              <w:pStyle w:val="ListParagraph"/>
              <w:ind w:left="0"/>
              <w:rPr>
                <w:rFonts w:ascii="Times New Roman" w:eastAsia="Times New Roman" w:hAnsi="Times New Roman" w:cs="Times New Roman"/>
                <w:szCs w:val="20"/>
                <w:lang w:val="en-US" w:eastAsia="ja-JP"/>
              </w:rPr>
            </w:pPr>
          </w:p>
        </w:tc>
      </w:tr>
      <w:tr w:rsidR="001B1237" w14:paraId="6B82CF11" w14:textId="77777777" w:rsidTr="00E00363">
        <w:tc>
          <w:tcPr>
            <w:tcW w:w="1133"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gNB and UE. That is the benefit. But it seems UE can still prioritize its decision over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initiation (though Alt-b proponents support such </w:t>
            </w:r>
            <w:proofErr w:type="spellStart"/>
            <w:r w:rsidRPr="00CE3A9B">
              <w:rPr>
                <w:rFonts w:ascii="Times New Roman" w:eastAsia="TimesNewRomanPSMT" w:hAnsi="Times New Roman" w:cs="Times New Roman"/>
                <w:lang w:eastAsia="sv-SE"/>
              </w:rPr>
              <w:t>behaviour</w:t>
            </w:r>
            <w:proofErr w:type="spellEnd"/>
            <w:r w:rsidRPr="00CE3A9B">
              <w:rPr>
                <w:rFonts w:ascii="Times New Roman" w:eastAsia="TimesNewRomanPSMT" w:hAnsi="Times New Roman" w:cs="Times New Roman"/>
                <w:lang w:eastAsia="sv-SE"/>
              </w:rPr>
              <w:t>),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6C2D5A4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flexibility ? For example, to avoid LBT ? But as discussed in last meeting and in our </w:t>
            </w:r>
            <w:proofErr w:type="spellStart"/>
            <w:r w:rsidRPr="00CE3A9B">
              <w:rPr>
                <w:rFonts w:ascii="Times New Roman" w:eastAsia="TimesNewRomanPSMT" w:hAnsi="Times New Roman" w:cs="Times New Roman"/>
                <w:lang w:eastAsia="sv-SE"/>
              </w:rPr>
              <w:t>tdoc</w:t>
            </w:r>
            <w:proofErr w:type="spellEnd"/>
            <w:r w:rsidRPr="00CE3A9B">
              <w:rPr>
                <w:rFonts w:ascii="Times New Roman" w:eastAsia="TimesNewRomanPSMT" w:hAnsi="Times New Roman" w:cs="Times New Roman"/>
                <w:lang w:eastAsia="sv-SE"/>
              </w:rPr>
              <w:t>,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no LBT is very rare. Or, the benefit is, UE can decide whether </w:t>
            </w:r>
            <w:r w:rsidRPr="00CE3A9B">
              <w:rPr>
                <w:rFonts w:ascii="Times New Roman" w:eastAsia="TimesNewRomanPSMT" w:hAnsi="Times New Roman" w:cs="Times New Roman"/>
                <w:lang w:eastAsia="sv-SE"/>
              </w:rPr>
              <w:lastRenderedPageBreak/>
              <w:t>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 ?</w:t>
            </w:r>
          </w:p>
          <w:p w14:paraId="32F17D86" w14:textId="1259A93C"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transmission, e.g. SR PUCCH </w:t>
            </w:r>
            <w:proofErr w:type="spellStart"/>
            <w:r w:rsidRPr="00CE3A9B">
              <w:rPr>
                <w:rFonts w:ascii="Times New Roman" w:eastAsia="TimesNewRomanPSMT" w:hAnsi="Times New Roman" w:cs="Times New Roman"/>
                <w:lang w:eastAsia="sv-SE"/>
              </w:rPr>
              <w:t>can not</w:t>
            </w:r>
            <w:proofErr w:type="spellEnd"/>
            <w:r w:rsidRPr="00CE3A9B">
              <w:rPr>
                <w:rFonts w:ascii="Times New Roman" w:eastAsia="TimesNewRomanPSMT" w:hAnsi="Times New Roman" w:cs="Times New Roman"/>
                <w:lang w:eastAsia="sv-SE"/>
              </w:rPr>
              <w:t xml:space="preserve">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Furthermore, there was a long discussion on whether enable CG-UCI when cg </w:t>
            </w:r>
            <w:proofErr w:type="spellStart"/>
            <w:r w:rsidRPr="00CE3A9B">
              <w:rPr>
                <w:rFonts w:ascii="Times New Roman" w:eastAsia="TimesNewRomanPSMT" w:hAnsi="Times New Roman" w:cs="Times New Roman"/>
                <w:lang w:eastAsia="sv-SE"/>
              </w:rPr>
              <w:t>retrnasmisison</w:t>
            </w:r>
            <w:proofErr w:type="spellEnd"/>
            <w:r w:rsidRPr="00CE3A9B">
              <w:rPr>
                <w:rFonts w:ascii="Times New Roman" w:eastAsia="TimesNewRomanPSMT" w:hAnsi="Times New Roman" w:cs="Times New Roman"/>
                <w:lang w:eastAsia="sv-SE"/>
              </w:rPr>
              <w:t xml:space="preserve">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have strong concern on it), it seems Alt-a is used for most cases (because companies all think disabled </w:t>
            </w:r>
            <w:proofErr w:type="spellStart"/>
            <w:r w:rsidRPr="00CE3A9B">
              <w:rPr>
                <w:rFonts w:ascii="Times New Roman" w:eastAsia="TimesNewRomanPSMT" w:hAnsi="Times New Roman" w:cs="Times New Roman"/>
                <w:lang w:eastAsia="sv-SE"/>
              </w:rPr>
              <w:t>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w:t>
            </w:r>
            <w:proofErr w:type="spellEnd"/>
            <w:r w:rsidRPr="00CE3A9B">
              <w:rPr>
                <w:rFonts w:ascii="Times New Roman" w:eastAsia="TimesNewRomanPSMT" w:hAnsi="Times New Roman" w:cs="Times New Roman"/>
                <w:lang w:eastAsia="sv-SE"/>
              </w:rPr>
              <w:t xml:space="preserve">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E00363">
        <w:tc>
          <w:tcPr>
            <w:tcW w:w="1133"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Thanks a lot DCM, Apple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As you know, we also strongly support Alt-b for CG transmission. </w:t>
            </w:r>
            <w:r w:rsidRPr="00B320A2">
              <w:rPr>
                <w:rFonts w:ascii="Times New Roman" w:eastAsia="TimesNewRomanPSMT" w:hAnsi="Times New Roman" w:cs="Times New Roman"/>
                <w:lang w:val="sv-SE" w:eastAsia="sv-SE"/>
              </w:rPr>
              <w:t/>
            </w:r>
            <w:r w:rsidRPr="00B320A2">
              <w:rPr>
                <w:rFonts w:ascii="Times New Roman" w:eastAsia="TimesNewRomanPSMT" w:hAnsi="Times New Roman" w:cs="Times New Roman"/>
                <w:lang w:eastAsia="sv-SE"/>
              </w:rPr>
              <w:t xml:space="preserve"> But, given current status,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 the best entity to decide whether to use gNB’s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b, since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E00363">
        <w:tc>
          <w:tcPr>
            <w:tcW w:w="1133"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First of all,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But,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E00363">
        <w:tc>
          <w:tcPr>
            <w:tcW w:w="1133"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For the sake of progress, we suggestion modified compromise because CG-UCI isn’t always 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CE3A9B">
            <w:pPr>
              <w:pStyle w:val="ListParagraph"/>
              <w:numPr>
                <w:ilvl w:val="0"/>
                <w:numId w:val="72"/>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CE3A9B">
            <w:pPr>
              <w:pStyle w:val="ListParagraph"/>
              <w:numPr>
                <w:ilvl w:val="1"/>
                <w:numId w:val="72"/>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4209E0">
            <w:pPr>
              <w:pStyle w:val="ListParagraph"/>
              <w:numPr>
                <w:ilvl w:val="2"/>
                <w:numId w:val="72"/>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4209E0">
            <w:pPr>
              <w:pStyle w:val="ListParagraph"/>
              <w:numPr>
                <w:ilvl w:val="1"/>
                <w:numId w:val="72"/>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lastRenderedPageBreak/>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E00363">
        <w:tc>
          <w:tcPr>
            <w:tcW w:w="1133"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We are fine with vivo’s compromised proposal for the sake of progress.</w:t>
            </w:r>
          </w:p>
        </w:tc>
      </w:tr>
      <w:tr w:rsidR="00CE3A9B" w14:paraId="06029635" w14:textId="77777777" w:rsidTr="00B320A2">
        <w:tc>
          <w:tcPr>
            <w:tcW w:w="1133"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B320A2">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B320A2">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B320A2">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B320A2">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B320A2">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B320A2">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B320A2">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B320A2">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6E9D7BB3" w14:textId="77777777" w:rsidR="004A73AE" w:rsidRPr="004A73AE" w:rsidRDefault="00B320A2" w:rsidP="00B320A2">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w:t>
            </w:r>
            <w:r w:rsidRPr="004A73AE">
              <w:rPr>
                <w:rFonts w:ascii="Times New Roman" w:eastAsia="TimesNewRomanPSMT" w:hAnsi="Times New Roman" w:cs="Times New Roman"/>
                <w:lang w:val="en-US" w:eastAsia="zh-CN"/>
              </w:rPr>
              <w:t>, ZTE</w:t>
            </w:r>
          </w:p>
          <w:p w14:paraId="37D6504E" w14:textId="0A989FCE" w:rsidR="00B320A2" w:rsidRPr="008413B1" w:rsidRDefault="004A73AE" w:rsidP="008413B1">
            <w:pPr>
              <w:pStyle w:val="ListParagraph"/>
              <w:numPr>
                <w:ilvl w:val="3"/>
                <w:numId w:val="65"/>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B320A2">
            <w:pPr>
              <w:numPr>
                <w:ilvl w:val="0"/>
                <w:numId w:val="29"/>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B320A2">
            <w:pPr>
              <w:numPr>
                <w:ilvl w:val="1"/>
                <w:numId w:val="29"/>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B320A2">
            <w:pPr>
              <w:numPr>
                <w:ilvl w:val="1"/>
                <w:numId w:val="29"/>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proofErr w:type="spellStart"/>
            <w:r w:rsidRPr="00A56AD7">
              <w:rPr>
                <w:rFonts w:ascii="Times New Roman" w:eastAsia="Times New Roman" w:hAnsi="Times New Roman" w:cs="Times New Roman"/>
                <w:b/>
                <w:bCs/>
                <w:highlight w:val="yellow"/>
                <w:lang w:eastAsia="zh-CN"/>
              </w:rPr>
              <w:t>Vivo’s</w:t>
            </w:r>
            <w:proofErr w:type="spellEnd"/>
            <w:r w:rsidRPr="00A56AD7">
              <w:rPr>
                <w:rFonts w:ascii="Times New Roman" w:eastAsia="Times New Roman" w:hAnsi="Times New Roman" w:cs="Times New Roman"/>
                <w:b/>
                <w:bCs/>
                <w:highlight w:val="yellow"/>
                <w:lang w:eastAsia="zh-CN"/>
              </w:rPr>
              <w:t xml:space="preserve">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15A453D2" w14:textId="77777777" w:rsidR="00B320A2" w:rsidRPr="00A56AD7" w:rsidRDefault="00B320A2" w:rsidP="00B320A2">
            <w:pPr>
              <w:pStyle w:val="ListParagraph"/>
              <w:numPr>
                <w:ilvl w:val="0"/>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B320A2">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B320A2">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B320A2">
            <w:pPr>
              <w:pStyle w:val="ListParagraph"/>
              <w:numPr>
                <w:ilvl w:val="0"/>
                <w:numId w:val="72"/>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B320A2">
            <w:pPr>
              <w:pStyle w:val="ListParagraph"/>
              <w:numPr>
                <w:ilvl w:val="1"/>
                <w:numId w:val="72"/>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B320A2">
            <w:pPr>
              <w:pStyle w:val="ListParagraph"/>
              <w:numPr>
                <w:ilvl w:val="2"/>
                <w:numId w:val="72"/>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E00363">
        <w:tc>
          <w:tcPr>
            <w:tcW w:w="1133" w:type="dxa"/>
          </w:tcPr>
          <w:p w14:paraId="439FE9F5" w14:textId="77777777" w:rsidR="00CE3A9B" w:rsidRDefault="00CE3A9B" w:rsidP="00E00363">
            <w:pPr>
              <w:pStyle w:val="ListParagraph"/>
              <w:ind w:left="0"/>
              <w:rPr>
                <w:rFonts w:ascii="Times New Roman" w:eastAsia="Times New Roman" w:hAnsi="Times New Roman" w:cs="Times New Roman"/>
                <w:szCs w:val="20"/>
                <w:lang w:val="en-US" w:eastAsia="ja-JP"/>
              </w:rPr>
            </w:pPr>
          </w:p>
        </w:tc>
        <w:tc>
          <w:tcPr>
            <w:tcW w:w="8496" w:type="dxa"/>
          </w:tcPr>
          <w:p w14:paraId="68DF2B6D" w14:textId="77777777" w:rsidR="00CE3A9B" w:rsidRPr="00364E9A" w:rsidRDefault="00CE3A9B" w:rsidP="00E00363">
            <w:pPr>
              <w:pStyle w:val="ListParagraph"/>
              <w:ind w:left="0"/>
              <w:rPr>
                <w:rFonts w:ascii="Times New Roman" w:eastAsiaTheme="minorEastAsia" w:hAnsi="Times New Roman" w:cs="Times New Roman"/>
                <w:lang w:eastAsia="zh-CN"/>
              </w:rPr>
            </w:pPr>
          </w:p>
        </w:tc>
      </w:tr>
      <w:tr w:rsidR="00CE3A9B" w14:paraId="789BBEA1" w14:textId="77777777" w:rsidTr="00E00363">
        <w:tc>
          <w:tcPr>
            <w:tcW w:w="1133" w:type="dxa"/>
          </w:tcPr>
          <w:p w14:paraId="5AE43BD3" w14:textId="77777777" w:rsidR="00CE3A9B" w:rsidRDefault="00CE3A9B" w:rsidP="00E00363">
            <w:pPr>
              <w:pStyle w:val="ListParagraph"/>
              <w:ind w:left="0"/>
              <w:rPr>
                <w:rFonts w:ascii="Times New Roman" w:eastAsia="Times New Roman" w:hAnsi="Times New Roman" w:cs="Times New Roman"/>
                <w:szCs w:val="20"/>
                <w:lang w:val="en-US" w:eastAsia="ja-JP"/>
              </w:rPr>
            </w:pPr>
          </w:p>
        </w:tc>
        <w:tc>
          <w:tcPr>
            <w:tcW w:w="8496" w:type="dxa"/>
          </w:tcPr>
          <w:p w14:paraId="00D7F9EE" w14:textId="77777777" w:rsidR="00CE3A9B" w:rsidRPr="00364E9A" w:rsidRDefault="00CE3A9B" w:rsidP="00E00363">
            <w:pPr>
              <w:pStyle w:val="ListParagraph"/>
              <w:ind w:left="0"/>
              <w:rPr>
                <w:rFonts w:ascii="Times New Roman" w:eastAsiaTheme="minorEastAsia" w:hAnsi="Times New Roman" w:cs="Times New Roman"/>
                <w:lang w:eastAsia="zh-CN"/>
              </w:rPr>
            </w:pP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lastRenderedPageBreak/>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0E6D51">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3-2: We support Option 2. FBE only support a channel sensing of 9us and the channel access filed in Rel-16 DCI 0_1 and 1_1 may not be mandatory in Rel-17 compact </w:t>
            </w:r>
            <w:r w:rsidRPr="00364E9A">
              <w:rPr>
                <w:rFonts w:ascii="Times New Roman" w:eastAsia="TimesNewRomanPSMT" w:hAnsi="Times New Roman" w:cs="Times New Roman"/>
                <w:lang w:eastAsia="sv-SE"/>
              </w:rPr>
              <w:lastRenderedPageBreak/>
              <w:t>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804BC6">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804BC6">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lastRenderedPageBreak/>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453D0B">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453D0B">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453D0B">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77777777" w:rsidR="00453D0B" w:rsidRPr="00804BC6" w:rsidRDefault="00453D0B" w:rsidP="00453D0B">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sz w:val="22"/>
          <w:lang w:val="sv-SE" w:eastAsia="ja-JP"/>
        </w:rPr>
        <w:t>DCM, CATT, Panasonic, ETRI, Spreadtrum</w:t>
      </w:r>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77777777" w:rsidR="00453D0B" w:rsidRPr="00716243" w:rsidRDefault="00453D0B" w:rsidP="00453D0B">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LG,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p>
    <w:p w14:paraId="624C8A4A" w14:textId="77777777" w:rsidR="00453D0B" w:rsidRPr="00716243" w:rsidRDefault="00453D0B" w:rsidP="00453D0B">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B1237">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B1237">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B1237">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B1237">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B1237">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B1237">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497525">
      <w:pPr>
        <w:pStyle w:val="ListParagraph"/>
        <w:numPr>
          <w:ilvl w:val="0"/>
          <w:numId w:val="70"/>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33"/>
        <w:gridCol w:w="8496"/>
      </w:tblGrid>
      <w:tr w:rsidR="001B1237" w14:paraId="17A712E5" w14:textId="77777777" w:rsidTr="00E00363">
        <w:tc>
          <w:tcPr>
            <w:tcW w:w="9629"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E00363">
        <w:tc>
          <w:tcPr>
            <w:tcW w:w="1133"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E00363">
        <w:tc>
          <w:tcPr>
            <w:tcW w:w="1133" w:type="dxa"/>
          </w:tcPr>
          <w:p w14:paraId="2676BAB1"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3E4EBB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825004E" w14:textId="77777777" w:rsidTr="00E00363">
        <w:tc>
          <w:tcPr>
            <w:tcW w:w="1133" w:type="dxa"/>
          </w:tcPr>
          <w:p w14:paraId="6C8FAC8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DB24F0" w14:textId="77777777" w:rsidR="001B1237" w:rsidRPr="00364E9A" w:rsidRDefault="001B1237" w:rsidP="00E00363">
            <w:pPr>
              <w:pStyle w:val="ListParagraph"/>
              <w:ind w:left="0"/>
              <w:rPr>
                <w:rFonts w:ascii="Times New Roman" w:eastAsiaTheme="minorEastAsia" w:hAnsi="Times New Roman" w:cs="Times New Roman"/>
                <w:szCs w:val="20"/>
                <w:lang w:val="en-US" w:eastAsia="zh-CN"/>
              </w:rPr>
            </w:pPr>
          </w:p>
        </w:tc>
      </w:tr>
      <w:tr w:rsidR="001B1237" w14:paraId="6B1A368B" w14:textId="77777777" w:rsidTr="00E00363">
        <w:tc>
          <w:tcPr>
            <w:tcW w:w="1133" w:type="dxa"/>
          </w:tcPr>
          <w:p w14:paraId="5E896023"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73A1A9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3AA2E06" w14:textId="77777777" w:rsidTr="00E00363">
        <w:tc>
          <w:tcPr>
            <w:tcW w:w="1133" w:type="dxa"/>
          </w:tcPr>
          <w:p w14:paraId="67AB54B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2DE4281" w14:textId="77777777" w:rsidR="001B1237" w:rsidRPr="00364E9A" w:rsidRDefault="001B1237" w:rsidP="00E00363">
            <w:pPr>
              <w:pStyle w:val="ListParagraph"/>
              <w:ind w:left="0"/>
              <w:rPr>
                <w:rFonts w:ascii="Times New Roman" w:hAnsi="Times New Roman" w:cs="Times New Roman"/>
              </w:rPr>
            </w:pPr>
          </w:p>
        </w:tc>
      </w:tr>
      <w:tr w:rsidR="001B1237" w14:paraId="0ED2E585" w14:textId="77777777" w:rsidTr="00E00363">
        <w:tc>
          <w:tcPr>
            <w:tcW w:w="1133" w:type="dxa"/>
          </w:tcPr>
          <w:p w14:paraId="02B469E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4EC470"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4BBBC7DA" w14:textId="77777777" w:rsidR="001B1237" w:rsidRPr="0005683B" w:rsidRDefault="001B1237" w:rsidP="001B1237">
      <w:pPr>
        <w:pStyle w:val="NormalWeb"/>
        <w:ind w:left="0" w:firstLine="0"/>
      </w:pPr>
    </w:p>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364E9A">
            <w:pPr>
              <w:pStyle w:val="ListParagraph"/>
              <w:numPr>
                <w:ilvl w:val="0"/>
                <w:numId w:val="65"/>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364E9A">
            <w:pPr>
              <w:pStyle w:val="ListParagraph"/>
              <w:numPr>
                <w:ilvl w:val="1"/>
                <w:numId w:val="65"/>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364E9A">
            <w:pPr>
              <w:pStyle w:val="ListParagraph"/>
              <w:numPr>
                <w:ilvl w:val="1"/>
                <w:numId w:val="65"/>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4-1: This issue is related to Proposal 3-1. Can be discussed together with Proposal 3-1, or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later, if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More further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CE3A9B"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lastRenderedPageBreak/>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lastRenderedPageBreak/>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lastRenderedPageBreak/>
        <w:t>Agreements:</w:t>
      </w:r>
    </w:p>
    <w:p w14:paraId="41C9B658" w14:textId="77777777" w:rsidR="00E93FAD" w:rsidRDefault="00F97FDE">
      <w:pPr>
        <w:numPr>
          <w:ilvl w:val="0"/>
          <w:numId w:val="18"/>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lastRenderedPageBreak/>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lastRenderedPageBreak/>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In particular the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r w:rsidRPr="00594A28">
        <w:rPr>
          <w:rFonts w:ascii="Times New Roman" w:eastAsia="Batang" w:hAnsi="Times New Roman" w:cs="Times New Roman"/>
          <w:szCs w:val="24"/>
          <w:lang w:val="en-GB"/>
        </w:rPr>
        <w:t>availability.A</w:t>
      </w:r>
      <w:proofErr w:type="spell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r w:rsidRPr="00594A28">
        <w:rPr>
          <w:rFonts w:eastAsia="Batang" w:cs="Times New Roman"/>
          <w:bCs/>
          <w:sz w:val="22"/>
          <w:szCs w:val="26"/>
          <w:lang w:val="en-GB"/>
        </w:rPr>
        <w:t>,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small  UE-FFP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437DF" w14:textId="77777777" w:rsidR="00732FB6" w:rsidRDefault="00732FB6">
      <w:pPr>
        <w:spacing w:after="0" w:line="240" w:lineRule="auto"/>
      </w:pPr>
      <w:r>
        <w:separator/>
      </w:r>
    </w:p>
  </w:endnote>
  <w:endnote w:type="continuationSeparator" w:id="0">
    <w:p w14:paraId="4C20AE8E" w14:textId="77777777" w:rsidR="00732FB6" w:rsidRDefault="0073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CE3A9B" w:rsidRDefault="00CE3A9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4BFB7" w14:textId="77777777" w:rsidR="00732FB6" w:rsidRDefault="00732FB6">
      <w:pPr>
        <w:spacing w:after="0" w:line="240" w:lineRule="auto"/>
      </w:pPr>
      <w:r>
        <w:separator/>
      </w:r>
    </w:p>
  </w:footnote>
  <w:footnote w:type="continuationSeparator" w:id="0">
    <w:p w14:paraId="20B05E27" w14:textId="77777777" w:rsidR="00732FB6" w:rsidRDefault="0073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CE3A9B" w:rsidRDefault="00CE3A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BCC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8A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C64015"/>
    <w:multiLevelType w:val="hybridMultilevel"/>
    <w:tmpl w:val="33103D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6"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8F4B3B"/>
    <w:multiLevelType w:val="hybridMultilevel"/>
    <w:tmpl w:val="C680D0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938A2"/>
    <w:multiLevelType w:val="hybridMultilevel"/>
    <w:tmpl w:val="D0B8AFFE"/>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2"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29"/>
  </w:num>
  <w:num w:numId="3">
    <w:abstractNumId w:val="9"/>
  </w:num>
  <w:num w:numId="4">
    <w:abstractNumId w:val="22"/>
  </w:num>
  <w:num w:numId="5">
    <w:abstractNumId w:val="17"/>
  </w:num>
  <w:num w:numId="6">
    <w:abstractNumId w:val="54"/>
  </w:num>
  <w:num w:numId="7">
    <w:abstractNumId w:val="2"/>
  </w:num>
  <w:num w:numId="8">
    <w:abstractNumId w:val="70"/>
  </w:num>
  <w:num w:numId="9">
    <w:abstractNumId w:val="46"/>
  </w:num>
  <w:num w:numId="10">
    <w:abstractNumId w:val="35"/>
  </w:num>
  <w:num w:numId="11">
    <w:abstractNumId w:val="48"/>
  </w:num>
  <w:num w:numId="12">
    <w:abstractNumId w:val="49"/>
  </w:num>
  <w:num w:numId="13">
    <w:abstractNumId w:val="39"/>
  </w:num>
  <w:num w:numId="14">
    <w:abstractNumId w:val="67"/>
  </w:num>
  <w:num w:numId="15">
    <w:abstractNumId w:val="3"/>
  </w:num>
  <w:num w:numId="16">
    <w:abstractNumId w:val="45"/>
  </w:num>
  <w:num w:numId="17">
    <w:abstractNumId w:val="41"/>
  </w:num>
  <w:num w:numId="18">
    <w:abstractNumId w:val="65"/>
  </w:num>
  <w:num w:numId="19">
    <w:abstractNumId w:val="16"/>
  </w:num>
  <w:num w:numId="20">
    <w:abstractNumId w:val="61"/>
  </w:num>
  <w:num w:numId="21">
    <w:abstractNumId w:val="28"/>
  </w:num>
  <w:num w:numId="22">
    <w:abstractNumId w:val="30"/>
  </w:num>
  <w:num w:numId="23">
    <w:abstractNumId w:val="64"/>
  </w:num>
  <w:num w:numId="24">
    <w:abstractNumId w:val="13"/>
  </w:num>
  <w:num w:numId="25">
    <w:abstractNumId w:val="55"/>
  </w:num>
  <w:num w:numId="26">
    <w:abstractNumId w:val="36"/>
  </w:num>
  <w:num w:numId="27">
    <w:abstractNumId w:val="4"/>
  </w:num>
  <w:num w:numId="28">
    <w:abstractNumId w:val="52"/>
  </w:num>
  <w:num w:numId="29">
    <w:abstractNumId w:val="71"/>
  </w:num>
  <w:num w:numId="30">
    <w:abstractNumId w:val="53"/>
  </w:num>
  <w:num w:numId="31">
    <w:abstractNumId w:val="60"/>
  </w:num>
  <w:num w:numId="32">
    <w:abstractNumId w:val="44"/>
  </w:num>
  <w:num w:numId="33">
    <w:abstractNumId w:val="27"/>
  </w:num>
  <w:num w:numId="34">
    <w:abstractNumId w:val="68"/>
  </w:num>
  <w:num w:numId="35">
    <w:abstractNumId w:val="19"/>
  </w:num>
  <w:num w:numId="36">
    <w:abstractNumId w:val="25"/>
  </w:num>
  <w:num w:numId="37">
    <w:abstractNumId w:val="59"/>
  </w:num>
  <w:num w:numId="38">
    <w:abstractNumId w:val="47"/>
  </w:num>
  <w:num w:numId="39">
    <w:abstractNumId w:val="43"/>
  </w:num>
  <w:num w:numId="40">
    <w:abstractNumId w:val="51"/>
  </w:num>
  <w:num w:numId="41">
    <w:abstractNumId w:val="21"/>
  </w:num>
  <w:num w:numId="42">
    <w:abstractNumId w:val="56"/>
  </w:num>
  <w:num w:numId="43">
    <w:abstractNumId w:val="40"/>
  </w:num>
  <w:num w:numId="44">
    <w:abstractNumId w:val="63"/>
  </w:num>
  <w:num w:numId="45">
    <w:abstractNumId w:val="11"/>
  </w:num>
  <w:num w:numId="46">
    <w:abstractNumId w:val="5"/>
  </w:num>
  <w:num w:numId="47">
    <w:abstractNumId w:val="33"/>
  </w:num>
  <w:num w:numId="48">
    <w:abstractNumId w:val="31"/>
  </w:num>
  <w:num w:numId="49">
    <w:abstractNumId w:val="24"/>
  </w:num>
  <w:num w:numId="50">
    <w:abstractNumId w:val="26"/>
  </w:num>
  <w:num w:numId="51">
    <w:abstractNumId w:val="37"/>
  </w:num>
  <w:num w:numId="52">
    <w:abstractNumId w:val="18"/>
  </w:num>
  <w:num w:numId="53">
    <w:abstractNumId w:val="8"/>
  </w:num>
  <w:num w:numId="54">
    <w:abstractNumId w:val="15"/>
  </w:num>
  <w:num w:numId="55">
    <w:abstractNumId w:val="10"/>
  </w:num>
  <w:num w:numId="56">
    <w:abstractNumId w:val="62"/>
  </w:num>
  <w:num w:numId="57">
    <w:abstractNumId w:val="57"/>
  </w:num>
  <w:num w:numId="58">
    <w:abstractNumId w:val="7"/>
  </w:num>
  <w:num w:numId="59">
    <w:abstractNumId w:val="32"/>
  </w:num>
  <w:num w:numId="60">
    <w:abstractNumId w:val="50"/>
  </w:num>
  <w:num w:numId="61">
    <w:abstractNumId w:val="38"/>
  </w:num>
  <w:num w:numId="62">
    <w:abstractNumId w:val="58"/>
  </w:num>
  <w:num w:numId="63">
    <w:abstractNumId w:val="69"/>
  </w:num>
  <w:num w:numId="64">
    <w:abstractNumId w:val="14"/>
  </w:num>
  <w:num w:numId="65">
    <w:abstractNumId w:val="42"/>
  </w:num>
  <w:num w:numId="66">
    <w:abstractNumId w:val="12"/>
  </w:num>
  <w:num w:numId="67">
    <w:abstractNumId w:val="6"/>
  </w:num>
  <w:num w:numId="68">
    <w:abstractNumId w:val="1"/>
  </w:num>
  <w:num w:numId="69">
    <w:abstractNumId w:val="0"/>
  </w:num>
  <w:num w:numId="70">
    <w:abstractNumId w:val="20"/>
  </w:num>
  <w:num w:numId="71">
    <w:abstractNumId w:val="23"/>
  </w:num>
  <w:num w:numId="72">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4579"/>
    <w:rsid w:val="0033495D"/>
    <w:rsid w:val="00335078"/>
    <w:rsid w:val="00335858"/>
    <w:rsid w:val="00336BDA"/>
    <w:rsid w:val="0034078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556B"/>
    <w:rsid w:val="00477768"/>
    <w:rsid w:val="00492BC5"/>
    <w:rsid w:val="004962C4"/>
    <w:rsid w:val="004964F1"/>
    <w:rsid w:val="00496D98"/>
    <w:rsid w:val="00497525"/>
    <w:rsid w:val="004A16BC"/>
    <w:rsid w:val="004A2B94"/>
    <w:rsid w:val="004A73AE"/>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B7E81"/>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2786"/>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18060</Words>
  <Characters>95722</Characters>
  <Application>Microsoft Office Word</Application>
  <DocSecurity>0</DocSecurity>
  <Lines>797</Lines>
  <Paragraphs>227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5</cp:revision>
  <cp:lastPrinted>2008-01-31T07:09:00Z</cp:lastPrinted>
  <dcterms:created xsi:type="dcterms:W3CDTF">2021-05-21T01:47:00Z</dcterms:created>
  <dcterms:modified xsi:type="dcterms:W3CDTF">2021-05-21T11:17:00Z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