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23564886"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06044</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16DC88A5" w:rsidR="00E93FAD" w:rsidRDefault="00F97FDE">
      <w:pPr>
        <w:pStyle w:val="3GPPHeader"/>
        <w:rPr>
          <w:sz w:val="22"/>
        </w:rPr>
      </w:pPr>
      <w:r>
        <w:rPr>
          <w:sz w:val="22"/>
        </w:rPr>
        <w:t>Title:</w:t>
      </w:r>
      <w:r>
        <w:rPr>
          <w:sz w:val="22"/>
        </w:rPr>
        <w:tab/>
        <w:t>Summary#</w:t>
      </w:r>
      <w:r w:rsidR="00F50D3B">
        <w:rPr>
          <w:sz w:val="22"/>
        </w:rPr>
        <w:t>1</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7E12699C"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document 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URLLC/IIoT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77777777"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r>
        <w:rPr>
          <w:rFonts w:eastAsia="MS Mincho"/>
          <w:i/>
          <w:iCs/>
          <w:lang w:eastAsia="en-GB"/>
        </w:rPr>
        <w:t xml:space="preserve">autonomousTx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HW/HiSi, Ericsson, DCM, NEC, LG, CATT, Sharp, ZTE, MTK, ETRI, Spreadtrum,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0E6D51">
            <w:pPr>
              <w:pStyle w:val="ListParagraph"/>
              <w:numPr>
                <w:ilvl w:val="0"/>
                <w:numId w:val="34"/>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Default="00A97390" w:rsidP="00703664">
            <w:pPr>
              <w:pStyle w:val="ListParagraph"/>
              <w:ind w:left="0"/>
              <w:rPr>
                <w:rFonts w:eastAsiaTheme="minorEastAsia"/>
                <w:lang w:eastAsia="zh-CN"/>
              </w:rPr>
            </w:pPr>
            <w:r>
              <w:rPr>
                <w:rFonts w:ascii="Times New Roman" w:eastAsia="Times New Roman" w:hAnsi="Times New Roman" w:cs="Times New Roman"/>
                <w:szCs w:val="20"/>
                <w:lang w:val="en-US" w:eastAsia="ja-JP"/>
              </w:rPr>
              <w:t>Q1:</w:t>
            </w:r>
            <w:r>
              <w:t xml:space="preserve"> Still support Option 2a.</w:t>
            </w:r>
          </w:p>
          <w:p w14:paraId="4966791D" w14:textId="20A90356" w:rsidR="00A97390" w:rsidRPr="00A97390" w:rsidRDefault="00A97390" w:rsidP="00703664">
            <w:pPr>
              <w:pStyle w:val="ListParagraph"/>
              <w:ind w:left="0"/>
              <w:rPr>
                <w:rFonts w:ascii="Times New Roman" w:eastAsiaTheme="minorEastAsia" w:hAnsi="Times New Roman" w:cs="Times New Roman" w:hint="eastAsia"/>
                <w:szCs w:val="20"/>
                <w:lang w:val="en-US" w:eastAsia="zh-CN"/>
              </w:rPr>
            </w:pPr>
            <w:r w:rsidRPr="00A97390">
              <w:rPr>
                <w:rFonts w:eastAsiaTheme="minorEastAsia"/>
                <w:lang w:val="en-US" w:eastAsia="zh-CN"/>
              </w:rPr>
              <w:t>Q2:</w:t>
            </w:r>
            <w: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Default="00A97390" w:rsidP="00703664">
            <w:pPr>
              <w:pStyle w:val="ListParagraph"/>
              <w:ind w:left="0"/>
              <w:rPr>
                <w:rFonts w:eastAsiaTheme="minorEastAsia"/>
                <w:lang w:eastAsia="zh-CN"/>
              </w:rPr>
            </w:pPr>
            <w:r>
              <w:rPr>
                <w:rFonts w:ascii="Times New Roman" w:eastAsia="Times New Roman" w:hAnsi="Times New Roman" w:cs="Times New Roman"/>
                <w:szCs w:val="20"/>
                <w:lang w:val="en-US" w:eastAsia="ja-JP"/>
              </w:rPr>
              <w:t>Q1:</w:t>
            </w:r>
            <w:r>
              <w:t xml:space="preserve"> We still support Alt. 2a</w:t>
            </w:r>
          </w:p>
          <w:p w14:paraId="2958A3FB" w14:textId="69C91B2D" w:rsidR="00A97390" w:rsidRPr="00A97390" w:rsidRDefault="00A97390" w:rsidP="00703664">
            <w:pPr>
              <w:pStyle w:val="ListParagraph"/>
              <w:ind w:left="0"/>
              <w:rPr>
                <w:rFonts w:ascii="Times New Roman" w:eastAsiaTheme="minorEastAsia" w:hAnsi="Times New Roman" w:cs="Times New Roman" w:hint="eastAsia"/>
                <w:szCs w:val="20"/>
                <w:lang w:val="en-US" w:eastAsia="zh-CN"/>
              </w:rPr>
            </w:pPr>
            <w:r w:rsidRPr="00A97390">
              <w:rPr>
                <w:rFonts w:eastAsiaTheme="minorEastAsia"/>
                <w:lang w:val="en-US" w:eastAsia="zh-CN"/>
              </w:rPr>
              <w:t>Q2:</w:t>
            </w:r>
            <w: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4E8E1B8C" w14:textId="77777777" w:rsidR="00A97390" w:rsidRDefault="00A97390" w:rsidP="00A97390">
            <w:pPr>
              <w:pStyle w:val="ListParagraph"/>
              <w:ind w:left="0"/>
              <w:rPr>
                <w:rFonts w:eastAsiaTheme="minorEastAsia"/>
                <w:lang w:eastAsia="zh-CN"/>
              </w:rPr>
            </w:pPr>
            <w:r>
              <w:rPr>
                <w:rFonts w:ascii="Times New Roman" w:eastAsia="Times New Roman" w:hAnsi="Times New Roman" w:cs="Times New Roman"/>
                <w:szCs w:val="20"/>
                <w:lang w:val="en-US" w:eastAsia="ja-JP"/>
              </w:rPr>
              <w:t>Q1:</w:t>
            </w:r>
            <w:r>
              <w:t xml:space="preserve"> We still support Option 1</w:t>
            </w:r>
          </w:p>
          <w:p w14:paraId="4B5EBED6" w14:textId="77777777" w:rsidR="00A97390" w:rsidRDefault="00A97390" w:rsidP="00A97390">
            <w:pPr>
              <w:pStyle w:val="ListParagraph"/>
              <w:ind w:left="0"/>
              <w:rPr>
                <w:rFonts w:eastAsiaTheme="minorEastAsia"/>
                <w:lang w:eastAsia="zh-CN"/>
              </w:rPr>
            </w:pPr>
            <w:r w:rsidRPr="00A97390">
              <w:rPr>
                <w:rFonts w:eastAsiaTheme="minorEastAsia"/>
                <w:lang w:val="en-US" w:eastAsia="zh-CN"/>
              </w:rPr>
              <w:t>Q2:</w:t>
            </w:r>
            <w: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A97390">
              <w:rPr>
                <w:u w:val="single"/>
              </w:rPr>
              <w:t>while the benefits of early termination and saving dynamic overhead of the rescheduling UL grants are lost.</w:t>
            </w:r>
            <w:r>
              <w:t xml:space="preserve"> In that new combination, 3</w:t>
            </w:r>
          </w:p>
          <w:p w14:paraId="07ED3222" w14:textId="77777777" w:rsidR="00A97390" w:rsidRDefault="00A97390" w:rsidP="00A97390">
            <w:pPr>
              <w:pStyle w:val="ListParagraph"/>
              <w:ind w:left="0"/>
              <w:rPr>
                <w:rFonts w:eastAsiaTheme="minorEastAsia"/>
                <w:lang w:eastAsia="zh-CN"/>
              </w:rPr>
            </w:pPr>
            <w: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w:t>
            </w:r>
            <w:r>
              <w:lastRenderedPageBreak/>
              <w:t xml:space="preserve">- If HARQ ID/RV/NDI are made to be tied to the X parameter, then the only benefit seems to multiplexing of TBs in a period (without early termination and CG ReTx) which in our view can be matched by configuring shorter CG periodicity or using multiple CGs. </w:t>
            </w:r>
          </w:p>
          <w:p w14:paraId="5716A81F" w14:textId="705B3256" w:rsidR="00A97390" w:rsidRPr="00A97390" w:rsidRDefault="00A97390" w:rsidP="00A97390">
            <w:pPr>
              <w:pStyle w:val="ListParagraph"/>
              <w:ind w:left="0"/>
              <w:rPr>
                <w:rFonts w:ascii="Times New Roman" w:eastAsiaTheme="minorEastAsia" w:hAnsi="Times New Roman" w:cs="Times New Roman" w:hint="eastAsia"/>
                <w:szCs w:val="20"/>
                <w:lang w:val="en-US" w:eastAsia="zh-CN"/>
              </w:rPr>
            </w:pPr>
            <w: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Default="00A97390" w:rsidP="00A97390">
            <w:pPr>
              <w:pStyle w:val="ListParagraph"/>
              <w:ind w:left="0"/>
              <w:rPr>
                <w:rFonts w:eastAsiaTheme="minorEastAsia"/>
                <w:lang w:eastAsia="zh-CN"/>
              </w:rPr>
            </w:pPr>
            <w:r>
              <w:rPr>
                <w:rFonts w:ascii="Times New Roman" w:eastAsia="Times New Roman" w:hAnsi="Times New Roman" w:cs="Times New Roman"/>
                <w:szCs w:val="20"/>
                <w:lang w:val="en-US" w:eastAsia="ja-JP"/>
              </w:rPr>
              <w:t>Q1:</w:t>
            </w:r>
            <w:r>
              <w:t xml:space="preserve"> We still support Option 1</w:t>
            </w:r>
          </w:p>
          <w:p w14:paraId="3816E844" w14:textId="30F2B8FB" w:rsidR="008E5A11" w:rsidRPr="008E5A11" w:rsidRDefault="008E5A11" w:rsidP="00A97390">
            <w:pPr>
              <w:pStyle w:val="ListParagraph"/>
              <w:ind w:left="0"/>
              <w:rPr>
                <w:rFonts w:ascii="Times New Roman" w:eastAsiaTheme="minorEastAsia" w:hAnsi="Times New Roman" w:cs="Times New Roman" w:hint="eastAsia"/>
                <w:szCs w:val="20"/>
                <w:lang w:val="en-US" w:eastAsia="zh-CN"/>
              </w:rPr>
            </w:pPr>
            <w:r w:rsidRPr="008E5A11">
              <w:rPr>
                <w:rFonts w:eastAsiaTheme="minorEastAsia"/>
                <w:lang w:val="en-US" w:eastAsia="zh-CN"/>
              </w:rPr>
              <w:t xml:space="preserve">Q3: </w:t>
            </w:r>
            <w: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w:t>
            </w:r>
            <w: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w:t>
            </w:r>
            <w:r>
              <w:t xml:space="preserve"> We are fine with adding the sub bullet to preclude Case #2.</w:t>
            </w:r>
          </w:p>
        </w:tc>
      </w:tr>
      <w:tr w:rsidR="00A97390" w14:paraId="4D0B7CC3" w14:textId="77777777" w:rsidTr="00A97390">
        <w:tc>
          <w:tcPr>
            <w:tcW w:w="1243" w:type="dxa"/>
          </w:tcPr>
          <w:p w14:paraId="6C8DF4D9" w14:textId="77777777" w:rsidR="00A97390" w:rsidRDefault="00A97390" w:rsidP="00A97390">
            <w:pPr>
              <w:pStyle w:val="ListParagraph"/>
              <w:ind w:left="0"/>
              <w:rPr>
                <w:rFonts w:ascii="Times New Roman" w:eastAsia="Times New Roman" w:hAnsi="Times New Roman" w:cs="Times New Roman"/>
                <w:szCs w:val="20"/>
                <w:lang w:val="en-US" w:eastAsia="ja-JP"/>
              </w:rPr>
            </w:pPr>
          </w:p>
        </w:tc>
        <w:tc>
          <w:tcPr>
            <w:tcW w:w="8496" w:type="dxa"/>
          </w:tcPr>
          <w:p w14:paraId="1CF70F1D" w14:textId="77777777" w:rsidR="00A97390" w:rsidRDefault="00A97390" w:rsidP="00A97390">
            <w:pPr>
              <w:pStyle w:val="ListParagraph"/>
              <w:ind w:left="0"/>
              <w:rPr>
                <w:rFonts w:ascii="Times New Roman" w:eastAsia="Times New Roman" w:hAnsi="Times New Roman" w:cs="Times New Roman"/>
                <w:szCs w:val="20"/>
                <w:lang w:val="en-US" w:eastAsia="ja-JP"/>
              </w:rPr>
            </w:pPr>
          </w:p>
        </w:tc>
      </w:tr>
    </w:tbl>
    <w:p w14:paraId="736641FA" w14:textId="77777777" w:rsidR="00716243" w:rsidRPr="004D558E" w:rsidRDefault="00716243" w:rsidP="00E726B2">
      <w:pPr>
        <w:pStyle w:val="NormalWeb"/>
        <w:ind w:left="0" w:firstLine="0"/>
        <w:rPr>
          <w:lang w:val="en-GB"/>
        </w:rPr>
      </w:pPr>
    </w:p>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Possibility for no LBT as apposed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suitable for CG PUSCH w.r.t.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lastRenderedPageBreak/>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for large UE-FFP periodicities (e.g., {4, 5, 10} ms) adopt Alt-a, and for small UE-FFP periodicities (e.g., {1, 2, 2.5} ms)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Speadtrum, Intel?,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HW/HiSi, DCM, Futurewei, IDC, LG, WILUS, Panasonic, Sony, ZTE, MTK, Spreadtrum,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lastRenderedPageBreak/>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5D3CA7">
        <w:tc>
          <w:tcPr>
            <w:tcW w:w="962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val="en-US" w:eastAsia="zh-CN"/>
              </w:rPr>
              <w:t>In order to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46600D">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5D3CA7">
        <w:tc>
          <w:tcPr>
            <w:tcW w:w="113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351A3B92" w14:textId="77777777" w:rsidTr="005D3CA7">
        <w:tc>
          <w:tcPr>
            <w:tcW w:w="1133" w:type="dxa"/>
          </w:tcPr>
          <w:p w14:paraId="3B1032FF" w14:textId="3B283F52"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5DE4C40E" w14:textId="77777777" w:rsidR="00F81B04" w:rsidRDefault="00A97390" w:rsidP="005D3CA7">
            <w:pPr>
              <w:pStyle w:val="ListParagraph"/>
              <w:ind w:left="0"/>
              <w:rPr>
                <w:rFonts w:eastAsiaTheme="minorEastAsia"/>
                <w:lang w:eastAsia="zh-CN"/>
              </w:rPr>
            </w:pPr>
            <w:r w:rsidRPr="00A97390">
              <w:rPr>
                <w:lang w:val="en-US"/>
              </w:rPr>
              <w:t>Q1:</w:t>
            </w:r>
            <w:r>
              <w:rPr>
                <w:lang w:val="en-US"/>
              </w:rPr>
              <w:t xml:space="preserve"> </w:t>
            </w:r>
            <w:r>
              <w:t>Still support Alt-a.</w:t>
            </w:r>
          </w:p>
          <w:p w14:paraId="778143FD" w14:textId="7A9A4FDE" w:rsidR="00A97390" w:rsidRPr="00A97390" w:rsidRDefault="00A97390" w:rsidP="005D3CA7">
            <w:pPr>
              <w:pStyle w:val="ListParagraph"/>
              <w:ind w:left="0"/>
              <w:rPr>
                <w:rFonts w:ascii="Times New Roman" w:eastAsiaTheme="minorEastAsia" w:hAnsi="Times New Roman" w:cs="Times New Roman" w:hint="eastAsia"/>
                <w:szCs w:val="20"/>
                <w:lang w:val="en-US" w:eastAsia="zh-CN"/>
              </w:rPr>
            </w:pPr>
            <w:r w:rsidRPr="00A97390">
              <w:rPr>
                <w:rFonts w:eastAsiaTheme="minorEastAsia"/>
                <w:lang w:val="en-US" w:eastAsia="zh-CN"/>
              </w:rPr>
              <w:t>Q2:</w:t>
            </w:r>
            <w:r>
              <w:t xml:space="preserve"> Yes. Otherwise, if both UE &amp; gNB are COT initiator, it isn’t clear whether the UE can transmit in gNB’s FFP Idle Period and vice-versa.</w:t>
            </w:r>
          </w:p>
        </w:tc>
      </w:tr>
      <w:tr w:rsidR="00F81B04" w14:paraId="63AD640D" w14:textId="77777777" w:rsidTr="005D3CA7">
        <w:tc>
          <w:tcPr>
            <w:tcW w:w="113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Default="00A97390" w:rsidP="005D3CA7">
            <w:pPr>
              <w:pStyle w:val="ListParagraph"/>
              <w:ind w:left="0"/>
              <w:rPr>
                <w:rFonts w:eastAsiaTheme="minorEastAsia"/>
                <w:lang w:eastAsia="zh-CN"/>
              </w:rPr>
            </w:pPr>
            <w:r w:rsidRPr="00A97390">
              <w:rPr>
                <w:lang w:val="en-US"/>
              </w:rPr>
              <w:t xml:space="preserve">Q1: </w:t>
            </w:r>
            <w:r>
              <w:t>We support Alt. a</w:t>
            </w:r>
          </w:p>
          <w:p w14:paraId="2ECF599B" w14:textId="4BE10B2A" w:rsidR="00A97390" w:rsidRPr="00A97390" w:rsidRDefault="00A97390" w:rsidP="005D3CA7">
            <w:pPr>
              <w:pStyle w:val="ListParagraph"/>
              <w:ind w:left="0"/>
              <w:rPr>
                <w:rFonts w:ascii="Times New Roman" w:eastAsiaTheme="minorEastAsia" w:hAnsi="Times New Roman" w:cs="Times New Roman" w:hint="eastAsia"/>
                <w:szCs w:val="20"/>
                <w:lang w:val="en-US" w:eastAsia="zh-CN"/>
              </w:rPr>
            </w:pPr>
            <w:r w:rsidRPr="00A97390">
              <w:rPr>
                <w:rFonts w:eastAsiaTheme="minorEastAsia"/>
                <w:lang w:val="en-US" w:eastAsia="zh-CN"/>
              </w:rPr>
              <w:t>Q2:</w:t>
            </w:r>
            <w: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5D3CA7">
        <w:tc>
          <w:tcPr>
            <w:tcW w:w="113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6907C295" w14:textId="77777777" w:rsidR="00F81B04" w:rsidRDefault="00A97390" w:rsidP="005D3CA7">
            <w:pPr>
              <w:pStyle w:val="ListParagraph"/>
              <w:ind w:left="0"/>
              <w:rPr>
                <w:rFonts w:eastAsiaTheme="minorEastAsia"/>
                <w:lang w:eastAsia="zh-CN"/>
              </w:rPr>
            </w:pPr>
            <w:r w:rsidRPr="00A97390">
              <w:rPr>
                <w:lang w:val="en-US"/>
              </w:rPr>
              <w:t xml:space="preserve">Q1: </w:t>
            </w:r>
            <w:r>
              <w:t>We still support Alt-a.</w:t>
            </w:r>
          </w:p>
          <w:p w14:paraId="72C924AA" w14:textId="77777777" w:rsidR="00225E09" w:rsidRDefault="00A97390" w:rsidP="005D3CA7">
            <w:pPr>
              <w:pStyle w:val="ListParagraph"/>
              <w:ind w:left="0"/>
              <w:rPr>
                <w:rFonts w:eastAsiaTheme="minorEastAsia"/>
                <w:lang w:eastAsia="zh-CN"/>
              </w:rPr>
            </w:pPr>
            <w:r w:rsidRPr="00A97390">
              <w:rPr>
                <w:rFonts w:eastAsiaTheme="minorEastAsia"/>
                <w:lang w:val="en-US" w:eastAsia="zh-CN"/>
              </w:rPr>
              <w:t>Q2:</w:t>
            </w:r>
            <w: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Default="00A97390" w:rsidP="005D3CA7">
            <w:pPr>
              <w:pStyle w:val="ListParagraph"/>
              <w:ind w:left="0"/>
              <w:rPr>
                <w:rFonts w:eastAsiaTheme="minorEastAsia"/>
                <w:lang w:eastAsia="zh-CN"/>
              </w:rPr>
            </w:pPr>
            <w:r>
              <w:t>Conclusion:</w:t>
            </w:r>
          </w:p>
          <w:p w14:paraId="5F19E6A5" w14:textId="77777777" w:rsidR="00225E09" w:rsidRDefault="00A97390" w:rsidP="005D3CA7">
            <w:pPr>
              <w:pStyle w:val="ListParagraph"/>
              <w:ind w:left="0"/>
              <w:rPr>
                <w:rFonts w:eastAsiaTheme="minorEastAsia"/>
                <w:lang w:eastAsia="zh-CN"/>
              </w:rPr>
            </w:pPr>
            <w: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A97390" w:rsidRDefault="00A97390" w:rsidP="005D3CA7">
            <w:pPr>
              <w:pStyle w:val="ListParagraph"/>
              <w:ind w:left="0"/>
              <w:rPr>
                <w:rFonts w:ascii="Times New Roman" w:eastAsiaTheme="minorEastAsia" w:hAnsi="Times New Roman" w:cs="Times New Roman" w:hint="eastAsia"/>
                <w:szCs w:val="20"/>
                <w:lang w:val="en-US" w:eastAsia="zh-CN"/>
              </w:rPr>
            </w:pPr>
            <w:r>
              <w:t>○ Note: the gNB may disallow UL transmission during symbols of the idle period by configuring them either as semi-static DL symbols, or indicating them as DL with SFI.</w:t>
            </w:r>
          </w:p>
        </w:tc>
      </w:tr>
      <w:tr w:rsidR="00F81B04" w14:paraId="046C2275" w14:textId="77777777" w:rsidTr="005D3CA7">
        <w:tc>
          <w:tcPr>
            <w:tcW w:w="113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Q1:</w:t>
            </w:r>
            <w:r>
              <w:t xml:space="preserve"> </w:t>
            </w:r>
            <w:r>
              <w:t>We still support Alt-a, the arguments presented so far were not convincing that an UE needs to start its own COT rather than remain in the COT of gNB, together with all other UEs.</w:t>
            </w:r>
          </w:p>
          <w:p w14:paraId="60C86F8B" w14:textId="560909BE"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w:t>
            </w:r>
            <w: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w:t>
            </w:r>
            <w:r>
              <w:lastRenderedPageBreak/>
              <w:t>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5D3CA7">
        <w:tc>
          <w:tcPr>
            <w:tcW w:w="113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1E5AEB13" w14:textId="0C59B4EA"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Q2:</w:t>
            </w:r>
            <w: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5D3CA7">
        <w:tc>
          <w:tcPr>
            <w:tcW w:w="113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Default="00A97390" w:rsidP="005D3CA7">
            <w:pPr>
              <w:pStyle w:val="ListParagraph"/>
              <w:ind w:left="0"/>
              <w:rPr>
                <w:rFonts w:ascii="Times New Roman" w:eastAsia="Times New Roman" w:hAnsi="Times New Roman" w:cs="Times New Roman"/>
                <w:szCs w:val="20"/>
                <w:lang w:val="en-US" w:eastAsia="ja-JP"/>
              </w:rPr>
            </w:pPr>
            <w:r>
              <w:rPr>
                <w:lang w:val="sv-SE"/>
              </w:rPr>
              <w:t xml:space="preserve">Q2: </w:t>
            </w:r>
            <w: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5D3CA7">
        <w:tc>
          <w:tcPr>
            <w:tcW w:w="113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Default="008E5A11" w:rsidP="005D3CA7">
            <w:pPr>
              <w:pStyle w:val="ListParagraph"/>
              <w:ind w:left="0"/>
              <w:rPr>
                <w:rFonts w:eastAsiaTheme="minorEastAsia"/>
                <w:lang w:eastAsia="zh-CN"/>
              </w:rPr>
            </w:pPr>
            <w:r>
              <w:rPr>
                <w:rFonts w:ascii="Times New Roman" w:eastAsia="Times New Roman" w:hAnsi="Times New Roman" w:cs="Times New Roman"/>
                <w:szCs w:val="20"/>
                <w:lang w:val="en-US" w:eastAsia="ja-JP"/>
              </w:rPr>
              <w:t>Q1:</w:t>
            </w:r>
            <w:r>
              <w:t xml:space="preserve"> </w:t>
            </w:r>
            <w:r>
              <w:t>We still support Alt-a</w:t>
            </w:r>
          </w:p>
          <w:p w14:paraId="4862EE26" w14:textId="4A67070B" w:rsidR="008E5A11" w:rsidRPr="008E5A11" w:rsidRDefault="008E5A11" w:rsidP="005D3CA7">
            <w:pPr>
              <w:pStyle w:val="ListParagraph"/>
              <w:ind w:left="0"/>
              <w:rPr>
                <w:rFonts w:ascii="Times New Roman" w:eastAsiaTheme="minorEastAsia" w:hAnsi="Times New Roman" w:cs="Times New Roman" w:hint="eastAsia"/>
                <w:szCs w:val="20"/>
                <w:lang w:val="en-US" w:eastAsia="zh-CN"/>
              </w:rPr>
            </w:pPr>
            <w:r w:rsidRPr="008E5A11">
              <w:rPr>
                <w:rFonts w:eastAsiaTheme="minorEastAsia"/>
                <w:lang w:val="en-US" w:eastAsia="zh-CN"/>
              </w:rPr>
              <w:t xml:space="preserve">Q2: </w:t>
            </w:r>
            <w:r>
              <w:t>No. The regulations wrt COT are written from a single device perspective, and nothing forbids gNB and UE from initiating overlapping COTs.</w:t>
            </w:r>
          </w:p>
        </w:tc>
      </w:tr>
    </w:tbl>
    <w:p w14:paraId="25EC25D4" w14:textId="77777777" w:rsidR="00F81B04" w:rsidRPr="004D558E" w:rsidRDefault="00F81B04" w:rsidP="00F81B04">
      <w:pPr>
        <w:pStyle w:val="NormalWeb"/>
        <w:ind w:left="0" w:firstLine="0"/>
        <w:rPr>
          <w:lang w:val="en-GB"/>
        </w:rPr>
      </w:pPr>
    </w:p>
    <w:p w14:paraId="5992FF53" w14:textId="4E51D425" w:rsidR="00F81B04" w:rsidRDefault="00F81B04" w:rsidP="00F81B04">
      <w:pPr>
        <w:rPr>
          <w:lang w:eastAsia="zh-CN"/>
        </w:rPr>
      </w:pPr>
    </w:p>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r>
        <w:rPr>
          <w:rFonts w:ascii="Times New Roman" w:hAnsi="Times New Roman" w:cs="Times New Roman"/>
          <w:lang w:val="en-GB" w:eastAsia="ja-JP"/>
        </w:rPr>
        <w:t>in order to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lastRenderedPageBreak/>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lastRenderedPageBreak/>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whether/how to handle the case when the gNB schedules an UL transmission in the next gNB’s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QC, Nokia/NSB, Ericsson, Samsung, Apple, Futurewei, IDC, CATT, WILUS, Panasonic, Sony, Sharp, Len/MOT, ETRI, Spreadtrum,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HW/HiSi,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Nokia/NSB, Ericsson, Futurewei,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13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0E6D51">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Default="00225E09" w:rsidP="00703664">
            <w:pPr>
              <w:pStyle w:val="ListParagraph"/>
              <w:ind w:left="0"/>
              <w:rPr>
                <w:rFonts w:eastAsiaTheme="minorEastAsia"/>
                <w:lang w:eastAsia="zh-CN"/>
              </w:rPr>
            </w:pPr>
            <w:r>
              <w:t xml:space="preserve">Proposal 3-1: We still prefer Alt-a. And the new indicator in the DCI is always present for UE configured to initiate its own COT. </w:t>
            </w:r>
          </w:p>
          <w:p w14:paraId="559E08F8" w14:textId="1B0D497F" w:rsidR="00716243" w:rsidRDefault="00225E09" w:rsidP="00703664">
            <w:pPr>
              <w:pStyle w:val="ListParagraph"/>
              <w:ind w:left="0"/>
              <w:rPr>
                <w:rFonts w:ascii="Times New Roman" w:eastAsia="Times New Roman" w:hAnsi="Times New Roman" w:cs="Times New Roman"/>
                <w:szCs w:val="20"/>
                <w:lang w:val="en-US" w:eastAsia="ja-JP"/>
              </w:rPr>
            </w:pPr>
            <w: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Default="00225E09" w:rsidP="00703664">
            <w:pPr>
              <w:pStyle w:val="ListParagraph"/>
              <w:ind w:left="0"/>
              <w:rPr>
                <w:rFonts w:eastAsiaTheme="minorEastAsia"/>
                <w:lang w:eastAsia="zh-CN"/>
              </w:rPr>
            </w:pPr>
            <w: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225E09" w:rsidRDefault="00225E09" w:rsidP="00703664">
            <w:pPr>
              <w:pStyle w:val="ListParagraph"/>
              <w:ind w:left="0"/>
              <w:rPr>
                <w:rFonts w:ascii="Times New Roman" w:eastAsiaTheme="minorEastAsia" w:hAnsi="Times New Roman" w:cs="Times New Roman" w:hint="eastAsia"/>
                <w:szCs w:val="20"/>
                <w:lang w:val="en-US" w:eastAsia="zh-CN"/>
              </w:rPr>
            </w:pPr>
            <w: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Default="00225E09" w:rsidP="00703664">
            <w:pPr>
              <w:pStyle w:val="ListParagraph"/>
              <w:ind w:left="0"/>
              <w:rPr>
                <w:rFonts w:ascii="Times New Roman" w:eastAsia="Times New Roman" w:hAnsi="Times New Roman" w:cs="Times New Roman"/>
                <w:szCs w:val="20"/>
                <w:lang w:val="en-US" w:eastAsia="ja-JP"/>
              </w:rPr>
            </w:pPr>
            <w: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Len/MOT</w:t>
            </w:r>
          </w:p>
        </w:tc>
        <w:tc>
          <w:tcPr>
            <w:tcW w:w="8496" w:type="dxa"/>
          </w:tcPr>
          <w:p w14:paraId="4E83186B" w14:textId="396DA831" w:rsidR="00225E09" w:rsidRDefault="00225E09" w:rsidP="00703664">
            <w:pPr>
              <w:pStyle w:val="ListParagraph"/>
              <w:ind w:left="0"/>
            </w:pPr>
            <w: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034FEF90" w14:textId="77777777" w:rsidR="008E5A11" w:rsidRDefault="008E5A11" w:rsidP="00703664">
            <w:pPr>
              <w:pStyle w:val="ListParagraph"/>
              <w:ind w:left="0"/>
              <w:rPr>
                <w:rFonts w:eastAsiaTheme="minorEastAsia"/>
                <w:lang w:eastAsia="zh-CN"/>
              </w:rPr>
            </w:pPr>
            <w:r>
              <w:t xml:space="preserve">Proposal 3-1: We still support Alt-b. </w:t>
            </w:r>
          </w:p>
          <w:p w14:paraId="7DE26C16" w14:textId="77777777" w:rsidR="008E5A11" w:rsidRDefault="008E5A11" w:rsidP="00703664">
            <w:pPr>
              <w:pStyle w:val="ListParagraph"/>
              <w:ind w:left="0"/>
              <w:rPr>
                <w:rFonts w:eastAsiaTheme="minorEastAsia"/>
                <w:lang w:eastAsia="zh-CN"/>
              </w:rPr>
            </w:pPr>
            <w: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Default="008E5A11" w:rsidP="00703664">
            <w:pPr>
              <w:pStyle w:val="ListParagraph"/>
              <w:ind w:left="0"/>
              <w:rPr>
                <w:rFonts w:eastAsiaTheme="minorEastAsia"/>
                <w:lang w:eastAsia="zh-CN"/>
              </w:rPr>
            </w:pPr>
            <w:r>
              <w:t>Proposal 3-2: We are OK with Option 2</w:t>
            </w:r>
          </w:p>
          <w:p w14:paraId="4EB660D9" w14:textId="77777777" w:rsidR="008E5A11" w:rsidRDefault="008E5A11" w:rsidP="00703664">
            <w:pPr>
              <w:pStyle w:val="ListParagraph"/>
              <w:ind w:left="0"/>
              <w:rPr>
                <w:rFonts w:eastAsiaTheme="minorEastAsia"/>
                <w:lang w:eastAsia="zh-CN"/>
              </w:rPr>
            </w:pPr>
          </w:p>
          <w:p w14:paraId="57ECEBF8" w14:textId="587FA9AB" w:rsidR="008E5A11" w:rsidRPr="008E5A11" w:rsidRDefault="008E5A11" w:rsidP="00703664">
            <w:pPr>
              <w:pStyle w:val="ListParagraph"/>
              <w:ind w:left="0"/>
              <w:rPr>
                <w:rFonts w:eastAsiaTheme="minorEastAsia" w:hint="eastAsia"/>
                <w:lang w:eastAsia="zh-CN"/>
              </w:rPr>
            </w:pPr>
            <w: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Default="008E5A11" w:rsidP="00703664">
            <w:pPr>
              <w:pStyle w:val="ListParagraph"/>
              <w:ind w:left="0"/>
            </w:pPr>
            <w:r>
              <w:t>We still support Alt-a for Proposal 3.1 , and Option 1 for Proposal 3.2</w:t>
            </w:r>
          </w:p>
        </w:tc>
      </w:tr>
      <w:tr w:rsidR="008E5A11" w14:paraId="09AF437A" w14:textId="77777777" w:rsidTr="00703664">
        <w:tc>
          <w:tcPr>
            <w:tcW w:w="1133" w:type="dxa"/>
          </w:tcPr>
          <w:p w14:paraId="63057132" w14:textId="77777777" w:rsidR="008E5A11" w:rsidRDefault="008E5A11" w:rsidP="00703664">
            <w:pPr>
              <w:pStyle w:val="ListParagraph"/>
              <w:ind w:left="0"/>
              <w:rPr>
                <w:rFonts w:ascii="Times New Roman" w:eastAsia="Times New Roman" w:hAnsi="Times New Roman" w:cs="Times New Roman"/>
                <w:szCs w:val="20"/>
                <w:lang w:val="en-US" w:eastAsia="ja-JP"/>
              </w:rPr>
            </w:pPr>
          </w:p>
        </w:tc>
        <w:tc>
          <w:tcPr>
            <w:tcW w:w="8496" w:type="dxa"/>
          </w:tcPr>
          <w:p w14:paraId="62D46839" w14:textId="77777777" w:rsidR="008E5A11" w:rsidRDefault="008E5A11" w:rsidP="00703664">
            <w:pPr>
              <w:pStyle w:val="ListParagraph"/>
              <w:ind w:left="0"/>
            </w:pPr>
          </w:p>
        </w:tc>
      </w:tr>
      <w:tr w:rsidR="008E5A11" w14:paraId="56A2FBFC" w14:textId="77777777" w:rsidTr="00703664">
        <w:tc>
          <w:tcPr>
            <w:tcW w:w="1133" w:type="dxa"/>
          </w:tcPr>
          <w:p w14:paraId="1A025862" w14:textId="77777777" w:rsidR="008E5A11" w:rsidRDefault="008E5A11" w:rsidP="00703664">
            <w:pPr>
              <w:pStyle w:val="ListParagraph"/>
              <w:ind w:left="0"/>
              <w:rPr>
                <w:rFonts w:ascii="Times New Roman" w:eastAsia="Times New Roman" w:hAnsi="Times New Roman" w:cs="Times New Roman"/>
                <w:szCs w:val="20"/>
                <w:lang w:val="en-US" w:eastAsia="ja-JP"/>
              </w:rPr>
            </w:pPr>
          </w:p>
        </w:tc>
        <w:tc>
          <w:tcPr>
            <w:tcW w:w="8496" w:type="dxa"/>
          </w:tcPr>
          <w:p w14:paraId="67056FE8" w14:textId="77777777" w:rsidR="008E5A11" w:rsidRDefault="008E5A11" w:rsidP="00703664">
            <w:pPr>
              <w:pStyle w:val="ListParagraph"/>
              <w:ind w:left="0"/>
            </w:pPr>
          </w:p>
        </w:tc>
      </w:tr>
    </w:tbl>
    <w:p w14:paraId="239BCA41" w14:textId="77777777" w:rsidR="00716243" w:rsidRDefault="00716243" w:rsidP="00716243"/>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33"/>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Default="00225E09">
            <w:pPr>
              <w:pStyle w:val="ListParagraph"/>
              <w:ind w:left="0"/>
              <w:rPr>
                <w:rFonts w:eastAsiaTheme="minorEastAsia"/>
                <w:lang w:eastAsia="zh-CN"/>
              </w:rPr>
            </w:pPr>
            <w:r>
              <w:t xml:space="preserve">Proposal 4-1: It isn’t clear what it means by ”based on the same content in the scheduling DCI.” </w:t>
            </w:r>
          </w:p>
          <w:p w14:paraId="4DF1A39C" w14:textId="14DAA96D" w:rsidR="00E93FAD" w:rsidRDefault="00225E09">
            <w:pPr>
              <w:pStyle w:val="ListParagraph"/>
              <w:ind w:left="0"/>
              <w:rPr>
                <w:rFonts w:ascii="Times New Roman" w:eastAsia="Times New Roman" w:hAnsi="Times New Roman" w:cs="Times New Roman"/>
                <w:szCs w:val="20"/>
                <w:lang w:val="en-US" w:eastAsia="ja-JP"/>
              </w:rPr>
            </w:pPr>
            <w: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Default="00225E09">
            <w:pPr>
              <w:pStyle w:val="ListParagraph"/>
              <w:ind w:left="0"/>
              <w:rPr>
                <w:rFonts w:ascii="Times New Roman" w:eastAsia="Times New Roman" w:hAnsi="Times New Roman" w:cs="Times New Roman"/>
                <w:szCs w:val="20"/>
                <w:lang w:val="en-US" w:eastAsia="ja-JP"/>
              </w:rPr>
            </w:pPr>
            <w: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Default="00225E09" w:rsidP="00225E09">
            <w:pPr>
              <w:pStyle w:val="ListParagraph"/>
              <w:ind w:left="0"/>
              <w:jc w:val="both"/>
              <w:rPr>
                <w:rFonts w:ascii="Times New Roman" w:eastAsia="Times New Roman" w:hAnsi="Times New Roman" w:cs="Times New Roman"/>
                <w:szCs w:val="20"/>
                <w:lang w:val="en-US" w:eastAsia="ja-JP"/>
              </w:rPr>
            </w:pPr>
            <w: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Default="00225E09">
            <w:pPr>
              <w:pStyle w:val="ListParagraph"/>
              <w:ind w:left="0"/>
              <w:rPr>
                <w:rFonts w:ascii="Times New Roman" w:eastAsia="Times New Roman" w:hAnsi="Times New Roman" w:cs="Times New Roman"/>
                <w:szCs w:val="20"/>
                <w:lang w:val="en-US" w:eastAsia="ja-JP"/>
              </w:rPr>
            </w:pPr>
            <w: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HW/HiSi</w:t>
            </w:r>
          </w:p>
        </w:tc>
        <w:tc>
          <w:tcPr>
            <w:tcW w:w="8496" w:type="dxa"/>
          </w:tcPr>
          <w:p w14:paraId="37EB0122" w14:textId="05C29B26" w:rsidR="00225E09" w:rsidRDefault="008E5A11">
            <w:pPr>
              <w:pStyle w:val="ListParagraph"/>
              <w:ind w:left="0"/>
              <w:rPr>
                <w:rFonts w:ascii="Times New Roman" w:eastAsia="Times New Roman" w:hAnsi="Times New Roman" w:cs="Times New Roman"/>
                <w:szCs w:val="20"/>
                <w:lang w:val="en-US" w:eastAsia="ja-JP"/>
              </w:rPr>
            </w:pPr>
            <w:r>
              <w:t>We think the two proposlas need further clarification</w:t>
            </w:r>
          </w:p>
        </w:tc>
      </w:tr>
      <w:tr w:rsidR="00225E09" w14:paraId="2626E772" w14:textId="77777777">
        <w:tc>
          <w:tcPr>
            <w:tcW w:w="1133" w:type="dxa"/>
          </w:tcPr>
          <w:p w14:paraId="6178ABE3"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6D6711E8" w14:textId="77777777" w:rsidR="00225E09" w:rsidRDefault="00225E09">
            <w:pPr>
              <w:pStyle w:val="ListParagraph"/>
              <w:ind w:left="0"/>
              <w:rPr>
                <w:rFonts w:ascii="Times New Roman" w:eastAsia="Times New Roman" w:hAnsi="Times New Roman" w:cs="Times New Roman"/>
                <w:szCs w:val="20"/>
                <w:lang w:val="en-US" w:eastAsia="ja-JP"/>
              </w:rPr>
            </w:pPr>
          </w:p>
        </w:tc>
      </w:tr>
      <w:tr w:rsidR="00225E09" w14:paraId="082266B6" w14:textId="77777777">
        <w:tc>
          <w:tcPr>
            <w:tcW w:w="1133" w:type="dxa"/>
          </w:tcPr>
          <w:p w14:paraId="0F2141BF" w14:textId="77777777"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p>
        </w:tc>
        <w:tc>
          <w:tcPr>
            <w:tcW w:w="8496" w:type="dxa"/>
          </w:tcPr>
          <w:p w14:paraId="09E3EDB1" w14:textId="77777777" w:rsidR="00225E09" w:rsidRDefault="00225E09">
            <w:pPr>
              <w:pStyle w:val="ListParagraph"/>
              <w:ind w:left="0"/>
              <w:rPr>
                <w:rFonts w:ascii="Times New Roman" w:eastAsia="Times New Roman" w:hAnsi="Times New Roman" w:cs="Times New Roman"/>
                <w:szCs w:val="20"/>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IIoT/URLLC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Further UL enhancements for IIoT/URLLC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URLLC/IIoT</w:t>
            </w:r>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A97390"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URLLC/IIoT</w:t>
            </w:r>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t>The gNB is not allowed to transmit during the idle period of any FFP associated with the gNB in which the gNB initates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any FFP associated with the UE in which the UE initates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lastRenderedPageBreak/>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lastRenderedPageBreak/>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Note 2: Whether or not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pPr>
        <w:numPr>
          <w:ilvl w:val="0"/>
          <w:numId w:val="18"/>
        </w:numPr>
        <w:spacing w:after="0" w:line="240" w:lineRule="auto"/>
        <w:rPr>
          <w:rFonts w:cs="Arial"/>
          <w:szCs w:val="20"/>
        </w:rPr>
      </w:pPr>
      <w:r>
        <w:rPr>
          <w:rFonts w:cs="Arial"/>
          <w:szCs w:val="20"/>
        </w:rPr>
        <w:t>The gNB configures a UE to initiate semi-static CO in an unlicensed channel(s) only if the gNB configures the UE also with the higher layer parameters of the gNB’s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lastRenderedPageBreak/>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r>
        <w:rPr>
          <w:rFonts w:cs="Arial"/>
          <w:szCs w:val="20"/>
          <w:lang w:eastAsia="ko-KR"/>
        </w:rPr>
        <w:t>ChannelAccess-CPext</w:t>
      </w:r>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When a configured UL transmission is aligned with a UE FFP boundary and ends before the idle period of that UE FFP associated to the UE, down-select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Alt-c: The UE assumption on whether the configured UL transmission is allowed to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t>PUSCH repetition Type B is supported for unlicensed band operation when using NR IIoT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In semi-static channel access mode, UE FFP periodicity is chosen from the following set of values in ms: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lastRenderedPageBreak/>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whether/how to handle the case when the gNB schedules an UL transmission in the next gNB’s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lastRenderedPageBreak/>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1: Do not support PUSCH repetition Type B</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lastRenderedPageBreak/>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gNB indicates UE to initiate a COT based on ChannelAccess-CPext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is allowed to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PRACH transmission in idle mode;</w:t>
      </w:r>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PRACH occasions into two groups and SSB is mapped to PRACH occasion per group;</w:t>
      </w:r>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Study the following alternatives for MsgA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Supporting UE initiated COT by MsgA transmission in idle mode;</w:t>
      </w:r>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MsgA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Alt.1: Divide PUSCH occasions into two groups and PRACH occasion is mapped to PUSCH occasion per group;</w:t>
      </w:r>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CP extension can be used to handle the non-transmission of orphan symbol for Tpye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Further UL enhancements for IIoT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are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taken into account.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a UE performing scheduled UL transmissions determines the initiator of the COT based on the content of the scheduling DCI (Alt-a). In particular the bitfield ChannelAccess-CPext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In semi-static channel access mode, early termination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Enhancements for unlicensed band URLLC IIoT</w:t>
        </w:r>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Indicating the COT sharing scheme in advance will reduce the flexibility and transmission efficiency for FBE in unlicensed band due to the uncertainty of the channel availability.A</w:t>
      </w:r>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Given that gNB can control the timing of the scheduled UL transmission which is already involved in the determination of the COT initiator, and given the above cases in which the indication would be disregarded, in addition to the resulting inconsistency of UE behavior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Enhancements for IIoT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inclusion of channel access fields ChannelAccess-CPext-CAPC and ChannelAccess-CPext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R1-2105695</w:t>
      </w:r>
      <w:r>
        <w:rPr>
          <w:rFonts w:eastAsia="Batang" w:cs="Times New Roman"/>
          <w:bCs/>
          <w:sz w:val="22"/>
          <w:szCs w:val="26"/>
          <w:lang w:val="en-GB"/>
        </w:rPr>
        <w:t xml:space="preserve">  </w:t>
      </w:r>
      <w:r w:rsidRPr="00594A28">
        <w:rPr>
          <w:rFonts w:eastAsia="Batang" w:cs="Times New Roman"/>
          <w:bCs/>
          <w:sz w:val="22"/>
          <w:szCs w:val="26"/>
          <w:lang w:val="en-GB"/>
        </w:rPr>
        <w:t>NTT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Enhancements for unlicensed band URLLC IIoT</w:t>
        </w:r>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ChannelAccess-CPext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-3: For a scheduled UL transmission, the scheduling DCI always indicates whether the UE initiates its own COT or shares gNB’s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Enhancements for unlicensed band URLLC IIoT</w:t>
        </w:r>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gNB may send a PDCCH to cancel a low priority UE’s transmission and release the corresponding UE initiated COT in order to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gNB controls UEs channel access, potential collisions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With an explicit DCI indication of the COT type (gNB/UE) the gNB can control exactly each UE behavior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the gNB schedules an UL transmission in the next gNB’s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R1-2105400</w:t>
      </w:r>
      <w:r>
        <w:rPr>
          <w:rFonts w:eastAsia="Batang" w:cs="Times New Roman"/>
          <w:bCs/>
          <w:sz w:val="22"/>
          <w:szCs w:val="26"/>
          <w:lang w:val="en-GB"/>
        </w:rPr>
        <w:t xml:space="preserve">  </w:t>
      </w:r>
      <w:r w:rsidRPr="00594A28">
        <w:rPr>
          <w:rFonts w:eastAsia="Batang" w:cs="Times New Roman"/>
          <w:bCs/>
          <w:sz w:val="22"/>
          <w:szCs w:val="26"/>
          <w:lang w:val="en-GB"/>
        </w:rPr>
        <w:t>InterDigital,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Enhancements for unlicensed band URLLC IIoT</w:t>
        </w:r>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Enhancements for unlicensed band URLLC IIoT</w:t>
        </w:r>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R1-2105873</w:t>
      </w:r>
      <w:r>
        <w:rPr>
          <w:rFonts w:eastAsia="Batang" w:cs="Times New Roman"/>
          <w:bCs/>
          <w:sz w:val="22"/>
          <w:szCs w:val="26"/>
          <w:lang w:val="en-GB"/>
        </w:rPr>
        <w:t xml:space="preserve">  </w:t>
      </w:r>
      <w:r w:rsidRPr="00594A28">
        <w:rPr>
          <w:rFonts w:eastAsia="Batang" w:cs="Times New Roman"/>
          <w:bCs/>
          <w:sz w:val="22"/>
          <w:szCs w:val="26"/>
          <w:lang w:val="en-GB"/>
        </w:rPr>
        <w:t>WILUS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Discussion on enhancement for unlicensed URLLC IIoT</w:t>
        </w:r>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We support Alt-a with the same UE behavior on determination of gNB and UE’s COT for the configured UL transmission regardless of whether or not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It should be further discussed whether or not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URLLC/IIoT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Enhancements for unlicensed band URLLC IIoT</w:t>
        </w:r>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Enhancements for unlicensed band URLLC IIoT</w:t>
        </w:r>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Whether a UE-initiated COT is initiated to transmit a dynamic scheduled PUSCH is indicated by the DCI format scheduling the PUSCH, reusing ChannelAccess-CPext/ChannelAccess-CPext-CAPC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Rel-17 DCI 0_2 and 1_2, include ChannelAccess-CPext/ChannelAccess-CPext-CAPC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R1-2105734</w:t>
      </w:r>
      <w:r>
        <w:rPr>
          <w:rFonts w:eastAsia="Batang" w:cs="Times New Roman"/>
          <w:bCs/>
          <w:sz w:val="22"/>
          <w:szCs w:val="26"/>
          <w:lang w:val="en-GB"/>
        </w:rPr>
        <w:t xml:space="preserve">  </w:t>
      </w:r>
      <w:r w:rsidRPr="00310A26">
        <w:rPr>
          <w:rFonts w:eastAsia="Batang" w:cs="Times New Roman"/>
          <w:bCs/>
          <w:sz w:val="22"/>
          <w:szCs w:val="26"/>
          <w:lang w:val="en-GB"/>
        </w:rPr>
        <w:t>MediaTek Inc.</w:t>
      </w:r>
      <w:r w:rsidRPr="00310A26">
        <w:rPr>
          <w:rFonts w:eastAsia="Batang" w:cs="Times New Roman"/>
          <w:bCs/>
          <w:sz w:val="22"/>
          <w:szCs w:val="26"/>
          <w:lang w:val="en-GB"/>
        </w:rPr>
        <w:tab/>
      </w:r>
      <w:r w:rsidRPr="00310A26">
        <w:rPr>
          <w:rFonts w:eastAsia="Batang" w:cs="Times New Roman"/>
          <w:bCs/>
          <w:color w:val="0000FF"/>
          <w:sz w:val="22"/>
          <w:szCs w:val="26"/>
          <w:lang w:val="en-GB"/>
        </w:rPr>
        <w:t>On the enhancements for unlicensed band URLLC IIoT</w:t>
      </w:r>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Enhancements for unlicensed band URLLC IIoT</w:t>
        </w:r>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ms)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small  UE-FFP periodicities (e.g., { 1, 2, 2.5} ms)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Discussion on unlicensed band URLLC IIoT</w:t>
        </w:r>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Enhancements for unlicensed band URLLC IIoT</w:t>
        </w:r>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Alt-b may provide a larger flexibility of choosing a COT-initiator (i.e., choosing whether or not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t>Spreadtrum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Discussion on enhancements for unlicensed band URLLC IIoT</w:t>
        </w:r>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Enhancements for unlicensed band URLLC IIoT</w:t>
        </w:r>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8CE7" w14:textId="77777777" w:rsidR="002A6FD2" w:rsidRDefault="002A6FD2">
      <w:pPr>
        <w:spacing w:after="0" w:line="240" w:lineRule="auto"/>
      </w:pPr>
      <w:r>
        <w:separator/>
      </w:r>
    </w:p>
  </w:endnote>
  <w:endnote w:type="continuationSeparator" w:id="0">
    <w:p w14:paraId="7D1E4541" w14:textId="77777777" w:rsidR="002A6FD2" w:rsidRDefault="002A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A97390" w:rsidRDefault="00A9739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B0540" w14:textId="77777777" w:rsidR="002A6FD2" w:rsidRDefault="002A6FD2">
      <w:pPr>
        <w:spacing w:after="0" w:line="240" w:lineRule="auto"/>
      </w:pPr>
      <w:r>
        <w:separator/>
      </w:r>
    </w:p>
  </w:footnote>
  <w:footnote w:type="continuationSeparator" w:id="0">
    <w:p w14:paraId="50EC17A2" w14:textId="77777777" w:rsidR="002A6FD2" w:rsidRDefault="002A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A97390" w:rsidRDefault="00A9739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2"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262234"/>
    <w:multiLevelType w:val="hybridMultilevel"/>
    <w:tmpl w:val="D17AEF8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3"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8"/>
  </w:num>
  <w:num w:numId="2">
    <w:abstractNumId w:val="23"/>
  </w:num>
  <w:num w:numId="3">
    <w:abstractNumId w:val="6"/>
  </w:num>
  <w:num w:numId="4">
    <w:abstractNumId w:val="17"/>
  </w:num>
  <w:num w:numId="5">
    <w:abstractNumId w:val="13"/>
  </w:num>
  <w:num w:numId="6">
    <w:abstractNumId w:val="46"/>
  </w:num>
  <w:num w:numId="7">
    <w:abstractNumId w:val="0"/>
  </w:num>
  <w:num w:numId="8">
    <w:abstractNumId w:val="62"/>
  </w:num>
  <w:num w:numId="9">
    <w:abstractNumId w:val="38"/>
  </w:num>
  <w:num w:numId="10">
    <w:abstractNumId w:val="28"/>
  </w:num>
  <w:num w:numId="11">
    <w:abstractNumId w:val="40"/>
  </w:num>
  <w:num w:numId="12">
    <w:abstractNumId w:val="41"/>
  </w:num>
  <w:num w:numId="13">
    <w:abstractNumId w:val="32"/>
  </w:num>
  <w:num w:numId="14">
    <w:abstractNumId w:val="59"/>
  </w:num>
  <w:num w:numId="15">
    <w:abstractNumId w:val="1"/>
  </w:num>
  <w:num w:numId="16">
    <w:abstractNumId w:val="37"/>
  </w:num>
  <w:num w:numId="17">
    <w:abstractNumId w:val="34"/>
  </w:num>
  <w:num w:numId="18">
    <w:abstractNumId w:val="57"/>
  </w:num>
  <w:num w:numId="19">
    <w:abstractNumId w:val="12"/>
  </w:num>
  <w:num w:numId="20">
    <w:abstractNumId w:val="53"/>
  </w:num>
  <w:num w:numId="21">
    <w:abstractNumId w:val="22"/>
  </w:num>
  <w:num w:numId="22">
    <w:abstractNumId w:val="24"/>
  </w:num>
  <w:num w:numId="23">
    <w:abstractNumId w:val="56"/>
  </w:num>
  <w:num w:numId="24">
    <w:abstractNumId w:val="9"/>
  </w:num>
  <w:num w:numId="25">
    <w:abstractNumId w:val="47"/>
  </w:num>
  <w:num w:numId="26">
    <w:abstractNumId w:val="29"/>
  </w:num>
  <w:num w:numId="27">
    <w:abstractNumId w:val="2"/>
  </w:num>
  <w:num w:numId="28">
    <w:abstractNumId w:val="44"/>
  </w:num>
  <w:num w:numId="29">
    <w:abstractNumId w:val="63"/>
  </w:num>
  <w:num w:numId="30">
    <w:abstractNumId w:val="45"/>
  </w:num>
  <w:num w:numId="31">
    <w:abstractNumId w:val="52"/>
  </w:num>
  <w:num w:numId="32">
    <w:abstractNumId w:val="36"/>
  </w:num>
  <w:num w:numId="33">
    <w:abstractNumId w:val="21"/>
  </w:num>
  <w:num w:numId="34">
    <w:abstractNumId w:val="60"/>
  </w:num>
  <w:num w:numId="35">
    <w:abstractNumId w:val="15"/>
  </w:num>
  <w:num w:numId="36">
    <w:abstractNumId w:val="19"/>
  </w:num>
  <w:num w:numId="37">
    <w:abstractNumId w:val="51"/>
  </w:num>
  <w:num w:numId="38">
    <w:abstractNumId w:val="39"/>
  </w:num>
  <w:num w:numId="39">
    <w:abstractNumId w:val="35"/>
  </w:num>
  <w:num w:numId="40">
    <w:abstractNumId w:val="43"/>
  </w:num>
  <w:num w:numId="41">
    <w:abstractNumId w:val="16"/>
  </w:num>
  <w:num w:numId="42">
    <w:abstractNumId w:val="48"/>
  </w:num>
  <w:num w:numId="43">
    <w:abstractNumId w:val="33"/>
  </w:num>
  <w:num w:numId="44">
    <w:abstractNumId w:val="55"/>
  </w:num>
  <w:num w:numId="45">
    <w:abstractNumId w:val="8"/>
  </w:num>
  <w:num w:numId="46">
    <w:abstractNumId w:val="3"/>
  </w:num>
  <w:num w:numId="47">
    <w:abstractNumId w:val="27"/>
  </w:num>
  <w:num w:numId="48">
    <w:abstractNumId w:val="25"/>
  </w:num>
  <w:num w:numId="49">
    <w:abstractNumId w:val="18"/>
  </w:num>
  <w:num w:numId="50">
    <w:abstractNumId w:val="20"/>
  </w:num>
  <w:num w:numId="51">
    <w:abstractNumId w:val="30"/>
  </w:num>
  <w:num w:numId="52">
    <w:abstractNumId w:val="14"/>
  </w:num>
  <w:num w:numId="53">
    <w:abstractNumId w:val="5"/>
  </w:num>
  <w:num w:numId="54">
    <w:abstractNumId w:val="11"/>
  </w:num>
  <w:num w:numId="55">
    <w:abstractNumId w:val="7"/>
  </w:num>
  <w:num w:numId="56">
    <w:abstractNumId w:val="54"/>
  </w:num>
  <w:num w:numId="57">
    <w:abstractNumId w:val="49"/>
  </w:num>
  <w:num w:numId="58">
    <w:abstractNumId w:val="4"/>
  </w:num>
  <w:num w:numId="59">
    <w:abstractNumId w:val="26"/>
  </w:num>
  <w:num w:numId="60">
    <w:abstractNumId w:val="42"/>
  </w:num>
  <w:num w:numId="61">
    <w:abstractNumId w:val="31"/>
  </w:num>
  <w:num w:numId="62">
    <w:abstractNumId w:val="50"/>
  </w:num>
  <w:num w:numId="63">
    <w:abstractNumId w:val="61"/>
  </w:num>
  <w:num w:numId="64">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B4A"/>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A6FD2"/>
    <w:rsid w:val="002B24D6"/>
    <w:rsid w:val="002B3D64"/>
    <w:rsid w:val="002C34D0"/>
    <w:rsid w:val="002C41E6"/>
    <w:rsid w:val="002C4465"/>
    <w:rsid w:val="002C4A15"/>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C9F"/>
    <w:rsid w:val="00323D4B"/>
    <w:rsid w:val="0032444F"/>
    <w:rsid w:val="00324D23"/>
    <w:rsid w:val="00325EF2"/>
    <w:rsid w:val="00331751"/>
    <w:rsid w:val="00334579"/>
    <w:rsid w:val="0033495D"/>
    <w:rsid w:val="00335078"/>
    <w:rsid w:val="00335858"/>
    <w:rsid w:val="00336BDA"/>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FBA"/>
    <w:rsid w:val="00370E47"/>
    <w:rsid w:val="003742AC"/>
    <w:rsid w:val="00377CE1"/>
    <w:rsid w:val="003836AD"/>
    <w:rsid w:val="00385119"/>
    <w:rsid w:val="00385BF0"/>
    <w:rsid w:val="0038734A"/>
    <w:rsid w:val="00387CC9"/>
    <w:rsid w:val="00387E53"/>
    <w:rsid w:val="003909AF"/>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2106A"/>
    <w:rsid w:val="00421105"/>
    <w:rsid w:val="00422AA4"/>
    <w:rsid w:val="004242F4"/>
    <w:rsid w:val="00427248"/>
    <w:rsid w:val="00434BCF"/>
    <w:rsid w:val="0043642A"/>
    <w:rsid w:val="00437447"/>
    <w:rsid w:val="00437CD7"/>
    <w:rsid w:val="00441A92"/>
    <w:rsid w:val="004430AE"/>
    <w:rsid w:val="004431DC"/>
    <w:rsid w:val="004437B6"/>
    <w:rsid w:val="00444F56"/>
    <w:rsid w:val="00445ECA"/>
    <w:rsid w:val="00446488"/>
    <w:rsid w:val="004517AA"/>
    <w:rsid w:val="00452CAC"/>
    <w:rsid w:val="00457565"/>
    <w:rsid w:val="00457B71"/>
    <w:rsid w:val="00462526"/>
    <w:rsid w:val="00464689"/>
    <w:rsid w:val="00465877"/>
    <w:rsid w:val="0046600D"/>
    <w:rsid w:val="00466263"/>
    <w:rsid w:val="004669E2"/>
    <w:rsid w:val="00470C31"/>
    <w:rsid w:val="00471DE0"/>
    <w:rsid w:val="004733A5"/>
    <w:rsid w:val="004734D0"/>
    <w:rsid w:val="0047556B"/>
    <w:rsid w:val="00477768"/>
    <w:rsid w:val="00492BC5"/>
    <w:rsid w:val="004962C4"/>
    <w:rsid w:val="004964F1"/>
    <w:rsid w:val="00496D98"/>
    <w:rsid w:val="004A16BC"/>
    <w:rsid w:val="004A2B94"/>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5D68"/>
    <w:rsid w:val="0080605F"/>
    <w:rsid w:val="00807786"/>
    <w:rsid w:val="00811FCB"/>
    <w:rsid w:val="00812298"/>
    <w:rsid w:val="00812D4F"/>
    <w:rsid w:val="008158D6"/>
    <w:rsid w:val="00817196"/>
    <w:rsid w:val="0081758E"/>
    <w:rsid w:val="008235DB"/>
    <w:rsid w:val="00823E0A"/>
    <w:rsid w:val="00824AB4"/>
    <w:rsid w:val="00825C42"/>
    <w:rsid w:val="00825D25"/>
    <w:rsid w:val="00827D6F"/>
    <w:rsid w:val="00834252"/>
    <w:rsid w:val="00836BD4"/>
    <w:rsid w:val="008376AC"/>
    <w:rsid w:val="00837742"/>
    <w:rsid w:val="0084083C"/>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D40"/>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F1A"/>
    <w:rsid w:val="00BE1234"/>
    <w:rsid w:val="00BE1DEA"/>
    <w:rsid w:val="00BE2FA6"/>
    <w:rsid w:val="00BE3211"/>
    <w:rsid w:val="00BE333F"/>
    <w:rsid w:val="00BE33A7"/>
    <w:rsid w:val="00BE7406"/>
    <w:rsid w:val="00BE7603"/>
    <w:rsid w:val="00BE7F2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59AD"/>
    <w:rsid w:val="00CE7561"/>
    <w:rsid w:val="00CF1354"/>
    <w:rsid w:val="00CF3B1F"/>
    <w:rsid w:val="00CF3BF6"/>
    <w:rsid w:val="00CF429F"/>
    <w:rsid w:val="00CF4683"/>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C2D36"/>
    <w:rsid w:val="00DC52E0"/>
    <w:rsid w:val="00DC53EF"/>
    <w:rsid w:val="00DC7BB3"/>
    <w:rsid w:val="00DD1782"/>
    <w:rsid w:val="00DD623D"/>
    <w:rsid w:val="00DE1181"/>
    <w:rsid w:val="00DE1CFF"/>
    <w:rsid w:val="00DE2BE6"/>
    <w:rsid w:val="00DE2FBC"/>
    <w:rsid w:val="00DE3625"/>
    <w:rsid w:val="00DE4133"/>
    <w:rsid w:val="00DE5608"/>
    <w:rsid w:val="00DE58D0"/>
    <w:rsid w:val="00DE654F"/>
    <w:rsid w:val="00DF0428"/>
    <w:rsid w:val="00DF0B6E"/>
    <w:rsid w:val="00DF15E0"/>
    <w:rsid w:val="00DF18A5"/>
    <w:rsid w:val="00DF2235"/>
    <w:rsid w:val="00DF37A0"/>
    <w:rsid w:val="00DF5C43"/>
    <w:rsid w:val="00DF7B5D"/>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26</Pages>
  <Words>12938</Words>
  <Characters>68573</Characters>
  <Application>Microsoft Office Word</Application>
  <DocSecurity>0</DocSecurity>
  <Lines>571</Lines>
  <Paragraphs>162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5</cp:revision>
  <cp:lastPrinted>2008-01-31T07:09:00Z</cp:lastPrinted>
  <dcterms:created xsi:type="dcterms:W3CDTF">2021-05-19T13:39:00Z</dcterms:created>
  <dcterms:modified xsi:type="dcterms:W3CDTF">2021-05-19T19:42:00Z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