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65AF1B95" w:rsidR="00DE37B1" w:rsidRDefault="00DE37B1">
      <w:pPr>
        <w:snapToGrid w:val="0"/>
        <w:spacing w:after="120" w:line="288" w:lineRule="auto"/>
        <w:jc w:val="both"/>
        <w:rPr>
          <w:rFonts w:ascii="Times New Roman" w:hAnsi="Times New Roman" w:cs="Times New Roman"/>
          <w:sz w:val="20"/>
          <w:szCs w:val="20"/>
        </w:rPr>
      </w:pPr>
    </w:p>
    <w:p w14:paraId="7517C4F9" w14:textId="05C4461C" w:rsidR="00F63F71" w:rsidRPr="000C5E05" w:rsidRDefault="00A943E4" w:rsidP="00F63F71">
      <w:pPr>
        <w:pStyle w:val="Heading2"/>
        <w:numPr>
          <w:ilvl w:val="0"/>
          <w:numId w:val="8"/>
        </w:numPr>
        <w:rPr>
          <w:rFonts w:ascii="Times New Roman" w:hAnsi="Times New Roman" w:cs="Times New Roman"/>
        </w:rPr>
      </w:pPr>
      <w:r>
        <w:rPr>
          <w:rFonts w:ascii="Times New Roman" w:hAnsi="Times New Roman" w:cs="Times New Roman"/>
        </w:rPr>
        <w:t>Remaining proposals</w:t>
      </w:r>
    </w:p>
    <w:p w14:paraId="09C21121" w14:textId="2F465CEB" w:rsidR="00F63F71" w:rsidRPr="00A07B75" w:rsidRDefault="00F63F71" w:rsidP="00A07B75">
      <w:pPr>
        <w:snapToGrid w:val="0"/>
        <w:jc w:val="both"/>
        <w:rPr>
          <w:rFonts w:ascii="Times New Roman" w:hAnsi="Times New Roman" w:cs="Times New Roman"/>
          <w:sz w:val="18"/>
          <w:szCs w:val="20"/>
        </w:rPr>
      </w:pPr>
    </w:p>
    <w:p w14:paraId="0EE71176" w14:textId="77777777" w:rsidR="0026707F" w:rsidRDefault="0026707F" w:rsidP="00E77CD9">
      <w:pPr>
        <w:snapToGrid w:val="0"/>
        <w:jc w:val="both"/>
        <w:rPr>
          <w:rFonts w:ascii="Times New Roman" w:eastAsia="Malgun Gothic" w:hAnsi="Times New Roman" w:cs="Times New Roman"/>
          <w:b/>
          <w:bCs/>
          <w:sz w:val="20"/>
          <w:u w:val="single"/>
        </w:rPr>
      </w:pPr>
    </w:p>
    <w:p w14:paraId="21493076" w14:textId="7CA2DC36" w:rsidR="009B1308" w:rsidRPr="00A07B75" w:rsidRDefault="009B1308" w:rsidP="00E77CD9">
      <w:pPr>
        <w:snapToGrid w:val="0"/>
        <w:jc w:val="both"/>
        <w:rPr>
          <w:rFonts w:ascii="Times New Roman" w:eastAsia="Malgun Gothic" w:hAnsi="Times New Roman" w:cs="Times New Roman"/>
          <w:sz w:val="20"/>
        </w:rPr>
      </w:pPr>
      <w:r w:rsidRPr="00A07B75">
        <w:rPr>
          <w:rFonts w:ascii="Times New Roman" w:eastAsia="Malgun Gothic" w:hAnsi="Times New Roman" w:cs="Times New Roman"/>
          <w:b/>
          <w:bCs/>
          <w:sz w:val="20"/>
          <w:u w:val="single"/>
        </w:rPr>
        <w:t>Proposal 1.3</w:t>
      </w:r>
      <w:r w:rsidRPr="00A07B75">
        <w:rPr>
          <w:rFonts w:ascii="Times New Roman" w:eastAsia="Malgun Gothic" w:hAnsi="Times New Roman" w:cs="Times New Roman"/>
          <w:sz w:val="20"/>
        </w:rPr>
        <w:t xml:space="preserve">: </w:t>
      </w:r>
      <w:r w:rsidRPr="00A07B75">
        <w:rPr>
          <w:rFonts w:ascii="Times New Roman" w:eastAsia="Malgun Gothic" w:hAnsi="Times New Roman" w:cs="Times New Roman"/>
          <w:sz w:val="20"/>
          <w:lang w:val="en-GB" w:eastAsia="en-US"/>
        </w:rPr>
        <w:t>On Rel.17 unified TCI framework,</w:t>
      </w:r>
      <w:r w:rsidRPr="00A07B75">
        <w:rPr>
          <w:rFonts w:ascii="Times New Roman" w:eastAsia="Malgun Gothic" w:hAnsi="Times New Roman" w:cs="Times New Roman"/>
          <w:sz w:val="20"/>
          <w:lang w:val="en-GB" w:eastAsia="ja-JP"/>
        </w:rPr>
        <w:t xml:space="preserve"> </w:t>
      </w:r>
      <w:r w:rsidRPr="00A07B75">
        <w:rPr>
          <w:rFonts w:ascii="Times New Roman" w:eastAsia="Malgun Gothic" w:hAnsi="Times New Roman" w:cs="Times New Roman"/>
          <w:sz w:val="20"/>
          <w:lang w:eastAsia="ja-JP"/>
        </w:rPr>
        <w:t>for common TCI state ID update and activation to provide common QCL information at least for UE-dedicated PDCCH/PDSCH and/or common UL TX spatial filter(s) at least for UE-dedicated PUSCH/PUCCH across a set of configured CCs/BWPs</w:t>
      </w:r>
    </w:p>
    <w:p w14:paraId="0FD4DD83" w14:textId="77777777" w:rsidR="009B1308" w:rsidRPr="00A07B75" w:rsidRDefault="009B1308" w:rsidP="00E77CD9">
      <w:pPr>
        <w:numPr>
          <w:ilvl w:val="0"/>
          <w:numId w:val="39"/>
        </w:numPr>
        <w:snapToGrid w:val="0"/>
        <w:jc w:val="both"/>
        <w:rPr>
          <w:rFonts w:ascii="Times New Roman" w:eastAsia="Times New Roman" w:hAnsi="Times New Roman" w:cs="Times New Roman"/>
          <w:sz w:val="20"/>
          <w:shd w:val="clear" w:color="auto" w:fill="FFFFFF"/>
        </w:rPr>
      </w:pPr>
      <w:r w:rsidRPr="00A07B75">
        <w:rPr>
          <w:rFonts w:ascii="Times New Roman" w:eastAsia="Times New Roman" w:hAnsi="Times New Roman" w:cs="Times New Roman"/>
          <w:sz w:val="20"/>
          <w:shd w:val="clear" w:color="auto" w:fill="FFFFFF"/>
        </w:rPr>
        <w:t>The source RS determined from the indicated common TCI state ID to provide QCL Type-D indication and to determine UL TX spatial filter for a target CC can be configured in the target CC or other CC</w:t>
      </w:r>
    </w:p>
    <w:p w14:paraId="7442985E" w14:textId="77777777" w:rsidR="009B1308" w:rsidRPr="00A07B75" w:rsidRDefault="009B1308" w:rsidP="00E77CD9">
      <w:pPr>
        <w:numPr>
          <w:ilvl w:val="0"/>
          <w:numId w:val="39"/>
        </w:numPr>
        <w:snapToGrid w:val="0"/>
        <w:jc w:val="both"/>
        <w:rPr>
          <w:rFonts w:ascii="Times New Roman" w:eastAsia="Times New Roman" w:hAnsi="Times New Roman" w:cs="Times New Roman"/>
          <w:sz w:val="20"/>
        </w:rPr>
      </w:pPr>
      <w:r w:rsidRPr="00A07B75">
        <w:rPr>
          <w:rFonts w:ascii="Times New Roman" w:eastAsia="Times New Roman" w:hAnsi="Times New Roman" w:cs="Times New Roman"/>
          <w:sz w:val="20"/>
          <w:shd w:val="clear" w:color="auto" w:fill="FFFFFF"/>
        </w:rPr>
        <w:t xml:space="preserve">Note: For intra-band CA, the following configurations can be supported without additional QCL rules: </w:t>
      </w:r>
    </w:p>
    <w:p w14:paraId="39DC4DAD" w14:textId="77777777" w:rsidR="009B1308" w:rsidRPr="00A07B75" w:rsidRDefault="009B1308" w:rsidP="00E77CD9">
      <w:pPr>
        <w:numPr>
          <w:ilvl w:val="1"/>
          <w:numId w:val="42"/>
        </w:numPr>
        <w:shd w:val="clear" w:color="auto" w:fill="FFFFFF"/>
        <w:snapToGrid w:val="0"/>
        <w:jc w:val="both"/>
        <w:rPr>
          <w:rFonts w:ascii="Times New Roman" w:hAnsi="Times New Roman" w:cs="Times New Roman"/>
          <w:sz w:val="20"/>
        </w:rPr>
      </w:pPr>
      <w:r w:rsidRPr="00A07B75">
        <w:rPr>
          <w:rFonts w:ascii="Times New Roman" w:hAnsi="Times New Roman" w:cs="Times New Roman"/>
          <w:sz w:val="20"/>
          <w:bdr w:val="none" w:sz="0" w:space="0" w:color="auto" w:frame="1"/>
        </w:rPr>
        <w:t>One source RS across CCs can be </w:t>
      </w:r>
      <w:r w:rsidRPr="00A07B75">
        <w:rPr>
          <w:rFonts w:ascii="Times New Roman" w:hAnsi="Times New Roman" w:cs="Times New Roman"/>
          <w:sz w:val="20"/>
          <w:bdr w:val="none" w:sz="0" w:space="0" w:color="auto" w:frame="1"/>
          <w:shd w:val="clear" w:color="auto" w:fill="FFFFFF"/>
        </w:rPr>
        <w:t>determined from the indicated common TCI state ID to provide QCL Type-D indication and to determine UL TX spatial filter for the set of configured CCs</w:t>
      </w:r>
      <w:r w:rsidRPr="00A07B75">
        <w:rPr>
          <w:rFonts w:ascii="Times New Roman" w:hAnsi="Times New Roman" w:cs="Times New Roman"/>
          <w:sz w:val="20"/>
        </w:rPr>
        <w:t> </w:t>
      </w:r>
    </w:p>
    <w:p w14:paraId="539CC5AE" w14:textId="77777777" w:rsidR="009B1308" w:rsidRPr="00A07B75" w:rsidRDefault="009B1308" w:rsidP="00E77CD9">
      <w:pPr>
        <w:numPr>
          <w:ilvl w:val="1"/>
          <w:numId w:val="39"/>
        </w:numPr>
        <w:snapToGrid w:val="0"/>
        <w:jc w:val="both"/>
        <w:rPr>
          <w:rFonts w:ascii="Times New Roman" w:eastAsia="Times New Roman" w:hAnsi="Times New Roman" w:cs="Times New Roman"/>
          <w:sz w:val="20"/>
        </w:rPr>
      </w:pPr>
      <w:r w:rsidRPr="00A07B75">
        <w:rPr>
          <w:rFonts w:ascii="Times New Roman" w:hAnsi="Times New Roman" w:cs="Times New Roman"/>
          <w:sz w:val="20"/>
          <w:bdr w:val="none" w:sz="0" w:space="0" w:color="auto" w:frame="1"/>
          <w:shd w:val="clear" w:color="auto" w:fill="FFFFFF"/>
        </w:rPr>
        <w:t>One source RS per CC can be determined from the indicated common TCI state ID to provide QCL Type-D indication and to determine UL TX spatial filter for the set of configured CCs, and the CC-specific source RSs are further associated with a same QCL-TypeD RS</w:t>
      </w:r>
      <w:r w:rsidRPr="00A07B75">
        <w:rPr>
          <w:rFonts w:ascii="Times New Roman" w:hAnsi="Times New Roman" w:cs="Times New Roman"/>
          <w:sz w:val="20"/>
          <w:bdr w:val="none" w:sz="0" w:space="0" w:color="auto" w:frame="1"/>
        </w:rPr>
        <w:t> </w:t>
      </w:r>
    </w:p>
    <w:p w14:paraId="40588A43" w14:textId="77777777" w:rsidR="009B1308" w:rsidRPr="00A07B75" w:rsidRDefault="009B1308" w:rsidP="00E77CD9">
      <w:pPr>
        <w:numPr>
          <w:ilvl w:val="0"/>
          <w:numId w:val="40"/>
        </w:numPr>
        <w:snapToGrid w:val="0"/>
        <w:jc w:val="both"/>
        <w:rPr>
          <w:rFonts w:ascii="Times New Roman" w:eastAsia="Malgun Gothic" w:hAnsi="Times New Roman" w:cs="Times New Roman"/>
          <w:strike/>
          <w:sz w:val="20"/>
          <w:lang w:eastAsia="ja-JP"/>
        </w:rPr>
      </w:pPr>
      <w:r w:rsidRPr="00A07B75">
        <w:rPr>
          <w:rFonts w:ascii="Times New Roman" w:eastAsia="Malgun Gothic" w:hAnsi="Times New Roman" w:cs="Times New Roman"/>
          <w:sz w:val="20"/>
          <w:lang w:eastAsia="ja-JP"/>
        </w:rPr>
        <w:t xml:space="preserve">“A set of configured CCs/BWPs” includes all the BWPs in the set of configured CCs </w:t>
      </w:r>
    </w:p>
    <w:p w14:paraId="1FBD1551" w14:textId="77777777" w:rsidR="009B1308" w:rsidRPr="00A07B75" w:rsidRDefault="009B1308" w:rsidP="00E77CD9">
      <w:pPr>
        <w:snapToGrid w:val="0"/>
        <w:jc w:val="both"/>
        <w:rPr>
          <w:rFonts w:ascii="Times New Roman" w:eastAsia="Malgun Gothic" w:hAnsi="Times New Roman" w:cs="Times New Roman"/>
          <w:b/>
          <w:bCs/>
          <w:sz w:val="20"/>
          <w:u w:val="single"/>
        </w:rPr>
      </w:pPr>
    </w:p>
    <w:p w14:paraId="33E78A43" w14:textId="77777777" w:rsidR="009B1308" w:rsidRPr="00A07B75" w:rsidRDefault="009B1308" w:rsidP="00E77CD9">
      <w:pPr>
        <w:snapToGrid w:val="0"/>
        <w:jc w:val="both"/>
        <w:rPr>
          <w:rFonts w:ascii="Times New Roman" w:eastAsia="Malgun Gothic" w:hAnsi="Times New Roman" w:cs="Times New Roman"/>
          <w:b/>
          <w:bCs/>
          <w:sz w:val="20"/>
          <w:u w:val="single"/>
        </w:rPr>
      </w:pPr>
    </w:p>
    <w:p w14:paraId="54AFEAE7" w14:textId="77777777" w:rsidR="009B1308" w:rsidRPr="00A07B75" w:rsidRDefault="009B1308" w:rsidP="00E77CD9">
      <w:pPr>
        <w:snapToGrid w:val="0"/>
        <w:jc w:val="both"/>
        <w:rPr>
          <w:rFonts w:ascii="Times New Roman" w:eastAsia="Malgun Gothic" w:hAnsi="Times New Roman" w:cs="Times New Roman"/>
          <w:sz w:val="20"/>
        </w:rPr>
      </w:pPr>
      <w:r w:rsidRPr="00A07B75">
        <w:rPr>
          <w:rFonts w:ascii="Times New Roman" w:eastAsia="Malgun Gothic" w:hAnsi="Times New Roman" w:cs="Times New Roman"/>
          <w:b/>
          <w:bCs/>
          <w:sz w:val="20"/>
          <w:u w:val="single"/>
        </w:rPr>
        <w:t>Proposal 1.4</w:t>
      </w:r>
      <w:r w:rsidRPr="00A07B75">
        <w:rPr>
          <w:rFonts w:ascii="Times New Roman" w:eastAsia="Malgun Gothic" w:hAnsi="Times New Roman" w:cs="Times New Roman"/>
          <w:sz w:val="20"/>
        </w:rPr>
        <w:t xml:space="preserve">: For common TCI state ID update and activation to provide common QCL information </w:t>
      </w:r>
      <w:r w:rsidRPr="00A07B75">
        <w:rPr>
          <w:rFonts w:ascii="Times New Roman" w:eastAsia="Malgun Gothic" w:hAnsi="Times New Roman" w:cs="Times New Roman"/>
          <w:sz w:val="20"/>
          <w:lang w:eastAsia="ja-JP"/>
        </w:rPr>
        <w:t xml:space="preserve">at least for UE-dedicated PDCCH/PDSCH </w:t>
      </w:r>
      <w:r w:rsidRPr="00A07B75">
        <w:rPr>
          <w:rFonts w:ascii="Times New Roman" w:eastAsia="Malgun Gothic" w:hAnsi="Times New Roman" w:cs="Times New Roman"/>
          <w:sz w:val="20"/>
        </w:rPr>
        <w:t xml:space="preserve">and/or common UL TX spatial filter(s) </w:t>
      </w:r>
      <w:r w:rsidRPr="00A07B75">
        <w:rPr>
          <w:rFonts w:ascii="Times New Roman" w:eastAsia="Malgun Gothic" w:hAnsi="Times New Roman" w:cs="Times New Roman"/>
          <w:sz w:val="20"/>
          <w:lang w:eastAsia="ja-JP"/>
        </w:rPr>
        <w:t xml:space="preserve">at least for UE-dedicated PUSCH/PUCCH </w:t>
      </w:r>
      <w:r w:rsidRPr="00A07B75">
        <w:rPr>
          <w:rFonts w:ascii="Times New Roman" w:eastAsia="Malgun Gothic" w:hAnsi="Times New Roman" w:cs="Times New Roman"/>
          <w:sz w:val="20"/>
        </w:rPr>
        <w:t xml:space="preserve">across a set of configured CCs/BWPs: </w:t>
      </w:r>
    </w:p>
    <w:p w14:paraId="7BD39374" w14:textId="77777777" w:rsidR="009B1308" w:rsidRPr="00A07B75" w:rsidRDefault="009B1308" w:rsidP="00E77CD9">
      <w:pPr>
        <w:numPr>
          <w:ilvl w:val="0"/>
          <w:numId w:val="41"/>
        </w:numPr>
        <w:snapToGrid w:val="0"/>
        <w:jc w:val="both"/>
        <w:rPr>
          <w:rFonts w:ascii="Times New Roman" w:eastAsia="Malgun Gothic" w:hAnsi="Times New Roman" w:cs="Times New Roman"/>
          <w:sz w:val="20"/>
        </w:rPr>
      </w:pPr>
      <w:r w:rsidRPr="00A07B75">
        <w:rPr>
          <w:rFonts w:ascii="Times New Roman" w:eastAsia="Malgun Gothic" w:hAnsi="Times New Roman" w:cs="Times New Roman"/>
          <w:sz w:val="20"/>
        </w:rPr>
        <w:lastRenderedPageBreak/>
        <w:t>RRC-configured TCI state pool(s) can be configured in the PDSCH configuration (</w:t>
      </w:r>
      <w:r w:rsidRPr="00A07B75">
        <w:rPr>
          <w:rFonts w:ascii="Times New Roman" w:eastAsia="Malgun Gothic" w:hAnsi="Times New Roman" w:cs="Times New Roman"/>
          <w:i/>
          <w:iCs/>
          <w:sz w:val="20"/>
        </w:rPr>
        <w:t>PDSCH-Config</w:t>
      </w:r>
      <w:r w:rsidRPr="00A07B75">
        <w:rPr>
          <w:rFonts w:ascii="Times New Roman" w:eastAsia="Malgun Gothic" w:hAnsi="Times New Roman" w:cs="Times New Roman"/>
          <w:sz w:val="20"/>
        </w:rPr>
        <w:t>) for each BWP /CC as in Rel-15/16</w:t>
      </w:r>
    </w:p>
    <w:p w14:paraId="7ECCCCC9" w14:textId="77777777" w:rsidR="009B1308" w:rsidRPr="00A07B75" w:rsidRDefault="009B1308" w:rsidP="00E77CD9">
      <w:pPr>
        <w:numPr>
          <w:ilvl w:val="1"/>
          <w:numId w:val="41"/>
        </w:numPr>
        <w:snapToGrid w:val="0"/>
        <w:jc w:val="both"/>
        <w:rPr>
          <w:rFonts w:ascii="Times New Roman" w:eastAsia="Malgun Gothic" w:hAnsi="Times New Roman" w:cs="Times New Roman"/>
          <w:sz w:val="20"/>
        </w:rPr>
      </w:pPr>
      <w:r w:rsidRPr="00A07B75">
        <w:rPr>
          <w:rFonts w:ascii="Times New Roman" w:hAnsi="Times New Roman" w:cs="Times New Roman"/>
          <w:sz w:val="20"/>
          <w:lang w:eastAsia="zh-CN"/>
        </w:rPr>
        <w:t xml:space="preserve">Note: Such </w:t>
      </w:r>
      <w:r w:rsidRPr="00A07B75">
        <w:rPr>
          <w:rFonts w:ascii="Times New Roman" w:eastAsia="Malgun Gothic" w:hAnsi="Times New Roman" w:cs="Times New Roman"/>
          <w:sz w:val="20"/>
        </w:rPr>
        <w:t>RRC-configured</w:t>
      </w:r>
      <w:r w:rsidRPr="00A07B75">
        <w:rPr>
          <w:rFonts w:ascii="Times New Roman" w:hAnsi="Times New Roman" w:cs="Times New Roman"/>
          <w:sz w:val="20"/>
          <w:lang w:eastAsia="zh-CN"/>
        </w:rPr>
        <w:t xml:space="preserve"> TCI state pool(s) configuration doesn’t imply that separate DL/UL TCI state pool is excluded or supported</w:t>
      </w:r>
    </w:p>
    <w:p w14:paraId="11D940C5" w14:textId="77777777" w:rsidR="009B1308" w:rsidRPr="00A07B75" w:rsidRDefault="009B1308" w:rsidP="00E77CD9">
      <w:pPr>
        <w:numPr>
          <w:ilvl w:val="0"/>
          <w:numId w:val="41"/>
        </w:numPr>
        <w:snapToGrid w:val="0"/>
        <w:jc w:val="both"/>
        <w:rPr>
          <w:rFonts w:ascii="Times New Roman" w:eastAsia="Malgun Gothic" w:hAnsi="Times New Roman" w:cs="Times New Roman"/>
          <w:sz w:val="20"/>
        </w:rPr>
      </w:pPr>
      <w:r w:rsidRPr="00A07B75">
        <w:rPr>
          <w:rFonts w:ascii="Times New Roman" w:eastAsia="Malgun Gothic" w:hAnsi="Times New Roman" w:cs="Times New Roman"/>
          <w:sz w:val="20"/>
        </w:rPr>
        <w:t>RRC-configured TCI state pool(s) can be absent in the PDSCH configuration (</w:t>
      </w:r>
      <w:r w:rsidRPr="00A07B75">
        <w:rPr>
          <w:rFonts w:ascii="Times New Roman" w:eastAsia="Malgun Gothic" w:hAnsi="Times New Roman" w:cs="Times New Roman"/>
          <w:i/>
          <w:iCs/>
          <w:sz w:val="20"/>
        </w:rPr>
        <w:t>PDSCH-Config</w:t>
      </w:r>
      <w:r w:rsidRPr="00A07B75">
        <w:rPr>
          <w:rFonts w:ascii="Times New Roman" w:eastAsia="Malgun Gothic" w:hAnsi="Times New Roman" w:cs="Times New Roman"/>
          <w:sz w:val="20"/>
        </w:rPr>
        <w:t>) for each BWP/CC, and replaced with a reference to an RRC-configured TCI state pool(s) in a reference BWP/CC</w:t>
      </w:r>
    </w:p>
    <w:p w14:paraId="569681E2" w14:textId="77777777" w:rsidR="009B1308" w:rsidRPr="00A07B75" w:rsidRDefault="009B1308" w:rsidP="00E77CD9">
      <w:pPr>
        <w:numPr>
          <w:ilvl w:val="1"/>
          <w:numId w:val="41"/>
        </w:numPr>
        <w:snapToGrid w:val="0"/>
        <w:jc w:val="both"/>
        <w:rPr>
          <w:rFonts w:ascii="Times New Roman" w:eastAsia="Malgun Gothic" w:hAnsi="Times New Roman" w:cs="Times New Roman"/>
          <w:sz w:val="20"/>
        </w:rPr>
      </w:pPr>
      <w:r w:rsidRPr="00A07B75">
        <w:rPr>
          <w:rFonts w:ascii="Times New Roman" w:eastAsia="Malgun Gothic" w:hAnsi="Times New Roman" w:cs="Times New Roman"/>
          <w:sz w:val="20"/>
        </w:rPr>
        <w:t>In the PDSCH configuration (</w:t>
      </w:r>
      <w:r w:rsidRPr="00A07B75">
        <w:rPr>
          <w:rFonts w:ascii="Times New Roman" w:eastAsia="Malgun Gothic" w:hAnsi="Times New Roman" w:cs="Times New Roman"/>
          <w:i/>
          <w:iCs/>
          <w:sz w:val="20"/>
        </w:rPr>
        <w:t>PDSCH-Config</w:t>
      </w:r>
      <w:r w:rsidRPr="00A07B75">
        <w:rPr>
          <w:rFonts w:ascii="Times New Roman" w:eastAsia="Malgun Gothic" w:hAnsi="Times New Roman" w:cs="Times New Roman"/>
          <w:sz w:val="20"/>
        </w:rPr>
        <w:t>) of the reference BWP/CC, RRC-configured TCI state pool(s) shall be configured</w:t>
      </w:r>
    </w:p>
    <w:p w14:paraId="67019D68" w14:textId="77777777" w:rsidR="009B1308" w:rsidRPr="00A07B75" w:rsidRDefault="009B1308" w:rsidP="00E77CD9">
      <w:pPr>
        <w:numPr>
          <w:ilvl w:val="1"/>
          <w:numId w:val="41"/>
        </w:numPr>
        <w:tabs>
          <w:tab w:val="num" w:pos="1440"/>
        </w:tabs>
        <w:snapToGrid w:val="0"/>
        <w:jc w:val="both"/>
        <w:rPr>
          <w:rFonts w:ascii="Times New Roman" w:eastAsia="Malgun Gothic" w:hAnsi="Times New Roman" w:cs="Times New Roman"/>
          <w:sz w:val="20"/>
        </w:rPr>
      </w:pPr>
      <w:r w:rsidRPr="00A07B75">
        <w:rPr>
          <w:rFonts w:ascii="Times New Roman" w:eastAsia="Malgun Gothic" w:hAnsi="Times New Roman" w:cs="Times New Roman"/>
          <w:sz w:val="20"/>
        </w:rPr>
        <w:t>For a BWP/CC where the PDSCH configuration contains a reference to the RRC-configured TCI state pool(s) in a reference BWP/CC, the UE applies the RRC-configured TCI state pool(s) in the reference BWP/CC</w:t>
      </w:r>
    </w:p>
    <w:p w14:paraId="4400849C" w14:textId="77777777" w:rsidR="009B1308" w:rsidRPr="00A07B75" w:rsidRDefault="009B1308" w:rsidP="00E77CD9">
      <w:pPr>
        <w:numPr>
          <w:ilvl w:val="0"/>
          <w:numId w:val="41"/>
        </w:numPr>
        <w:snapToGrid w:val="0"/>
        <w:jc w:val="both"/>
        <w:rPr>
          <w:rFonts w:ascii="Times New Roman" w:eastAsia="Malgun Gothic" w:hAnsi="Times New Roman" w:cs="Times New Roman"/>
          <w:sz w:val="20"/>
        </w:rPr>
      </w:pPr>
      <w:r w:rsidRPr="00A07B75">
        <w:rPr>
          <w:rFonts w:ascii="Times New Roman" w:hAnsi="Times New Roman" w:cs="Times New Roman"/>
          <w:sz w:val="20"/>
        </w:rPr>
        <w:t>When the BWP/CC ID (</w:t>
      </w:r>
      <w:r w:rsidRPr="00A07B75">
        <w:rPr>
          <w:rFonts w:ascii="Times New Roman" w:hAnsi="Times New Roman" w:cs="Times New Roman"/>
          <w:i/>
          <w:iCs/>
          <w:sz w:val="20"/>
        </w:rPr>
        <w:t>cell</w:t>
      </w:r>
      <w:r w:rsidRPr="00A07B75">
        <w:rPr>
          <w:rFonts w:ascii="Times New Roman" w:hAnsi="Times New Roman" w:cs="Times New Roman"/>
          <w:sz w:val="20"/>
        </w:rPr>
        <w:t>) for QCL-Type A/D source RS in a </w:t>
      </w:r>
      <w:r w:rsidRPr="00A07B75">
        <w:rPr>
          <w:rFonts w:ascii="Times New Roman" w:hAnsi="Times New Roman" w:cs="Times New Roman"/>
          <w:i/>
          <w:iCs/>
          <w:sz w:val="20"/>
        </w:rPr>
        <w:t>QCL-Info</w:t>
      </w:r>
      <w:r w:rsidRPr="00A07B75">
        <w:rPr>
          <w:rFonts w:ascii="Times New Roman" w:hAnsi="Times New Roman" w:cs="Times New Roman"/>
          <w:sz w:val="20"/>
        </w:rPr>
        <w:t> of the TCI state is absent, the UE assumes that QCL-Type A/D source RS is in the BWP/CC to which the TCI state applies</w:t>
      </w:r>
    </w:p>
    <w:p w14:paraId="62EC28BD" w14:textId="7D75F85A" w:rsidR="009B1308" w:rsidRPr="00A07B75" w:rsidRDefault="009B1308" w:rsidP="00E77CD9">
      <w:pPr>
        <w:numPr>
          <w:ilvl w:val="0"/>
          <w:numId w:val="41"/>
        </w:numPr>
        <w:snapToGrid w:val="0"/>
        <w:jc w:val="both"/>
        <w:rPr>
          <w:rFonts w:ascii="Times New Roman" w:eastAsia="Malgun Gothic" w:hAnsi="Times New Roman" w:cs="Times New Roman"/>
          <w:sz w:val="20"/>
        </w:rPr>
      </w:pPr>
      <w:r w:rsidRPr="00A07B75">
        <w:rPr>
          <w:rFonts w:ascii="Times New Roman" w:eastAsia="Malgun Gothic" w:hAnsi="Times New Roman" w:cs="Times New Roman"/>
          <w:sz w:val="20"/>
        </w:rPr>
        <w:t>Working ass</w:t>
      </w:r>
      <w:r w:rsidRPr="00A07B75">
        <w:rPr>
          <w:rFonts w:ascii="Times New Roman" w:eastAsia="Malgun Gothic" w:hAnsi="Times New Roman" w:cs="Times New Roman"/>
          <w:sz w:val="20"/>
        </w:rPr>
        <w:t>umption:</w:t>
      </w:r>
      <w:r w:rsidRPr="00A07B75">
        <w:rPr>
          <w:rFonts w:ascii="Times New Roman" w:eastAsia="Malgun Gothic" w:hAnsi="Times New Roman" w:cs="Times New Roman"/>
          <w:sz w:val="20"/>
        </w:rPr>
        <w:t xml:space="preserve"> Introduce a UE capability to report maximum number of TCI state pools it can support across BWPs and CCs in a band, and the candidate value at least includes 1</w:t>
      </w:r>
    </w:p>
    <w:p w14:paraId="18E3D339" w14:textId="77777777" w:rsidR="009B1308" w:rsidRPr="00A07B75" w:rsidRDefault="009B1308" w:rsidP="00E77CD9">
      <w:pPr>
        <w:numPr>
          <w:ilvl w:val="0"/>
          <w:numId w:val="41"/>
        </w:numPr>
        <w:snapToGrid w:val="0"/>
        <w:jc w:val="both"/>
        <w:rPr>
          <w:rFonts w:ascii="Times New Roman" w:eastAsia="Malgun Gothic" w:hAnsi="Times New Roman" w:cs="Times New Roman"/>
          <w:sz w:val="20"/>
        </w:rPr>
      </w:pPr>
      <w:r w:rsidRPr="00A07B75">
        <w:rPr>
          <w:rFonts w:ascii="Times New Roman" w:eastAsia="Malgun Gothic" w:hAnsi="Times New Roman" w:cs="Times New Roman"/>
          <w:sz w:val="20"/>
        </w:rPr>
        <w:t>FFS: Introduce a UE capability to report maximum number of configured TCI states that it can support across BWPs and CCs in a band</w:t>
      </w:r>
    </w:p>
    <w:p w14:paraId="3967818F" w14:textId="3D922CA1" w:rsidR="00A943E4" w:rsidRDefault="00A943E4" w:rsidP="00E77CD9">
      <w:pPr>
        <w:snapToGrid w:val="0"/>
        <w:jc w:val="both"/>
        <w:rPr>
          <w:rFonts w:ascii="Times New Roman" w:hAnsi="Times New Roman" w:cs="Times New Roman"/>
          <w:sz w:val="18"/>
          <w:szCs w:val="20"/>
        </w:rPr>
      </w:pPr>
    </w:p>
    <w:p w14:paraId="2BC6F9B3" w14:textId="77777777" w:rsidR="00A07B75" w:rsidRPr="00A07B75" w:rsidRDefault="00A07B75" w:rsidP="00E77CD9">
      <w:pPr>
        <w:snapToGrid w:val="0"/>
        <w:jc w:val="both"/>
        <w:rPr>
          <w:rFonts w:ascii="Times New Roman" w:hAnsi="Times New Roman" w:cs="Times New Roman"/>
          <w:sz w:val="18"/>
          <w:szCs w:val="20"/>
        </w:rPr>
      </w:pPr>
    </w:p>
    <w:p w14:paraId="16488509" w14:textId="77777777" w:rsidR="00A07B75" w:rsidRPr="00A07B75" w:rsidRDefault="00A07B75" w:rsidP="00E77CD9">
      <w:pPr>
        <w:snapToGrid w:val="0"/>
        <w:jc w:val="both"/>
        <w:rPr>
          <w:rFonts w:ascii="Times New Roman" w:eastAsia="Malgun Gothic" w:hAnsi="Times New Roman" w:cs="Times New Roman"/>
          <w:sz w:val="20"/>
        </w:rPr>
      </w:pPr>
      <w:r w:rsidRPr="00A07B75">
        <w:rPr>
          <w:rFonts w:ascii="Times New Roman" w:eastAsia="Malgun Gothic" w:hAnsi="Times New Roman" w:cs="Times New Roman"/>
          <w:b/>
          <w:bCs/>
          <w:sz w:val="20"/>
          <w:u w:val="single"/>
        </w:rPr>
        <w:t>Proposal 2.1</w:t>
      </w:r>
      <w:r w:rsidRPr="00A07B75">
        <w:rPr>
          <w:rFonts w:ascii="Times New Roman" w:eastAsia="Malgun Gothic" w:hAnsi="Times New Roman" w:cs="Times New Roman"/>
          <w:sz w:val="20"/>
        </w:rPr>
        <w:t xml:space="preserve">: On Rel.17 beam indication enhancements </w:t>
      </w:r>
      <w:r w:rsidRPr="00A07B75">
        <w:rPr>
          <w:rFonts w:ascii="Times New Roman" w:eastAsia="Malgun Gothic" w:hAnsi="Times New Roman" w:cs="Times New Roman"/>
          <w:color w:val="000000"/>
          <w:sz w:val="20"/>
        </w:rPr>
        <w:t>for L1/L2-centric inter-cell mobility</w:t>
      </w:r>
      <w:r w:rsidRPr="00A07B75">
        <w:rPr>
          <w:rFonts w:ascii="Times New Roman" w:eastAsia="Malgun Gothic" w:hAnsi="Times New Roman" w:cs="Times New Roman"/>
          <w:sz w:val="20"/>
        </w:rPr>
        <w:t>, support the following:</w:t>
      </w:r>
    </w:p>
    <w:p w14:paraId="77246037" w14:textId="77777777" w:rsidR="00A07B75" w:rsidRPr="00A07B75" w:rsidRDefault="00A07B75" w:rsidP="00E77CD9">
      <w:pPr>
        <w:numPr>
          <w:ilvl w:val="0"/>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 xml:space="preserve">Rel-17 MAC-CE-based and DCI-based beam indication (at least using DCI formats 1_1/1_2 with and without DL assignment including the associated MAC-CE-based TCI state activation) </w:t>
      </w:r>
    </w:p>
    <w:p w14:paraId="498C15CA" w14:textId="77777777" w:rsidR="00A07B75" w:rsidRPr="00A07B75" w:rsidRDefault="00A07B75" w:rsidP="00E77CD9">
      <w:pPr>
        <w:numPr>
          <w:ilvl w:val="1"/>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 xml:space="preserve">FFS (to be decided in RAN1#106-e): Whether this also applies to </w:t>
      </w:r>
      <w:r w:rsidRPr="00A07B75">
        <w:rPr>
          <w:rFonts w:ascii="Times New Roman" w:eastAsia="Times New Roman" w:hAnsi="Times New Roman" w:cs="Times New Roman"/>
          <w:sz w:val="20"/>
          <w:lang w:eastAsia="en-US"/>
        </w:rPr>
        <w:t xml:space="preserve">PDSCH/PUSCH associated with UE-dedicated CORESETs only or additional target channels (e.g. UE-dedicated PDCCH/PUCCH) </w:t>
      </w:r>
    </w:p>
    <w:p w14:paraId="1E2CD14F" w14:textId="77777777" w:rsidR="00A07B75" w:rsidRPr="00A07B75" w:rsidRDefault="00A07B75" w:rsidP="00E77CD9">
      <w:pPr>
        <w:numPr>
          <w:ilvl w:val="1"/>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 xml:space="preserve">FFS: Whether the above is supported only for joint TCI, or both joint TCI and separate DL/UL TCI (including that, if separate DL/UL TCI is supported, the DL TCI and UL TCI associated with a same cell) </w:t>
      </w:r>
    </w:p>
    <w:p w14:paraId="38667EE5" w14:textId="77777777" w:rsidR="00A07B75" w:rsidRPr="00A07B75" w:rsidRDefault="00A07B75" w:rsidP="00E77CD9">
      <w:pPr>
        <w:numPr>
          <w:ilvl w:val="1"/>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FFS: Whether to support activation of TCI states for more than one cells simultaneously</w:t>
      </w:r>
    </w:p>
    <w:p w14:paraId="4F1EDDB3" w14:textId="77777777" w:rsidR="00A07B75" w:rsidRPr="00A07B75" w:rsidRDefault="00A07B75" w:rsidP="00E77CD9">
      <w:pPr>
        <w:numPr>
          <w:ilvl w:val="0"/>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 xml:space="preserve">The DL QCL and UL spatial relation rules already agreed for intra-cell scenario </w:t>
      </w:r>
    </w:p>
    <w:p w14:paraId="6E2BF2F1" w14:textId="77777777" w:rsidR="00A07B75" w:rsidRPr="00A07B75" w:rsidRDefault="00A07B75" w:rsidP="00E77CD9">
      <w:pPr>
        <w:numPr>
          <w:ilvl w:val="0"/>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 xml:space="preserve">The use of SSB associated with a physical cell ID different from that of the serving cell as an indirect QCL reference for UE-dedicated PDSCH </w:t>
      </w:r>
    </w:p>
    <w:p w14:paraId="2713FC5E" w14:textId="77777777" w:rsidR="00A07B75" w:rsidRPr="00A07B75" w:rsidRDefault="00A07B75" w:rsidP="00E77CD9">
      <w:pPr>
        <w:numPr>
          <w:ilvl w:val="1"/>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 xml:space="preserve">FFS (to be decided in RAN1#106-e): Whether this also applies to UE-dedicated PDCCH </w:t>
      </w:r>
    </w:p>
    <w:p w14:paraId="44C55C85" w14:textId="77777777" w:rsidR="00A07B75" w:rsidRPr="00A07B75" w:rsidRDefault="00A07B75" w:rsidP="00E77CD9">
      <w:pPr>
        <w:numPr>
          <w:ilvl w:val="1"/>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Note: When RS X is an indirect QCL reference of a target channel, there exists at least one other source signal on the QCL chain between RS X and the target channel</w:t>
      </w:r>
    </w:p>
    <w:p w14:paraId="627B20E6" w14:textId="77777777" w:rsidR="00A07B75" w:rsidRPr="00A07B75" w:rsidRDefault="00A07B75" w:rsidP="00E77CD9">
      <w:pPr>
        <w:numPr>
          <w:ilvl w:val="1"/>
          <w:numId w:val="43"/>
        </w:numPr>
        <w:snapToGrid w:val="0"/>
        <w:jc w:val="both"/>
        <w:rPr>
          <w:rFonts w:ascii="Times New Roman" w:eastAsia="SimSun" w:hAnsi="Times New Roman" w:cs="Times New Roman"/>
          <w:sz w:val="20"/>
          <w:lang w:eastAsia="en-US"/>
        </w:rPr>
      </w:pPr>
      <w:r w:rsidRPr="00A07B75">
        <w:rPr>
          <w:rFonts w:ascii="Times New Roman" w:eastAsia="SimSun" w:hAnsi="Times New Roman" w:cs="Times New Roman"/>
          <w:sz w:val="20"/>
          <w:lang w:eastAsia="en-US"/>
        </w:rPr>
        <w:t>FFS (to be decided in RAN1#106-e): Whether SSB associated with a physical cell ID different from that of the serving cell can also be used as a direct QCL reference (source RS) for UE-dedicated PDCCH/PDSCH</w:t>
      </w:r>
    </w:p>
    <w:p w14:paraId="2B064B6C" w14:textId="532DC050" w:rsidR="00A943E4" w:rsidRDefault="00A943E4" w:rsidP="00E77CD9">
      <w:pPr>
        <w:snapToGrid w:val="0"/>
        <w:jc w:val="both"/>
        <w:rPr>
          <w:rFonts w:ascii="Times New Roman" w:hAnsi="Times New Roman" w:cs="Times New Roman"/>
          <w:sz w:val="20"/>
          <w:szCs w:val="20"/>
        </w:rPr>
      </w:pPr>
    </w:p>
    <w:p w14:paraId="1D3794BB" w14:textId="77777777" w:rsidR="00E77CD9" w:rsidRDefault="00E77CD9" w:rsidP="00E77CD9">
      <w:pPr>
        <w:snapToGrid w:val="0"/>
        <w:jc w:val="both"/>
        <w:rPr>
          <w:rFonts w:ascii="Times New Roman" w:hAnsi="Times New Roman" w:cs="Times New Roman"/>
          <w:sz w:val="20"/>
          <w:szCs w:val="20"/>
        </w:rPr>
      </w:pPr>
    </w:p>
    <w:p w14:paraId="5A552FFD" w14:textId="1332950D" w:rsidR="005A001B" w:rsidRPr="000C5E05" w:rsidRDefault="005A001B" w:rsidP="00E77CD9">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(Modified) P</w:t>
      </w:r>
      <w:r>
        <w:rPr>
          <w:rFonts w:ascii="Times New Roman" w:hAnsi="Times New Roman" w:cs="Times New Roman"/>
          <w:b/>
          <w:sz w:val="20"/>
          <w:szCs w:val="20"/>
          <w:u w:val="single"/>
        </w:rPr>
        <w:t>roposal 3.3</w:t>
      </w:r>
      <w:r w:rsidRPr="000C5E05">
        <w:rPr>
          <w:rFonts w:ascii="Times New Roman" w:hAnsi="Times New Roman" w:cs="Times New Roman"/>
          <w:b/>
          <w:sz w:val="20"/>
          <w:szCs w:val="20"/>
          <w:u w:val="single"/>
        </w:rPr>
        <w:t>:</w:t>
      </w:r>
    </w:p>
    <w:p w14:paraId="111EDAA6" w14:textId="77777777" w:rsidR="005A001B" w:rsidRPr="000C5E05" w:rsidRDefault="005A001B" w:rsidP="00E77CD9">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67B6CEB2" w14:textId="77777777" w:rsidR="005A001B" w:rsidRPr="008D346D" w:rsidRDefault="005A001B" w:rsidP="00E77CD9">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6B246BF0" w14:textId="77777777" w:rsidR="005A001B" w:rsidRPr="008D346D" w:rsidRDefault="005A001B" w:rsidP="00E77CD9">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6F4DB7E4" w14:textId="77777777" w:rsidR="005A001B" w:rsidRDefault="005A001B" w:rsidP="00E77CD9">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1394A0A3" w14:textId="77777777" w:rsidR="005A001B" w:rsidRPr="008D346D" w:rsidRDefault="005A001B" w:rsidP="00E77CD9">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 on the number of active QCL and/or UL spatial relation assumptions</w:t>
      </w:r>
    </w:p>
    <w:p w14:paraId="295FC6AA" w14:textId="78519156" w:rsidR="005A001B" w:rsidRDefault="005A001B" w:rsidP="00E77CD9">
      <w:pPr>
        <w:snapToGrid w:val="0"/>
        <w:jc w:val="both"/>
        <w:rPr>
          <w:rFonts w:ascii="Times New Roman" w:hAnsi="Times New Roman" w:cs="Times New Roman"/>
          <w:sz w:val="20"/>
          <w:szCs w:val="20"/>
        </w:rPr>
      </w:pPr>
    </w:p>
    <w:p w14:paraId="6C41946A" w14:textId="77777777" w:rsidR="00E77CD9" w:rsidRDefault="00E77CD9" w:rsidP="00E77CD9">
      <w:pPr>
        <w:snapToGrid w:val="0"/>
        <w:jc w:val="both"/>
        <w:rPr>
          <w:rFonts w:ascii="Times New Roman" w:hAnsi="Times New Roman" w:cs="Times New Roman"/>
          <w:sz w:val="20"/>
          <w:szCs w:val="20"/>
        </w:rPr>
      </w:pPr>
    </w:p>
    <w:p w14:paraId="14973B55" w14:textId="77777777" w:rsidR="00E77CD9" w:rsidRPr="000B248A" w:rsidRDefault="00E77CD9" w:rsidP="00E77CD9">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Support configuring a UE with two SRS resource sets having different numbers of ports for codebook -based UL transmission</w:t>
      </w:r>
    </w:p>
    <w:p w14:paraId="08CBF490" w14:textId="77777777" w:rsidR="00E77CD9" w:rsidRPr="000B248A" w:rsidRDefault="00E77CD9" w:rsidP="00E77CD9">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Whether SRS resource set is indicated by gNB or SRS resource set is selected by UE and reported to gNB</w:t>
      </w:r>
    </w:p>
    <w:p w14:paraId="1371F322" w14:textId="77777777" w:rsidR="00E77CD9" w:rsidRPr="000B248A" w:rsidRDefault="00E77CD9" w:rsidP="00E77CD9">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Whether to support different SRS ports within a same SRS resource set if more than one SRS resources are configured in the set</w:t>
      </w:r>
    </w:p>
    <w:p w14:paraId="15892962" w14:textId="77777777" w:rsidR="00E77CD9" w:rsidRPr="000B248A" w:rsidRDefault="00E77CD9" w:rsidP="00E77CD9">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This can be applied to both single TRP and mTRP operations</w:t>
      </w:r>
    </w:p>
    <w:p w14:paraId="4A0559C3" w14:textId="77777777" w:rsidR="00E77CD9" w:rsidRPr="000B248A" w:rsidRDefault="00E77CD9" w:rsidP="00E77CD9">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this can be applied to non-codebook-based UL transmission</w:t>
      </w:r>
    </w:p>
    <w:p w14:paraId="376ABE1C" w14:textId="2AE7903C" w:rsidR="00E77CD9" w:rsidRDefault="00E77CD9" w:rsidP="00E77CD9">
      <w:pPr>
        <w:snapToGrid w:val="0"/>
        <w:jc w:val="both"/>
        <w:rPr>
          <w:rFonts w:ascii="Times New Roman" w:hAnsi="Times New Roman" w:cs="Times New Roman"/>
          <w:sz w:val="20"/>
          <w:szCs w:val="20"/>
        </w:rPr>
      </w:pPr>
    </w:p>
    <w:p w14:paraId="10950CAA" w14:textId="77777777" w:rsidR="00E77CD9" w:rsidRDefault="00E77CD9" w:rsidP="00E77CD9">
      <w:pPr>
        <w:snapToGrid w:val="0"/>
        <w:jc w:val="both"/>
        <w:rPr>
          <w:rFonts w:ascii="Times New Roman" w:hAnsi="Times New Roman" w:cs="Times New Roman"/>
          <w:sz w:val="20"/>
          <w:szCs w:val="20"/>
        </w:rPr>
      </w:pPr>
    </w:p>
    <w:p w14:paraId="42F3B6CF" w14:textId="77777777" w:rsidR="00E77CD9" w:rsidRPr="00F64C78" w:rsidRDefault="00E77CD9" w:rsidP="00E77CD9">
      <w:pPr>
        <w:snapToGrid w:val="0"/>
        <w:jc w:val="both"/>
        <w:rPr>
          <w:rFonts w:ascii="Times New Roman" w:hAnsi="Times New Roman" w:cs="Times New Roman"/>
          <w:sz w:val="20"/>
        </w:rPr>
      </w:pPr>
      <w:r w:rsidRPr="00F64C78">
        <w:rPr>
          <w:rFonts w:ascii="Times New Roman" w:hAnsi="Times New Roman" w:cs="Times New Roman"/>
          <w:b/>
          <w:bCs/>
          <w:sz w:val="20"/>
          <w:u w:val="single"/>
        </w:rPr>
        <w:lastRenderedPageBreak/>
        <w:t>Proposal 5.1</w:t>
      </w:r>
      <w:r w:rsidRPr="00F64C78">
        <w:rPr>
          <w:rFonts w:ascii="Times New Roman" w:hAnsi="Times New Roman" w:cs="Times New Roman"/>
          <w:sz w:val="20"/>
        </w:rPr>
        <w:t>: On Rel.17 enhancements to facilitate MPE mitigation, support [one of] the following schemes [(to be down-selected in RAN1#106-e)]:</w:t>
      </w:r>
    </w:p>
    <w:p w14:paraId="1AB90D86" w14:textId="77777777" w:rsidR="00E77CD9" w:rsidRPr="00CD6CCB" w:rsidRDefault="00E77CD9" w:rsidP="00E77CD9">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8489DDA" w14:textId="77777777" w:rsidR="00E77CD9" w:rsidRPr="00CD6CCB" w:rsidRDefault="00E77CD9" w:rsidP="00E77CD9">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4DC9BAC" w14:textId="77777777" w:rsidR="00E77CD9" w:rsidRPr="00CD6CCB" w:rsidRDefault="00E77CD9" w:rsidP="00E77CD9">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3E4CE968" w14:textId="77777777" w:rsidR="00E77CD9" w:rsidRPr="00CD6CCB" w:rsidRDefault="00E77CD9" w:rsidP="00E77CD9">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27A2FF0B" w14:textId="77777777" w:rsidR="00E77CD9" w:rsidRPr="00CD6CCB" w:rsidRDefault="00E77CD9" w:rsidP="00E77CD9">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331F0EAE" w14:textId="77777777" w:rsidR="00E77CD9" w:rsidRPr="00CD6CCB" w:rsidRDefault="00E77CD9" w:rsidP="00E77CD9">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49830034" w14:textId="77777777" w:rsidR="00E77CD9" w:rsidRPr="00CD6CCB" w:rsidRDefault="00E77CD9" w:rsidP="00E77CD9">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1ABA04F" w14:textId="77777777" w:rsidR="00E77CD9" w:rsidRPr="00CD6CCB" w:rsidRDefault="00E77CD9" w:rsidP="00E77CD9">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7031D33C" w14:textId="77777777" w:rsidR="00E77CD9" w:rsidRPr="00CD6CCB" w:rsidRDefault="00E77CD9" w:rsidP="00E77CD9">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42818B26" w14:textId="5385B8E8" w:rsidR="00E77CD9" w:rsidRPr="00CD6CCB" w:rsidRDefault="00E77CD9" w:rsidP="00E77CD9">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7EC40F70" w14:textId="77777777" w:rsidR="00E77CD9" w:rsidRPr="00CD6CCB" w:rsidRDefault="00E77CD9" w:rsidP="00E77CD9">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42912556" w14:textId="77777777" w:rsidR="00E77CD9" w:rsidRPr="00CD6CCB" w:rsidRDefault="00E77CD9" w:rsidP="00E77CD9">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55523293" w14:textId="77777777" w:rsidR="00E77CD9" w:rsidRPr="00CD6CCB" w:rsidRDefault="00E77CD9" w:rsidP="00E77CD9">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4D6B258A" w14:textId="77777777" w:rsidR="00E77CD9" w:rsidRDefault="00E77CD9" w:rsidP="00E77CD9">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228C0DCE" w14:textId="77777777" w:rsidR="00E77CD9" w:rsidRPr="00CD6CCB" w:rsidRDefault="00E77CD9" w:rsidP="00E77CD9">
      <w:pPr>
        <w:numPr>
          <w:ilvl w:val="3"/>
          <w:numId w:val="32"/>
        </w:numPr>
        <w:snapToGrid w:val="0"/>
        <w:jc w:val="both"/>
        <w:rPr>
          <w:rFonts w:ascii="Times New Roman" w:hAnsi="Times New Roman" w:cs="Times New Roman"/>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p>
    <w:p w14:paraId="71FA562C" w14:textId="77777777" w:rsidR="00E77CD9" w:rsidRPr="00CD6CCB" w:rsidRDefault="00E77CD9" w:rsidP="00E77CD9">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4969051D" w14:textId="5195897F" w:rsidR="000B0E74" w:rsidRDefault="000B0E74" w:rsidP="00E77CD9">
      <w:pPr>
        <w:snapToGrid w:val="0"/>
        <w:jc w:val="both"/>
        <w:rPr>
          <w:rFonts w:ascii="Times New Roman" w:hAnsi="Times New Roman" w:cs="Times New Roman"/>
          <w:sz w:val="18"/>
          <w:szCs w:val="20"/>
        </w:rPr>
      </w:pPr>
    </w:p>
    <w:p w14:paraId="70C8BEBA" w14:textId="77777777" w:rsidR="0026707F" w:rsidRPr="00E77CD9" w:rsidRDefault="0026707F" w:rsidP="00E77CD9">
      <w:pPr>
        <w:snapToGrid w:val="0"/>
        <w:jc w:val="both"/>
        <w:rPr>
          <w:rFonts w:ascii="Times New Roman" w:hAnsi="Times New Roman" w:cs="Times New Roman"/>
          <w:sz w:val="18"/>
          <w:szCs w:val="20"/>
        </w:rPr>
      </w:pPr>
    </w:p>
    <w:p w14:paraId="0493A833" w14:textId="77777777" w:rsidR="00E77CD9" w:rsidRPr="00E77CD9" w:rsidRDefault="00E77CD9" w:rsidP="00E77CD9">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2FA85B22" w14:textId="77777777" w:rsidR="00E77CD9" w:rsidRPr="00E77CD9" w:rsidRDefault="00E77CD9" w:rsidP="00E77CD9">
      <w:pPr>
        <w:numPr>
          <w:ilvl w:val="0"/>
          <w:numId w:val="44"/>
        </w:numPr>
        <w:snapToGrid w:val="0"/>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68BD0070" w14:textId="77777777" w:rsidR="00E77CD9" w:rsidRPr="00E77CD9" w:rsidRDefault="00E77CD9" w:rsidP="00E77CD9">
      <w:pPr>
        <w:numPr>
          <w:ilvl w:val="1"/>
          <w:numId w:val="44"/>
        </w:numPr>
        <w:snapToGrid w:val="0"/>
        <w:rPr>
          <w:rFonts w:ascii="Times New Roman" w:eastAsia="Times New Roman" w:hAnsi="Times New Roman" w:cs="Times New Roman"/>
          <w:sz w:val="20"/>
        </w:rPr>
      </w:pPr>
      <w:r w:rsidRPr="00E77CD9">
        <w:rPr>
          <w:rFonts w:ascii="Times New Roman" w:eastAsia="Times New Roman" w:hAnsi="Times New Roman" w:cs="Times New Roman"/>
          <w:sz w:val="20"/>
        </w:rPr>
        <w:t>In this case, multiple settings are configured. Each setting can be associated with at least one TCI state, and, for a given TCI state, only one setting for PUSCH and only one setting for PUCCH can be associated at a time.</w:t>
      </w:r>
    </w:p>
    <w:p w14:paraId="35C6C7C4" w14:textId="77777777" w:rsidR="00E77CD9" w:rsidRPr="00E77CD9" w:rsidRDefault="00E77CD9" w:rsidP="00E77CD9">
      <w:pPr>
        <w:numPr>
          <w:ilvl w:val="1"/>
          <w:numId w:val="44"/>
        </w:numPr>
        <w:snapToGrid w:val="0"/>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25EA8671" w14:textId="77777777" w:rsidR="00E77CD9" w:rsidRPr="00E77CD9" w:rsidRDefault="00E77CD9" w:rsidP="00E77CD9">
      <w:pPr>
        <w:numPr>
          <w:ilvl w:val="0"/>
          <w:numId w:val="44"/>
        </w:numPr>
        <w:snapToGrid w:val="0"/>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31346788" w14:textId="77777777" w:rsidR="00E77CD9" w:rsidRPr="00E77CD9" w:rsidRDefault="00E77CD9" w:rsidP="00E77CD9">
      <w:pPr>
        <w:numPr>
          <w:ilvl w:val="0"/>
          <w:numId w:val="44"/>
        </w:numPr>
        <w:snapToGrid w:val="0"/>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42749503" w14:textId="77777777" w:rsidR="00E77CD9" w:rsidRPr="00E77CD9" w:rsidRDefault="00E77CD9" w:rsidP="00E77CD9">
      <w:pPr>
        <w:pStyle w:val="ListParagraph"/>
        <w:numPr>
          <w:ilvl w:val="0"/>
          <w:numId w:val="44"/>
        </w:numPr>
        <w:snapToGrid w:val="0"/>
        <w:spacing w:after="0" w:line="240" w:lineRule="auto"/>
        <w:rPr>
          <w:rFonts w:ascii="Times New Roman" w:eastAsiaTheme="minorEastAsia" w:hAnsi="Times New Roman" w:cs="Times New Roman"/>
          <w:sz w:val="20"/>
        </w:rPr>
      </w:pPr>
      <w:r w:rsidRPr="00E77CD9">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0BBB3832" w14:textId="77777777" w:rsidR="00A07B75" w:rsidRPr="00E77CD9" w:rsidRDefault="00A07B75" w:rsidP="00E77CD9">
      <w:pPr>
        <w:snapToGrid w:val="0"/>
        <w:jc w:val="both"/>
        <w:rPr>
          <w:rFonts w:ascii="Times New Roman" w:hAnsi="Times New Roman" w:cs="Times New Roman"/>
          <w:sz w:val="18"/>
          <w:szCs w:val="20"/>
        </w:rPr>
      </w:pP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bookmarkStart w:id="2" w:name="_GoBack"/>
      <w:bookmarkEnd w:id="2"/>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QCL-TypeD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QCL-TypeA [or QCL-TypeB]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lastRenderedPageBreak/>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quasi co-location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QCL-typeD RS for PDCCH in CC#1 and CSI-RS #B is configured as the QCL-TypeD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QCL-TypeD?</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lastRenderedPageBreak/>
              <w:t xml:space="preserve">Re proposal 1.4: </w:t>
            </w:r>
            <w:r w:rsidR="007C2380" w:rsidRPr="000C5E05">
              <w:rPr>
                <w:rFonts w:ascii="Times New Roman" w:eastAsia="PMingLiU" w:hAnsi="Times New Roman" w:cs="Times New Roman"/>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QCL-TypeD are valid from simultaneous Rx point of view, which is defined in PDCCH+PDCCH QCL-TypeD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a set of configured CCs/BWPs”, we prefer to add back the clarification in the early version of this proposal. Regarding the comments from Qualcomm and OPPO, even we have same concern on this proposal doesn't reflect the previous agreement on the single TypeD RS across 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QCL-TypeD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QCLed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w:t>
            </w:r>
            <w:r w:rsidRPr="000C5E05">
              <w:rPr>
                <w:rFonts w:ascii="Times New Roman" w:hAnsi="Times New Roman" w:cs="Times New Roman"/>
                <w:sz w:val="20"/>
                <w:szCs w:val="18"/>
              </w:rPr>
              <w:lastRenderedPageBreak/>
              <w:t xml:space="preserve">+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Malgun Gothic" w:hAnsi="Times New Roman" w:cs="Times New Roman"/>
                <w:sz w:val="20"/>
                <w:szCs w:val="18"/>
              </w:rPr>
            </w:pPr>
          </w:p>
          <w:p w14:paraId="61AEFF35" w14:textId="77777777" w:rsidR="00E13FD9" w:rsidRPr="000C5E05" w:rsidRDefault="00E13FD9" w:rsidP="00937F4C">
            <w:pPr>
              <w:rPr>
                <w:rFonts w:ascii="Times New Roman" w:eastAsia="Malgun Gothic"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Malgun Gothic"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Malgun Gothic" w:hAnsi="Times New Roman" w:cs="Times New Roman"/>
                <w:sz w:val="20"/>
                <w:szCs w:val="18"/>
              </w:rPr>
              <w:t xml:space="preserve"> were OK with that restriction already when the agreement was made, and we are still OK with it</w:t>
            </w:r>
            <w:r w:rsidRPr="000C5E05">
              <w:rPr>
                <w:rFonts w:ascii="Times New Roman" w:eastAsia="Malgun Gothic" w:hAnsi="Times New Roman" w:cs="Times New Roman"/>
                <w:sz w:val="20"/>
                <w:szCs w:val="18"/>
              </w:rPr>
              <w:t>. We do not understand what “true common beam” in Qualcomm’s response means</w:t>
            </w:r>
            <w:r w:rsidR="002A56F2" w:rsidRPr="000C5E05">
              <w:rPr>
                <w:rFonts w:ascii="Times New Roman" w:eastAsia="Malgun Gothic" w:hAnsi="Times New Roman" w:cs="Times New Roman"/>
                <w:sz w:val="20"/>
                <w:szCs w:val="18"/>
              </w:rPr>
              <w:t xml:space="preserve"> – could you clarify?</w:t>
            </w:r>
          </w:p>
          <w:p w14:paraId="50566B37" w14:textId="77777777" w:rsidR="002A56F2" w:rsidRPr="000C5E05" w:rsidRDefault="002A56F2" w:rsidP="00937F4C">
            <w:pPr>
              <w:rPr>
                <w:rFonts w:ascii="Times New Roman" w:eastAsia="Malgun Gothic" w:hAnsi="Times New Roman" w:cs="Times New Roman"/>
                <w:sz w:val="20"/>
                <w:szCs w:val="18"/>
              </w:rPr>
            </w:pPr>
          </w:p>
          <w:p w14:paraId="5107FC8C" w14:textId="7998B97E" w:rsidR="00DA02D6" w:rsidRPr="000C5E05" w:rsidRDefault="00DA02D6"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w:t>
            </w:r>
            <w:r w:rsidR="00C60F2D" w:rsidRPr="000C5E05">
              <w:rPr>
                <w:rFonts w:ascii="Times New Roman" w:eastAsia="Malgun Gothic" w:hAnsi="Times New Roman" w:cs="Times New Roman"/>
                <w:sz w:val="20"/>
                <w:szCs w:val="18"/>
              </w:rPr>
              <w:t xml:space="preserve"> We support Oppo’s proposal to remove ‘</w:t>
            </w:r>
            <w:r w:rsidR="00C60F2D" w:rsidRPr="000C5E05">
              <w:rPr>
                <w:rFonts w:ascii="Times New Roman" w:hAnsi="Times New Roman" w:cs="Times New Roman"/>
                <w:sz w:val="20"/>
                <w:szCs w:val="20"/>
              </w:rPr>
              <w:t>A single RRC pool of TCI states</w:t>
            </w:r>
            <w:r w:rsidR="002A56F2" w:rsidRPr="000C5E05">
              <w:rPr>
                <w:rFonts w:ascii="Times New Roman" w:hAnsi="Times New Roman" w:cs="Times New Roman"/>
                <w:sz w:val="20"/>
                <w:szCs w:val="20"/>
              </w:rPr>
              <w:t>’</w:t>
            </w:r>
            <w:r w:rsidR="00C60F2D" w:rsidRPr="000C5E05">
              <w:rPr>
                <w:rFonts w:ascii="Times New Roman" w:hAnsi="Times New Roman" w:cs="Times New Roman"/>
                <w:sz w:val="20"/>
                <w:szCs w:val="20"/>
              </w:rPr>
              <w:t>. </w:t>
            </w:r>
            <w:r w:rsidR="00C60F2D" w:rsidRPr="000C5E05">
              <w:rPr>
                <w:rFonts w:ascii="Times New Roman" w:eastAsia="Malgun Gothic"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Malgun Gothic"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Malgun Gothic" w:hAnsi="Times New Roman" w:cs="Times New Roman"/>
                <w:sz w:val="20"/>
                <w:szCs w:val="18"/>
              </w:rPr>
            </w:pPr>
          </w:p>
          <w:p w14:paraId="006F584B" w14:textId="65D6B574" w:rsidR="002A56F2" w:rsidRPr="000C5E05" w:rsidRDefault="002A56F2"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Malgun Gothic" w:hAnsi="Times New Roman" w:cs="Times New Roman"/>
                <w:sz w:val="20"/>
                <w:szCs w:val="18"/>
              </w:rPr>
            </w:pPr>
          </w:p>
          <w:p w14:paraId="2DF9998D" w14:textId="78A316AF" w:rsidR="00C60F2D" w:rsidRPr="000C5E05" w:rsidRDefault="00C60F2D"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would understand the need for a UE capability on the total number of configured TCI states across all CCs</w:t>
            </w:r>
            <w:r w:rsidR="002A56F2" w:rsidRPr="000C5E05">
              <w:rPr>
                <w:rFonts w:ascii="Times New Roman" w:eastAsia="Malgun Gothic" w:hAnsi="Times New Roman" w:cs="Times New Roman"/>
                <w:sz w:val="20"/>
                <w:szCs w:val="18"/>
              </w:rPr>
              <w:t xml:space="preserve">, where </w:t>
            </w:r>
            <w:r w:rsidRPr="000C5E05">
              <w:rPr>
                <w:rFonts w:ascii="Times New Roman" w:eastAsia="Malgun Gothic"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1.3: We can support it in principle. In order to make sure that indirect QCL works, we suggest to add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Malgun Gothic"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Malgun Gothic"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Malgun Gothic" w:hAnsi="Times New Roman" w:cs="Times New Roman"/>
                <w:sz w:val="20"/>
                <w:szCs w:val="18"/>
              </w:rPr>
            </w:pPr>
          </w:p>
          <w:p w14:paraId="11793FAF" w14:textId="0A5B599C"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My points are: (1) Both cases are allowed in R15/16. So no need to mandate Case 1. We are fine to clarify both are NW’s choice</w:t>
            </w:r>
            <w:r w:rsidR="00246665" w:rsidRPr="000C5E05">
              <w:rPr>
                <w:rFonts w:ascii="Times New Roman" w:eastAsia="Malgun Gothic" w:hAnsi="Times New Roman" w:cs="Times New Roman"/>
                <w:sz w:val="20"/>
                <w:szCs w:val="18"/>
              </w:rPr>
              <w:t>. To DCM, I know Case 1 is your implementation. But Case 2 is also a valid config and can rigorously guarantee common Rx beam across CCs;</w:t>
            </w:r>
            <w:r w:rsidRPr="000C5E05">
              <w:rPr>
                <w:rFonts w:ascii="Times New Roman" w:eastAsia="Malgun Gothic" w:hAnsi="Times New Roman" w:cs="Times New Roman"/>
                <w:sz w:val="20"/>
                <w:szCs w:val="18"/>
              </w:rPr>
              <w:t xml:space="preserve"> (2) </w:t>
            </w:r>
            <w:r w:rsidR="00246665" w:rsidRPr="000C5E05">
              <w:rPr>
                <w:rFonts w:ascii="Times New Roman" w:eastAsia="Malgun Gothic"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Malgun Gothic"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Malgun Gothic" w:hAnsi="Times New Roman" w:cs="Times New Roman"/>
                <w:sz w:val="20"/>
                <w:szCs w:val="18"/>
              </w:rPr>
            </w:pPr>
          </w:p>
          <w:p w14:paraId="2A910EA6" w14:textId="628A296B"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1: QCL-D per CC (2</w:t>
            </w:r>
            <w:r w:rsidRPr="000C5E05">
              <w:rPr>
                <w:rFonts w:ascii="Times New Roman" w:eastAsia="Malgun Gothic" w:hAnsi="Times New Roman" w:cs="Times New Roman"/>
                <w:sz w:val="20"/>
                <w:szCs w:val="18"/>
                <w:vertAlign w:val="superscript"/>
              </w:rPr>
              <w:t>nd</w:t>
            </w:r>
            <w:r w:rsidRPr="000C5E05">
              <w:rPr>
                <w:rFonts w:ascii="Times New Roman" w:eastAsia="Malgun Gothic" w:hAnsi="Times New Roman" w:cs="Times New Roman"/>
                <w:sz w:val="20"/>
                <w:szCs w:val="18"/>
              </w:rPr>
              <w:t xml:space="preserve"> bullet in FL’s 1.3)</w:t>
            </w:r>
          </w:p>
          <w:p w14:paraId="090A4BB6" w14:textId="7F4B0DB0"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#2</w:t>
            </w:r>
            <w:r w:rsidRPr="000C5E05">
              <w:rPr>
                <w:rFonts w:ascii="Times New Roman" w:eastAsia="Malgun Gothic" w:hAnsi="Times New Roman" w:cs="Times New Roman"/>
                <w:sz w:val="20"/>
                <w:szCs w:val="18"/>
              </w:rPr>
              <w:t>, which is as QCL-D for PDSCH on CC #2</w:t>
            </w:r>
          </w:p>
          <w:p w14:paraId="7D59275F" w14:textId="60487340" w:rsidR="00C71754" w:rsidRPr="000C5E05" w:rsidRDefault="00C71754" w:rsidP="004028B4">
            <w:pPr>
              <w:rPr>
                <w:rFonts w:ascii="Times New Roman" w:eastAsia="Malgun Gothic" w:hAnsi="Times New Roman" w:cs="Times New Roman"/>
                <w:sz w:val="20"/>
                <w:szCs w:val="18"/>
              </w:rPr>
            </w:pPr>
          </w:p>
          <w:p w14:paraId="322DEFA2" w14:textId="3D020E88" w:rsidR="00C71754" w:rsidRPr="000C5E05" w:rsidRDefault="00C71754"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SSB #1 as QCL-D for CSI-RS for BM resource </w:t>
            </w:r>
            <w:r w:rsidRPr="000C5E05">
              <w:rPr>
                <w:rFonts w:ascii="Times New Roman" w:eastAsia="Malgun Gothic" w:hAnsi="Times New Roman" w:cs="Times New Roman"/>
                <w:color w:val="FF0000"/>
                <w:sz w:val="20"/>
                <w:szCs w:val="18"/>
              </w:rPr>
              <w:t>#1</w:t>
            </w:r>
            <w:r w:rsidRPr="000C5E05">
              <w:rPr>
                <w:rFonts w:ascii="Times New Roman" w:eastAsia="Malgun Gothic" w:hAnsi="Times New Roman" w:cs="Times New Roman"/>
                <w:sz w:val="20"/>
                <w:szCs w:val="18"/>
              </w:rPr>
              <w:t>, which is as QCL-D for PDSCH on CC #2</w:t>
            </w:r>
          </w:p>
          <w:p w14:paraId="04A8C39F" w14:textId="77777777" w:rsidR="00C71754" w:rsidRPr="000C5E05" w:rsidRDefault="00C71754" w:rsidP="004028B4">
            <w:pPr>
              <w:rPr>
                <w:rFonts w:ascii="Times New Roman" w:eastAsia="Malgun Gothic" w:hAnsi="Times New Roman" w:cs="Times New Roman"/>
                <w:sz w:val="20"/>
                <w:szCs w:val="18"/>
              </w:rPr>
            </w:pPr>
          </w:p>
          <w:p w14:paraId="1F05B10B" w14:textId="6963DDE3" w:rsidR="00C71754" w:rsidRPr="000C5E05" w:rsidRDefault="00246665"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Proposal 1.3</w:t>
            </w:r>
            <w:r w:rsidR="007B2876" w:rsidRPr="000C5E05">
              <w:rPr>
                <w:rFonts w:ascii="Times New Roman" w:eastAsia="Malgun Gothic" w:hAnsi="Times New Roman" w:cs="Times New Roman"/>
                <w:sz w:val="20"/>
                <w:szCs w:val="18"/>
              </w:rPr>
              <w:t>, below is my suggestion to replace the original 2</w:t>
            </w:r>
            <w:r w:rsidR="007B2876" w:rsidRPr="000C5E05">
              <w:rPr>
                <w:rFonts w:ascii="Times New Roman" w:eastAsia="Malgun Gothic" w:hAnsi="Times New Roman" w:cs="Times New Roman"/>
                <w:sz w:val="20"/>
                <w:szCs w:val="18"/>
                <w:vertAlign w:val="superscript"/>
              </w:rPr>
              <w:t>nd</w:t>
            </w:r>
            <w:r w:rsidR="007B2876" w:rsidRPr="000C5E05">
              <w:rPr>
                <w:rFonts w:ascii="Times New Roman" w:eastAsia="Malgun Gothic"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Malgun Gothic"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QCL-TypeD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Malgun Gothic" w:hAnsi="Times New Roman" w:cs="Times New Roman"/>
                <w:sz w:val="20"/>
                <w:szCs w:val="18"/>
              </w:rPr>
            </w:pPr>
          </w:p>
          <w:p w14:paraId="322B598A" w14:textId="0ABF5412" w:rsidR="00C71754" w:rsidRPr="000C5E05" w:rsidRDefault="006A0177"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For </w:t>
            </w:r>
            <w:r w:rsidR="000A7E0D" w:rsidRPr="000C5E05">
              <w:rPr>
                <w:rFonts w:ascii="Times New Roman" w:eastAsia="Malgun Gothic" w:hAnsi="Times New Roman" w:cs="Times New Roman"/>
                <w:sz w:val="20"/>
                <w:szCs w:val="18"/>
              </w:rPr>
              <w:t xml:space="preserve">Proposal </w:t>
            </w:r>
            <w:r w:rsidRPr="000C5E05">
              <w:rPr>
                <w:rFonts w:ascii="Times New Roman" w:eastAsia="Malgun Gothic"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Malgun Gothic" w:hAnsi="Times New Roman" w:cs="Times New Roman"/>
                <w:sz w:val="20"/>
                <w:szCs w:val="18"/>
              </w:rPr>
              <w:t>across multiple</w:t>
            </w:r>
            <w:r w:rsidRPr="000C5E05">
              <w:rPr>
                <w:rFonts w:ascii="Times New Roman" w:eastAsia="Malgun Gothic" w:hAnsi="Times New Roman" w:cs="Times New Roman"/>
                <w:sz w:val="20"/>
                <w:szCs w:val="18"/>
              </w:rPr>
              <w:t xml:space="preserve"> BWP</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/CC</w:t>
            </w:r>
            <w:r w:rsidR="000C3F18" w:rsidRPr="000C5E05">
              <w:rPr>
                <w:rFonts w:ascii="Times New Roman" w:eastAsia="Malgun Gothic" w:hAnsi="Times New Roman" w:cs="Times New Roman"/>
                <w:sz w:val="20"/>
                <w:szCs w:val="18"/>
              </w:rPr>
              <w:t>s</w:t>
            </w:r>
            <w:r w:rsidRPr="000C5E05">
              <w:rPr>
                <w:rFonts w:ascii="Times New Roman" w:eastAsia="Malgun Gothic"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Malgun Gothic" w:hAnsi="Times New Roman" w:cs="Times New Roman"/>
                <w:sz w:val="20"/>
                <w:szCs w:val="18"/>
              </w:rPr>
              <w:t xml:space="preserve">beneficial </w:t>
            </w:r>
            <w:r w:rsidRPr="000C5E05">
              <w:rPr>
                <w:rFonts w:ascii="Times New Roman" w:eastAsia="Malgun Gothic"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 xml:space="preserve">To E///, the red is the details on how the shared pool works. It almost converged after a long iteration. </w:t>
            </w:r>
            <w:r w:rsidR="00763C81" w:rsidRPr="000C5E05">
              <w:rPr>
                <w:rFonts w:ascii="Times New Roman" w:eastAsia="Malgun Gothic"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Malgun Gothic" w:hAnsi="Times New Roman" w:cs="Times New Roman"/>
                <w:sz w:val="20"/>
                <w:szCs w:val="18"/>
              </w:rPr>
              <w:t>,</w:t>
            </w:r>
            <w:r w:rsidR="00763C81" w:rsidRPr="000C5E05">
              <w:rPr>
                <w:rFonts w:ascii="Times New Roman" w:eastAsia="Malgun Gothic"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Malgun Gothic" w:hAnsi="Times New Roman" w:cs="Times New Roman"/>
                <w:sz w:val="20"/>
                <w:szCs w:val="18"/>
              </w:rPr>
            </w:pPr>
          </w:p>
          <w:p w14:paraId="3A5C22D2" w14:textId="1B77A878" w:rsidR="00C71754" w:rsidRPr="000C5E05" w:rsidRDefault="00763C81" w:rsidP="004028B4">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So for 1.4, we are fine with either OPPO or MTK’s version with Apple’s capability suggestion</w:t>
            </w:r>
            <w:r w:rsidR="00C7036E" w:rsidRPr="000C5E05">
              <w:rPr>
                <w:rFonts w:ascii="Times New Roman" w:eastAsia="Malgun Gothic" w:hAnsi="Times New Roman" w:cs="Times New Roman"/>
                <w:sz w:val="20"/>
                <w:szCs w:val="18"/>
              </w:rPr>
              <w:t xml:space="preserve">, which is highlighted on top of </w:t>
            </w:r>
            <w:r w:rsidR="004E70A5" w:rsidRPr="000C5E05">
              <w:rPr>
                <w:rFonts w:ascii="Times New Roman" w:eastAsia="Malgun Gothic" w:hAnsi="Times New Roman" w:cs="Times New Roman"/>
                <w:sz w:val="20"/>
                <w:szCs w:val="18"/>
              </w:rPr>
              <w:t xml:space="preserve">MTK’s version </w:t>
            </w:r>
            <w:r w:rsidR="00C7036E" w:rsidRPr="000C5E05">
              <w:rPr>
                <w:rFonts w:ascii="Times New Roman" w:eastAsia="Malgun Gothic" w:hAnsi="Times New Roman" w:cs="Times New Roman"/>
                <w:sz w:val="20"/>
                <w:szCs w:val="18"/>
              </w:rPr>
              <w:t>below</w:t>
            </w:r>
            <w:r w:rsidR="004E70A5" w:rsidRPr="000C5E05">
              <w:rPr>
                <w:rFonts w:ascii="Times New Roman" w:eastAsia="Malgun Gothic" w:hAnsi="Times New Roman" w:cs="Times New Roman"/>
                <w:sz w:val="20"/>
                <w:szCs w:val="18"/>
              </w:rPr>
              <w:t xml:space="preserve">. </w:t>
            </w:r>
          </w:p>
          <w:p w14:paraId="1E35143E" w14:textId="77777777" w:rsidR="00763C81" w:rsidRPr="000C5E05" w:rsidRDefault="00763C81" w:rsidP="004028B4">
            <w:pPr>
              <w:rPr>
                <w:rFonts w:ascii="Times New Roman" w:eastAsia="Malgun Gothic"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lastRenderedPageBreak/>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[Mod: Added FFS on UE cap on the sub-bullet of the second bullet. This should address your point. Details on UE cap are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1.3: We are fine with the proposal, but would like more clarity on “</w:t>
            </w:r>
            <w:r w:rsidRPr="000C5E05">
              <w:rPr>
                <w:rFonts w:ascii="Times New Roman" w:eastAsia="Malgun Gothic"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Malgun Gothic"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 since it can cause confusion]</w:t>
            </w:r>
          </w:p>
          <w:p w14:paraId="192C8C06" w14:textId="77777777" w:rsidR="002D2A68" w:rsidRPr="000C5E05" w:rsidRDefault="002D2A68" w:rsidP="00555D20">
            <w:pPr>
              <w:rPr>
                <w:rFonts w:ascii="Times New Roman" w:eastAsia="Malgun Gothic" w:hAnsi="Times New Roman" w:cs="Times New Roman"/>
                <w:sz w:val="20"/>
                <w:szCs w:val="18"/>
              </w:rPr>
            </w:pPr>
          </w:p>
          <w:p w14:paraId="35E373D5"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Malgun Gothic" w:hAnsi="Times New Roman" w:cs="Times New Roman"/>
                <w:sz w:val="20"/>
                <w:szCs w:val="18"/>
              </w:rPr>
              <w:t xml:space="preserve">”. </w:t>
            </w:r>
          </w:p>
          <w:p w14:paraId="71DF8074" w14:textId="77777777" w:rsidR="00555D20" w:rsidRPr="000C5E05" w:rsidRDefault="00555D20" w:rsidP="00555D20">
            <w:pPr>
              <w:rPr>
                <w:rFonts w:ascii="Times New Roman" w:eastAsia="Malgun Gothic" w:hAnsi="Times New Roman" w:cs="Times New Roman"/>
                <w:sz w:val="20"/>
                <w:szCs w:val="18"/>
              </w:rPr>
            </w:pPr>
            <w:r w:rsidRPr="000C5E05">
              <w:rPr>
                <w:rFonts w:ascii="Times New Roman" w:eastAsia="Malgun Gothic"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V16</w:t>
            </w:r>
            <w:r w:rsidR="00017A5A" w:rsidRPr="000C5E05">
              <w:rPr>
                <w:rFonts w:ascii="Times New Roman" w:eastAsia="Malgun Gothic"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Malgun Gothic" w:hAnsi="Times New Roman" w:cs="Times New Roman"/>
                <w:b/>
                <w:color w:val="3333FF"/>
                <w:sz w:val="18"/>
                <w:szCs w:val="18"/>
              </w:rPr>
            </w:pPr>
          </w:p>
          <w:p w14:paraId="3E9BC61B" w14:textId="77777777" w:rsidR="009D3D6D" w:rsidRPr="000C5E05" w:rsidRDefault="009D3D6D"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Malgun Gothic" w:hAnsi="Times New Roman" w:cs="Times New Roman"/>
                <w:b/>
                <w:color w:val="3333FF"/>
                <w:sz w:val="18"/>
                <w:szCs w:val="18"/>
              </w:rPr>
            </w:pPr>
          </w:p>
          <w:p w14:paraId="57AD9147" w14:textId="4782F834" w:rsidR="00017A5A" w:rsidRPr="000C5E05" w:rsidRDefault="00017A5A" w:rsidP="00D9126C">
            <w:pPr>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FF0000"/>
                <w:szCs w:val="18"/>
              </w:rPr>
              <w:t>DISCUSSION IS MOVED TO EMAIL REFLECTOR ROUND-3 SUB-THREAD 2</w:t>
            </w:r>
            <w:r w:rsidR="00A21AE2" w:rsidRPr="000C5E05">
              <w:rPr>
                <w:rFonts w:ascii="Times New Roman" w:eastAsia="Malgun Gothic"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Batang" w:hAnsi="Times New Roman" w:cs="Times New Roman"/>
          <w:sz w:val="20"/>
          <w:szCs w:val="20"/>
          <w:lang w:val="en-GB" w:eastAsia="en-US"/>
        </w:rPr>
      </w:pPr>
      <w:r w:rsidRPr="000C5E05">
        <w:rPr>
          <w:rFonts w:ascii="Times New Roman" w:eastAsia="Batang" w:hAnsi="Times New Roman" w:cs="Times New Roman"/>
          <w:b/>
          <w:sz w:val="20"/>
          <w:szCs w:val="20"/>
          <w:highlight w:val="green"/>
          <w:lang w:val="en-GB" w:eastAsia="en-US"/>
        </w:rPr>
        <w:t>Agreement</w:t>
      </w:r>
      <w:r w:rsidRPr="000C5E05">
        <w:rPr>
          <w:rFonts w:ascii="Times New Roman" w:eastAsia="Batang"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On Rel.17 unified TCI framework, </w:t>
      </w:r>
      <w:r w:rsidRPr="000C5E05">
        <w:rPr>
          <w:rFonts w:ascii="Times New Roman" w:eastAsia="Batang" w:hAnsi="Times New Roman" w:cs="Times New Roman"/>
          <w:sz w:val="20"/>
          <w:szCs w:val="20"/>
          <w:lang w:eastAsia="en-US"/>
        </w:rPr>
        <w:t xml:space="preserve">for any DL RS that does not share the same indicated Rel-17 TCI state(s) as </w:t>
      </w:r>
      <w:r w:rsidRPr="000C5E05">
        <w:rPr>
          <w:rFonts w:ascii="Times New Roman" w:eastAsia="Batang"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Batang" w:hAnsi="Times New Roman" w:cs="Times New Roman"/>
          <w:sz w:val="20"/>
          <w:szCs w:val="20"/>
          <w:lang w:eastAsia="en-US"/>
        </w:rPr>
        <w:t xml:space="preserve">discuss and down-select by RAN1#106-e </w:t>
      </w:r>
      <w:r w:rsidRPr="000C5E05">
        <w:rPr>
          <w:rFonts w:ascii="Times New Roman" w:eastAsia="Batang" w:hAnsi="Times New Roman" w:cs="Times New Roman"/>
          <w:sz w:val="20"/>
          <w:szCs w:val="20"/>
          <w:lang w:val="en-GB" w:eastAsia="en-US"/>
        </w:rPr>
        <w:t xml:space="preserve">(August 2021) </w:t>
      </w:r>
      <w:r w:rsidRPr="000C5E05">
        <w:rPr>
          <w:rFonts w:ascii="Times New Roman" w:eastAsia="Batang"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Alt1. Rel-15/16 </w:t>
      </w:r>
      <w:r w:rsidRPr="000C5E05">
        <w:rPr>
          <w:rFonts w:ascii="Times New Roman" w:eastAsia="Batang"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val="en-GB" w:eastAsia="en-US"/>
        </w:rPr>
        <w:t xml:space="preserve">Alt2. Rel-17 </w:t>
      </w:r>
      <w:r w:rsidRPr="000C5E05">
        <w:rPr>
          <w:rFonts w:ascii="Times New Roman" w:eastAsia="Batang"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Batang" w:hAnsi="Times New Roman" w:cs="Times New Roman"/>
          <w:sz w:val="20"/>
          <w:szCs w:val="20"/>
          <w:lang w:eastAsia="en-US"/>
        </w:rPr>
      </w:pPr>
      <w:r w:rsidRPr="000C5E05">
        <w:rPr>
          <w:rFonts w:ascii="Times New Roman" w:eastAsia="Batang"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Batang"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lastRenderedPageBreak/>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(From ROUND 1) In our view, it is not needed because none of proposal 1.4/1.5/1.6 propose to restrict TCI states that can be configured to a channel or reference signal.  Any TCI state in the configured pool can be configured to a channel or CSI-RS as long as the QCL contained in that TCI state satisfies the QCL configuration types specified for each channel or CSI-RS resource. The wording in the Note might even cause some confusion, for example a TCI state with TypeA and TypeD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r w:rsidRPr="000C5E05">
              <w:rPr>
                <w:rFonts w:ascii="Times New Roman" w:hAnsi="Times New Roman" w:cs="Times New Roman"/>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r w:rsidRPr="000C5E05">
        <w:rPr>
          <w:rFonts w:ascii="Times New Roman" w:hAnsi="Times New Roman" w:cs="Times New Roman"/>
          <w:i/>
          <w:sz w:val="20"/>
          <w:szCs w:val="20"/>
        </w:rPr>
        <w:t>Current status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3"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3"/>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lastRenderedPageBreak/>
        <w:t>Proposal 2.2</w:t>
      </w:r>
      <w:r w:rsidRPr="000C5E05">
        <w:rPr>
          <w:rFonts w:ascii="Times New Roman" w:hAnsi="Times New Roman" w:cs="Times New Roman"/>
          <w:sz w:val="20"/>
          <w:szCs w:val="20"/>
        </w:rPr>
        <w:t>: On Rel.17 L1-RSRP multi-beam measurement/reporting enhancements for L1/L2-centric inter-cell mobility and inter-cell mTRP,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configured for or QCLed</w:t>
      </w:r>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or QCLed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QCLed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QCLed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y the difference of “</w:t>
            </w:r>
            <w:r w:rsidR="00275634" w:rsidRPr="000C5E05">
              <w:rPr>
                <w:rFonts w:ascii="Times New Roman" w:eastAsia="PMingLiU" w:hAnsi="Times New Roman" w:cs="Times New Roman"/>
                <w:sz w:val="18"/>
                <w:szCs w:val="18"/>
                <w:lang w:eastAsia="zh-CN"/>
              </w:rPr>
              <w:t xml:space="preserve"> …for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inter-cell mTRP”</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while “…for inter-cell mTRP”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 and inter-cell mTRP” in the main bullet or </w:t>
            </w:r>
            <w:r w:rsidR="00A95010" w:rsidRPr="000C5E05">
              <w:rPr>
                <w:rFonts w:ascii="Times New Roman" w:eastAsia="PMingLiU" w:hAnsi="Times New Roman" w:cs="Times New Roman"/>
                <w:sz w:val="18"/>
                <w:szCs w:val="18"/>
                <w:lang w:eastAsia="zh-CN"/>
              </w:rPr>
              <w:t>provide two proposals for these two scenarios separately. Since we think CSI-RS for BM configured for or QCLed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So from RAN1 perspective, no difference between L12XCM and XC-mTRP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“QCLed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[Mod: If I understand correctly (this wording came from the inputs in the previous rounds), an RS can be configured for the SC but QCLed with a non-serving SSB. Or it can be simply an RS configured for a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Malgun Gothic"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Malgun Gothic"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Proposal 2.1: </w:t>
            </w:r>
            <w:r w:rsidR="001D0C7B" w:rsidRPr="000C5E05">
              <w:rPr>
                <w:rFonts w:ascii="Times New Roman" w:eastAsia="Malgun Gothic"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Malgun Gothic" w:hAnsi="Times New Roman" w:cs="Times New Roman"/>
                <w:sz w:val="18"/>
                <w:szCs w:val="18"/>
              </w:rPr>
            </w:pPr>
          </w:p>
          <w:p w14:paraId="34BC7CA3" w14:textId="077D8886" w:rsidR="00FD077D" w:rsidRPr="000C5E05" w:rsidRDefault="00FD077D"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lastRenderedPageBreak/>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Malgun Gothic" w:hAnsi="Times New Roman" w:cs="Times New Roman"/>
                <w:sz w:val="18"/>
                <w:szCs w:val="18"/>
              </w:rPr>
            </w:pPr>
          </w:p>
          <w:p w14:paraId="6237AA11" w14:textId="77777777"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mTRP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Malgun Gothic"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lang w:val="en-GB"/>
              </w:rPr>
              <w:t xml:space="preserve">So the C-RNTI in the different cells is up to NW configuration. </w:t>
            </w:r>
            <w:r w:rsidRPr="000C5E05">
              <w:rPr>
                <w:rFonts w:ascii="Times New Roman" w:eastAsia="Malgun Gothic"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Malgun Gothic" w:hAnsi="Times New Roman" w:cs="Times New Roman"/>
                <w:sz w:val="18"/>
                <w:szCs w:val="18"/>
              </w:rPr>
            </w:pPr>
          </w:p>
          <w:p w14:paraId="7F2B0100" w14:textId="273C3B8B" w:rsidR="001D0C7B" w:rsidRPr="000C5E05" w:rsidRDefault="001D0C7B"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The Note is now removed per inputs from a number of companies]</w:t>
            </w:r>
          </w:p>
          <w:p w14:paraId="07775AE2" w14:textId="2B373CE4" w:rsidR="00E24F5F" w:rsidRPr="000C5E05" w:rsidRDefault="00E24F5F" w:rsidP="0039041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lastRenderedPageBreak/>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Malgun Gothic" w:hAnsi="Times New Roman" w:cs="Times New Roman"/>
                <w:sz w:val="18"/>
                <w:szCs w:val="18"/>
              </w:rPr>
            </w:pPr>
            <w:r w:rsidRPr="000C5E05">
              <w:rPr>
                <w:rFonts w:ascii="Times New Roman" w:hAnsi="Times New Roman" w:cs="Times New Roman"/>
                <w:sz w:val="18"/>
                <w:szCs w:val="18"/>
                <w:lang w:eastAsia="zh-CN"/>
              </w:rPr>
              <w:t xml:space="preserve">Proposal 2.2: Support, since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The note is related to RAN2’s decision on L1/L2-centric intercell mobility. Clarification from RAN2 is required. We suggest to put this bullet under FFS.</w:t>
            </w:r>
          </w:p>
          <w:p w14:paraId="24B660A2" w14:textId="1534C4D1" w:rsidR="003B64DA"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Malgun Gothic"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inthere: performance of data and control channels, reuse of the Rel17 TCI framework, etc.</w:t>
            </w:r>
          </w:p>
          <w:p w14:paraId="4A67A05B" w14:textId="4DD1C1AA" w:rsidR="00EC3023" w:rsidRPr="000C5E05" w:rsidRDefault="00EC3023" w:rsidP="004028B4">
            <w:pPr>
              <w:snapToGrid w:val="0"/>
              <w:jc w:val="both"/>
              <w:rPr>
                <w:rFonts w:ascii="Times New Roman" w:eastAsia="Malgun Gothic" w:hAnsi="Times New Roman" w:cs="Times New Roman"/>
                <w:sz w:val="18"/>
                <w:szCs w:val="18"/>
              </w:rPr>
            </w:pPr>
          </w:p>
          <w:p w14:paraId="02FF65A9" w14:textId="4648DA02" w:rsidR="0088096A" w:rsidRPr="000C5E05" w:rsidRDefault="0088096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Malgun Gothic"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lastRenderedPageBreak/>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Malgun Gothic" w:hAnsi="Times New Roman" w:cs="Times New Roman"/>
                <w:sz w:val="18"/>
                <w:szCs w:val="18"/>
              </w:rPr>
            </w:pPr>
          </w:p>
          <w:p w14:paraId="6A4B83A5" w14:textId="77777777" w:rsidR="004436B3" w:rsidRPr="000C5E05" w:rsidRDefault="004436B3" w:rsidP="004028B4">
            <w:pPr>
              <w:snapToGrid w:val="0"/>
              <w:jc w:val="both"/>
              <w:rPr>
                <w:rFonts w:ascii="Times New Roman" w:eastAsia="Malgun Gothic"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for L1/L2-centric inter-cell mobility and inter-cell mTRP</w:t>
            </w:r>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QCLed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Malgun Gothic" w:hAnsi="Times New Roman" w:cs="Times New Roman"/>
                <w:sz w:val="18"/>
                <w:szCs w:val="18"/>
              </w:rPr>
            </w:pPr>
            <w:r w:rsidRPr="000C5E05">
              <w:rPr>
                <w:rFonts w:ascii="Times New Roman" w:eastAsia="Malgun Gothic" w:hAnsi="Times New Roman" w:cs="Times New Roman"/>
                <w:sz w:val="18"/>
                <w:szCs w:val="18"/>
              </w:rPr>
              <w:t>Mod V</w:t>
            </w:r>
            <w:r w:rsidR="0064290F" w:rsidRPr="000C5E05">
              <w:rPr>
                <w:rFonts w:ascii="Times New Roman" w:eastAsia="Malgun Gothic" w:hAnsi="Times New Roman" w:cs="Times New Roman"/>
                <w:sz w:val="18"/>
                <w:szCs w:val="18"/>
              </w:rPr>
              <w:t>16/</w:t>
            </w:r>
            <w:r w:rsidRPr="000C5E05">
              <w:rPr>
                <w:rFonts w:ascii="Times New Roman" w:eastAsia="Malgun Gothic"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Malgun Gothic" w:hAnsi="Times New Roman" w:cs="Times New Roman"/>
                <w:b/>
                <w:color w:val="3333FF"/>
                <w:sz w:val="18"/>
                <w:szCs w:val="18"/>
              </w:rPr>
            </w:pPr>
            <w:r w:rsidRPr="000C5E05">
              <w:rPr>
                <w:rFonts w:ascii="Times New Roman" w:eastAsia="Malgun Gothic"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Malgun Gothic"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Malgun Gothic" w:hAnsi="Times New Roman" w:cs="Times New Roman"/>
                <w:b/>
                <w:sz w:val="18"/>
                <w:szCs w:val="18"/>
              </w:rPr>
            </w:pPr>
            <w:r w:rsidRPr="000C5E05">
              <w:rPr>
                <w:rFonts w:ascii="Times New Roman" w:eastAsia="Malgun Gothic"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Modified OptB: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B81F2A4" w:rsidR="005C5DC1"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OptA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CATT, CMCC, Ericsson, Fraunhofer IIS/HHI, Fujitsu, Futurewei, Huawei, HiSi, IDC, LG, MTK, NEC, NTT Docomo, OPPO (fine), Qualcomm, Samsung, Spreadtrum,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OptB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 xml:space="preserve">Support: </w:t>
            </w:r>
            <w:r w:rsidR="000352A3" w:rsidRPr="000C5E05">
              <w:rPr>
                <w:rFonts w:ascii="Times New Roman" w:hAnsi="Times New Roman" w:cs="Times New Roman"/>
                <w:sz w:val="18"/>
                <w:szCs w:val="18"/>
              </w:rPr>
              <w:t>Apple, Convida,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Modified OptB (with UE-capability on mixed activation):</w:t>
            </w:r>
          </w:p>
          <w:p w14:paraId="1B48B0AE" w14:textId="181BE8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r w:rsidR="006B1CAB">
              <w:rPr>
                <w:rFonts w:ascii="Times New Roman" w:eastAsia="DengXian" w:hAnsi="Times New Roman" w:cs="Times New Roman"/>
                <w:sz w:val="18"/>
                <w:szCs w:val="18"/>
                <w:lang w:eastAsia="zh-CN"/>
              </w:rPr>
              <w:t xml:space="preserve">Convida, </w:t>
            </w:r>
            <w:r w:rsidR="00092ED9">
              <w:rPr>
                <w:rFonts w:ascii="Times New Roman" w:eastAsia="DengXian" w:hAnsi="Times New Roman" w:cs="Times New Roman"/>
                <w:sz w:val="18"/>
                <w:szCs w:val="18"/>
                <w:lang w:eastAsia="zh-CN"/>
              </w:rPr>
              <w:t xml:space="preserve">Ericsson, </w:t>
            </w:r>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r w:rsidR="002D7A0F">
              <w:rPr>
                <w:rFonts w:ascii="Times New Roman" w:eastAsia="DengXian" w:hAnsi="Times New Roman" w:cs="Times New Roman"/>
                <w:sz w:val="18"/>
                <w:szCs w:val="18"/>
                <w:lang w:eastAsia="zh-CN"/>
              </w:rPr>
              <w:t xml:space="preserve">Nokia/NSB, </w:t>
            </w:r>
            <w:r w:rsidR="00F54C19" w:rsidRPr="000C5E05">
              <w:rPr>
                <w:rFonts w:ascii="Times New Roman" w:eastAsia="DengXian" w:hAnsi="Times New Roman" w:cs="Times New Roman"/>
                <w:sz w:val="18"/>
                <w:szCs w:val="18"/>
                <w:lang w:eastAsia="zh-CN"/>
              </w:rPr>
              <w:t xml:space="preserve">Qualcomm,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r w:rsidR="00403CF6" w:rsidRPr="000C5E05">
              <w:rPr>
                <w:rFonts w:ascii="Times New Roman" w:eastAsia="DengXian" w:hAnsi="Times New Roman" w:cs="Times New Roman"/>
                <w:sz w:val="18"/>
                <w:szCs w:val="18"/>
                <w:lang w:eastAsia="zh-CN"/>
              </w:rPr>
              <w:t>Spreadtrum,</w:t>
            </w:r>
            <w:r w:rsidR="00D37C90" w:rsidRPr="000C5E05">
              <w:rPr>
                <w:rFonts w:ascii="Times New Roman" w:eastAsia="DengXian" w:hAnsi="Times New Roman" w:cs="Times New Roman"/>
                <w:sz w:val="18"/>
                <w:szCs w:val="18"/>
                <w:lang w:eastAsia="zh-CN"/>
              </w:rPr>
              <w:t xml:space="preserve"> </w:t>
            </w:r>
            <w:r w:rsidR="00092ED9">
              <w:rPr>
                <w:rFonts w:ascii="Times New Roman" w:eastAsia="DengXian" w:hAnsi="Times New Roman" w:cs="Times New Roman"/>
                <w:sz w:val="18"/>
                <w:szCs w:val="18"/>
                <w:lang w:eastAsia="zh-CN"/>
              </w:rPr>
              <w:t xml:space="preserve">Xiaomi, </w:t>
            </w:r>
            <w:r w:rsidR="00D37C90" w:rsidRPr="000C5E05">
              <w:rPr>
                <w:rFonts w:ascii="Times New Roman" w:eastAsia="DengXian" w:hAnsi="Times New Roman" w:cs="Times New Roman"/>
                <w:sz w:val="18"/>
                <w:szCs w:val="18"/>
                <w:lang w:eastAsia="zh-CN"/>
              </w:rPr>
              <w:t>ZTE</w:t>
            </w:r>
          </w:p>
          <w:p w14:paraId="6A7F0BD2" w14:textId="037E7A59" w:rsidR="0064290F" w:rsidRPr="000C5E05" w:rsidRDefault="002D7A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Concern: </w:t>
            </w:r>
            <w:r w:rsidR="000352A3" w:rsidRPr="000C5E05">
              <w:rPr>
                <w:rFonts w:ascii="Times New Roman" w:eastAsia="DengXian" w:hAnsi="Times New Roman" w:cs="Times New Roman"/>
                <w:sz w:val="18"/>
                <w:szCs w:val="18"/>
                <w:lang w:eastAsia="zh-CN"/>
              </w:rPr>
              <w:t>Huawei/HiSi,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Opt B above: I do not like to see the additional capabilities mentioned in Opt B, but on the other hand I suppose this is the extra mile Option B is proposing w.r.t Option A, acknowledging that flexibility does not come for free. Another observations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[Mod: Thank you for your understanding]</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OptB.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r w:rsidRPr="004C0610">
              <w:rPr>
                <w:rFonts w:ascii="Times New Roman" w:eastAsia="PMingLiU" w:hAnsi="Times New Roman" w:cs="Times New Roman"/>
                <w:sz w:val="18"/>
                <w:szCs w:val="18"/>
                <w:lang w:eastAsia="zh-TW"/>
              </w:rPr>
              <w:t>HetNet</w:t>
            </w:r>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mTRP, but that has not been agreed, and we have doubt on the feasibility given the various new features introduced in R17. </w:t>
            </w:r>
          </w:p>
          <w:p w14:paraId="12DE93C8"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OptB, we are not sure whether it is a good idea to mix companies’ views on “support” and “ok”…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[Mod: We will do overall temp check again on OptA vs Modified OptB online.]</w:t>
            </w:r>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Similar to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So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Also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t xml:space="preserve">Simultaneous </w:t>
            </w:r>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lastRenderedPageBreak/>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 in an agreement. I moved the UE cap bullet outside. I suggest we postpone detailed proposals on UE cap until UE feature session for Rel-17 starts..]</w:t>
            </w:r>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We share a similar view with Huawei/Qualcomm that </w:t>
            </w:r>
            <w:r>
              <w:rPr>
                <w:rFonts w:ascii="Times New Roman" w:eastAsia="Malgun Gothic"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p>
          <w:p w14:paraId="5D44944E" w14:textId="77777777" w:rsidR="00EE39A5" w:rsidRPr="0078379C" w:rsidRDefault="00EE39A5" w:rsidP="00EE39A5">
            <w:pPr>
              <w:pStyle w:val="ListParagraph"/>
              <w:numPr>
                <w:ilvl w:val="0"/>
                <w:numId w:val="36"/>
              </w:numPr>
              <w:spacing w:before="100" w:beforeAutospacing="1" w:after="100" w:afterAutospacing="1"/>
              <w:rPr>
                <w:rFonts w:ascii="Times New Roman" w:hAnsi="Times New Roman" w:cs="Times New Roman"/>
                <w:sz w:val="18"/>
                <w:szCs w:val="18"/>
                <w:lang w:eastAsia="zh-CN"/>
              </w:rPr>
            </w:pPr>
            <w:r w:rsidRPr="0078379C">
              <w:rPr>
                <w:rFonts w:ascii="Times New Roman" w:hAnsi="Times New Roman" w:cs="Times New Roman"/>
                <w:sz w:val="18"/>
                <w:szCs w:val="18"/>
                <w:lang w:eastAsia="zh-CN"/>
              </w:rPr>
              <w:t>The usefulness of separate TCI is doubtful at this stage; thus we doubt the necessity to further complicate the design with mixed modes;</w:t>
            </w:r>
          </w:p>
          <w:p w14:paraId="14D79386" w14:textId="2AFA5B5D" w:rsidR="00EE39A5" w:rsidRPr="004630AF" w:rsidRDefault="00EE39A5" w:rsidP="00EE39A5">
            <w:pPr>
              <w:spacing w:before="100" w:beforeAutospacing="1" w:after="100" w:afterAutospacing="1"/>
              <w:rPr>
                <w:rFonts w:ascii="Times New Roman" w:eastAsia="PMingLiU" w:hAnsi="Times New Roman" w:cs="Times New Roman"/>
                <w:b/>
                <w:color w:val="3333FF"/>
                <w:sz w:val="18"/>
                <w:szCs w:val="18"/>
                <w:lang w:eastAsia="zh-TW"/>
              </w:rPr>
            </w:pPr>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Malgun Gothic"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ZTE’s proposal, we think it may already be part of the second last sub-bullet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OptA, we are still supporting separate TCI. On the matter of use cases, we have a strong use case for dynamic switching of joint to separate for load balancing in HetNets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mTRP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@LGE: Since Option B is superset of Option A, network is still free to use any configuration possible. UE complexity concerns should be addressed by the added UE capability (which is a compromise at the risk of making OptB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Malgun Gothic" w:hAnsi="Times New Roman" w:cs="Times New Roman"/>
                <w:sz w:val="18"/>
                <w:szCs w:val="18"/>
              </w:rPr>
            </w:pPr>
            <w:r>
              <w:rPr>
                <w:rFonts w:ascii="Times New Roman" w:hAnsi="Times New Roman" w:cs="Times New Roman"/>
                <w:sz w:val="18"/>
                <w:szCs w:val="18"/>
                <w:lang w:eastAsia="zh-CN"/>
              </w:rPr>
              <w:t xml:space="preserve">Overall, from Intel’s perspective, we still have strong concerns on OptA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first preference is Option A and in order for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OptB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state..</w:t>
            </w:r>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r w:rsidR="008B4A0F" w:rsidRPr="000C5E05" w14:paraId="14AF96FD"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6B142" w14:textId="65A91829" w:rsidR="008B4A0F" w:rsidRPr="007E579C" w:rsidRDefault="008B4A0F"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sz w:val="18"/>
                <w:szCs w:val="18"/>
                <w:lang w:eastAsia="zh-TW"/>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B1349" w14:textId="596DFE37" w:rsidR="008B4A0F" w:rsidRDefault="008B4A0F" w:rsidP="008B4A0F">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 with UE capability.</w:t>
            </w:r>
          </w:p>
        </w:tc>
      </w:tr>
      <w:tr w:rsidR="00225B58" w:rsidRPr="000C5E05" w14:paraId="3826209A"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B18F" w14:textId="19BE0939" w:rsidR="00225B58" w:rsidRPr="00225B58" w:rsidRDefault="00225B58" w:rsidP="00287865">
            <w:pPr>
              <w:snapToGrid w:val="0"/>
              <w:rPr>
                <w:rFonts w:ascii="Times New Roman" w:eastAsia="PMingLiU" w:hAnsi="Times New Roman" w:cs="Times New Roman"/>
                <w:sz w:val="18"/>
                <w:szCs w:val="18"/>
                <w:lang w:eastAsia="zh-TW"/>
              </w:rPr>
            </w:pPr>
            <w:r w:rsidRPr="007E579C">
              <w:rPr>
                <w:rFonts w:ascii="Times New Roman" w:eastAsia="PMingLiU" w:hAnsi="Times New Roman" w:cs="Times New Roman" w:hint="eastAsia"/>
                <w:sz w:val="18"/>
                <w:szCs w:val="18"/>
                <w:lang w:eastAsia="zh-TW"/>
              </w:rPr>
              <w:t>M</w:t>
            </w:r>
            <w:r>
              <w:rPr>
                <w:rFonts w:ascii="Times New Roman" w:eastAsia="PMingLiU" w:hAnsi="Times New Roman" w:cs="Times New Roman" w:hint="eastAsia"/>
                <w:sz w:val="18"/>
                <w:szCs w:val="18"/>
                <w:lang w:eastAsia="zh-TW"/>
              </w:rPr>
              <w:t>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2B6A8" w14:textId="52FBF231" w:rsidR="00225B58" w:rsidRDefault="00225B58" w:rsidP="008B4A0F">
            <w:pPr>
              <w:spacing w:before="100" w:beforeAutospacing="1" w:after="100" w:afterAutospacing="1"/>
              <w:rPr>
                <w:rFonts w:ascii="Times New Roman" w:hAnsi="Times New Roman" w:cs="Times New Roman"/>
                <w:sz w:val="18"/>
                <w:szCs w:val="18"/>
                <w:lang w:eastAsia="zh-CN"/>
              </w:rPr>
            </w:pPr>
          </w:p>
        </w:tc>
      </w:tr>
      <w:tr w:rsidR="005D05C4" w:rsidRPr="000C5E05" w14:paraId="04426C28"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0C25" w14:textId="71FD6FB5" w:rsidR="005D05C4" w:rsidRPr="007E579C" w:rsidRDefault="005D05C4" w:rsidP="005D05C4">
            <w:pPr>
              <w:snapToGrid w:val="0"/>
              <w:rPr>
                <w:rFonts w:ascii="Times New Roman" w:eastAsia="PMingLiU" w:hAnsi="Times New Roman" w:cs="Times New Roman"/>
                <w:sz w:val="18"/>
                <w:szCs w:val="18"/>
                <w:lang w:eastAsia="zh-TW"/>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C89F" w14:textId="22B36F36" w:rsidR="005D05C4" w:rsidRDefault="005D05C4"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fine with modified Option B.</w:t>
            </w:r>
          </w:p>
        </w:tc>
      </w:tr>
      <w:tr w:rsidR="00385DC7" w:rsidRPr="000C5E05" w14:paraId="7A2F7465"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8E7" w14:textId="3C6B96F7" w:rsidR="00385DC7" w:rsidRDefault="00385DC7" w:rsidP="005D05C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AA9F" w14:textId="6E792DD6" w:rsidR="00385DC7" w:rsidRDefault="00385DC7" w:rsidP="005D05C4">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For the progress, we </w:t>
            </w:r>
            <w:r w:rsidR="00B83646">
              <w:rPr>
                <w:rFonts w:ascii="Times New Roman" w:hAnsi="Times New Roman" w:cs="Times New Roman"/>
                <w:sz w:val="18"/>
                <w:szCs w:val="18"/>
                <w:lang w:eastAsia="zh-CN"/>
              </w:rPr>
              <w:t xml:space="preserve">can be also </w:t>
            </w:r>
            <w:r>
              <w:rPr>
                <w:rFonts w:ascii="Times New Roman" w:hAnsi="Times New Roman" w:cs="Times New Roman"/>
                <w:sz w:val="18"/>
                <w:szCs w:val="18"/>
                <w:lang w:eastAsia="zh-CN"/>
              </w:rPr>
              <w:t xml:space="preserve">fine with the modified Option B with the needed clarifications as in red of </w:t>
            </w:r>
            <w:r w:rsidR="00A17DF1">
              <w:rPr>
                <w:rFonts w:ascii="Times New Roman" w:hAnsi="Times New Roman" w:cs="Times New Roman"/>
                <w:sz w:val="18"/>
                <w:szCs w:val="18"/>
                <w:lang w:eastAsia="zh-CN"/>
              </w:rPr>
              <w:t>our</w:t>
            </w:r>
            <w:r>
              <w:rPr>
                <w:rFonts w:ascii="Times New Roman" w:hAnsi="Times New Roman" w:cs="Times New Roman"/>
                <w:sz w:val="18"/>
                <w:szCs w:val="18"/>
                <w:lang w:eastAsia="zh-CN"/>
              </w:rPr>
              <w:t xml:space="preserve"> previous comment. They can be FFS to save time. </w:t>
            </w:r>
          </w:p>
        </w:tc>
      </w:tr>
      <w:tr w:rsidR="004C68A4" w:rsidRPr="000C5E05" w14:paraId="47E5CC22" w14:textId="77777777" w:rsidTr="007E579C">
        <w:trPr>
          <w:trHeight w:val="251"/>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90BDB" w14:textId="04E4D75B" w:rsidR="004C68A4" w:rsidRDefault="004C68A4" w:rsidP="005D05C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V37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8CEE4" w14:textId="128A0BC1" w:rsidR="004C68A4" w:rsidRDefault="000B248A" w:rsidP="005D05C4">
            <w:pPr>
              <w:spacing w:before="100" w:beforeAutospacing="1" w:after="100" w:afterAutospacing="1"/>
              <w:rPr>
                <w:rFonts w:ascii="Times New Roman" w:hAnsi="Times New Roman" w:cs="Times New Roman"/>
                <w:sz w:val="18"/>
                <w:szCs w:val="18"/>
                <w:lang w:eastAsia="zh-CN"/>
              </w:rPr>
            </w:pPr>
            <w:r w:rsidRPr="000B248A">
              <w:rPr>
                <w:rFonts w:ascii="Times New Roman" w:hAnsi="Times New Roman" w:cs="Times New Roman"/>
                <w:b/>
                <w:color w:val="3333FF"/>
                <w:sz w:val="18"/>
                <w:szCs w:val="18"/>
                <w:lang w:eastAsia="zh-CN"/>
              </w:rPr>
              <w:t>Added FFS (high level) per Qualcomm’s input</w:t>
            </w:r>
            <w:r w:rsidRPr="000B248A">
              <w:rPr>
                <w:rFonts w:ascii="Times New Roman" w:hAnsi="Times New Roman" w:cs="Times New Roman"/>
                <w:color w:val="3333FF"/>
                <w:sz w:val="18"/>
                <w:szCs w:val="18"/>
                <w:lang w:eastAsia="zh-CN"/>
              </w:rPr>
              <w:t xml:space="preserve"> </w:t>
            </w:r>
            <w:r>
              <w:rPr>
                <w:rFonts w:ascii="Times New Roman" w:hAnsi="Times New Roman" w:cs="Times New Roman"/>
                <w:sz w:val="18"/>
                <w:szCs w:val="18"/>
                <w:lang w:eastAsia="zh-CN"/>
              </w:rPr>
              <w:t>(I can’t include all the text in red proposed by Qualcomm – it would generate endless discussion, sorry).</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324AACD" w14:textId="36E826CC" w:rsidR="000B248A" w:rsidRPr="000B248A" w:rsidRDefault="000B248A" w:rsidP="000B248A">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Support configuring a UE with two SRS resource sets having different numbers of ports for codebook -based UL transmission</w:t>
      </w:r>
    </w:p>
    <w:p w14:paraId="00B93525" w14:textId="77777777" w:rsidR="000B248A" w:rsidRPr="000B248A" w:rsidRDefault="000B248A" w:rsidP="000B248A">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Whether SRS resource set is indicated by gNB or SRS resource set is selected by UE and reported to gNB</w:t>
      </w:r>
    </w:p>
    <w:p w14:paraId="5C388888" w14:textId="77777777" w:rsidR="000B248A" w:rsidRPr="000B248A" w:rsidRDefault="000B248A" w:rsidP="000B248A">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Whether to support different SRS ports within a same SRS resource set if more than one SRS resources are configured in the set</w:t>
      </w:r>
    </w:p>
    <w:p w14:paraId="7FDABD2B" w14:textId="77777777" w:rsidR="000B248A" w:rsidRPr="000B248A" w:rsidRDefault="000B248A" w:rsidP="000B248A">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This can be applied to both single TRP and mTRP operations</w:t>
      </w:r>
    </w:p>
    <w:p w14:paraId="05981848" w14:textId="77777777" w:rsidR="000B248A" w:rsidRPr="000B248A" w:rsidRDefault="000B248A" w:rsidP="000B248A">
      <w:pPr>
        <w:pStyle w:val="ListParagraph"/>
        <w:numPr>
          <w:ilvl w:val="0"/>
          <w:numId w:val="38"/>
        </w:numPr>
        <w:snapToGrid w:val="0"/>
        <w:spacing w:after="0" w:line="240" w:lineRule="auto"/>
        <w:jc w:val="both"/>
        <w:rPr>
          <w:rFonts w:ascii="Times New Roman" w:hAnsi="Times New Roman" w:cs="Times New Roman"/>
          <w:sz w:val="20"/>
        </w:rPr>
      </w:pPr>
      <w:r w:rsidRPr="000B248A">
        <w:rPr>
          <w:rFonts w:ascii="Times New Roman" w:hAnsi="Times New Roman" w:cs="Times New Roman"/>
          <w:sz w:val="20"/>
        </w:rPr>
        <w:t>FFS: this can be applied to non-codebook-based UL transmission</w:t>
      </w:r>
    </w:p>
    <w:p w14:paraId="3F652963" w14:textId="7B6F4D0D" w:rsidR="00CC6A27" w:rsidRPr="000B248A" w:rsidRDefault="00CC6A27" w:rsidP="00CC6A27">
      <w:pPr>
        <w:rPr>
          <w:rFonts w:ascii="Times New Roman" w:hAnsi="Times New Roman" w:cs="Times New Roman"/>
          <w:sz w:val="20"/>
        </w:rPr>
      </w:pPr>
    </w:p>
    <w:p w14:paraId="77EBDCA3" w14:textId="77777777"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F4E808E"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sidR="000D571C">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sidR="00E82E01">
        <w:rPr>
          <w:rFonts w:ascii="Times New Roman" w:hAnsi="Times New Roman" w:cs="Times New Roman"/>
          <w:sz w:val="20"/>
        </w:rPr>
        <w:t>(</w:t>
      </w:r>
      <w:r w:rsidRPr="00CD6CCB">
        <w:rPr>
          <w:rFonts w:ascii="Times New Roman" w:hAnsi="Times New Roman" w:cs="Times New Roman"/>
          <w:sz w:val="20"/>
        </w:rPr>
        <w:t>or a modified version</w:t>
      </w:r>
      <w:r w:rsidR="00E82E01">
        <w:rPr>
          <w:rFonts w:ascii="Times New Roman" w:hAnsi="Times New Roman" w:cs="Times New Roman"/>
          <w:sz w:val="20"/>
        </w:rPr>
        <w:t>)</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01A6D488"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sidR="00A46262">
        <w:rPr>
          <w:rFonts w:ascii="Times New Roman" w:hAnsi="Times New Roman" w:cs="Times New Roman"/>
          <w:sz w:val="20"/>
        </w:rPr>
        <w:t>(</w:t>
      </w:r>
      <w:r w:rsidRPr="00CD6CCB">
        <w:rPr>
          <w:rFonts w:ascii="Times New Roman" w:hAnsi="Times New Roman" w:cs="Times New Roman"/>
          <w:sz w:val="20"/>
        </w:rPr>
        <w:t>or a modified version</w:t>
      </w:r>
      <w:r w:rsidR="00A46262">
        <w:rPr>
          <w:rFonts w:ascii="Times New Roman" w:hAnsi="Times New Roman" w:cs="Times New Roman"/>
          <w:sz w:val="20"/>
        </w:rPr>
        <w:t>)</w:t>
      </w:r>
      <w:r w:rsidRPr="00CD6CCB">
        <w:rPr>
          <w:rFonts w:ascii="Times New Roman" w:hAnsi="Times New Roman" w:cs="Times New Roman"/>
          <w:sz w:val="20"/>
        </w:rPr>
        <w:t xml:space="preserve"> </w:t>
      </w:r>
      <w:r w:rsidR="00A46262">
        <w:rPr>
          <w:rFonts w:ascii="Times New Roman" w:hAnsi="Times New Roman" w:cs="Times New Roman"/>
          <w:sz w:val="20"/>
        </w:rPr>
        <w:t xml:space="preserve"> is reported along with </w:t>
      </w:r>
      <w:r w:rsidRPr="00CD6CCB">
        <w:rPr>
          <w:rFonts w:ascii="Times New Roman" w:hAnsi="Times New Roman" w:cs="Times New Roman"/>
          <w:sz w:val="20"/>
        </w:rPr>
        <w:t>the SSBRI/CRI is reported</w:t>
      </w:r>
      <w:r w:rsidR="00A46262">
        <w:rPr>
          <w:rFonts w:ascii="Times New Roman" w:hAnsi="Times New Roman" w:cs="Times New Roman"/>
          <w:sz w:val="20"/>
        </w:rPr>
        <w:t xml:space="preserve"> or not</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lastRenderedPageBreak/>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sidR="00CD6CCB">
        <w:rPr>
          <w:rFonts w:ascii="Times New Roman" w:hAnsi="Times New Roman" w:cs="Times New Roman"/>
          <w:sz w:val="20"/>
        </w:rPr>
        <w:t xml:space="preserve"> for DL reception</w:t>
      </w:r>
    </w:p>
    <w:p w14:paraId="7D4B7463" w14:textId="5D343F62" w:rsidR="00707ACD"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p>
    <w:p w14:paraId="52BCEA95" w14:textId="78340C24"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sidR="001E00CA">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Opt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Opt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Support </w:t>
            </w:r>
            <w:r>
              <w:rPr>
                <w:rFonts w:ascii="Times New Roman" w:eastAsia="Malgun Gothic" w:hAnsi="Times New Roman" w:cs="Times New Roman"/>
                <w:sz w:val="18"/>
                <w:szCs w:val="18"/>
              </w:rPr>
              <w:t>P</w:t>
            </w:r>
            <w:r>
              <w:rPr>
                <w:rFonts w:ascii="Times New Roman" w:eastAsia="Malgun Gothic" w:hAnsi="Times New Roman" w:cs="Times New Roman" w:hint="eastAsia"/>
                <w:sz w:val="18"/>
                <w:szCs w:val="18"/>
              </w:rPr>
              <w:t>roposal</w:t>
            </w:r>
            <w:r>
              <w:rPr>
                <w:rFonts w:ascii="Times New Roman" w:eastAsia="Malgun Gothic" w:hAnsi="Times New Roman" w:cs="Times New Roman"/>
                <w:sz w:val="18"/>
                <w:szCs w:val="18"/>
              </w:rPr>
              <w:t xml:space="preserve"> 5.1 in principle</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Malgun Gothic"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concerns lies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he simplest scheme like Option1D is working well, current proposals preclude such simplest version;</w:t>
            </w:r>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ption2A complicates the issue with un-necessary enhancements and also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Malgun Gothic"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First of all, we think the following note should be removed, and we are herein to touch panel/beam-specific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Malgun Gothic"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t>Note:  The determination of power backoff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Malgun Gothic" w:hAnsi="Times New Roman" w:cs="Times New Roman"/>
                <w:sz w:val="18"/>
                <w:szCs w:val="18"/>
              </w:rPr>
            </w:pPr>
          </w:p>
          <w:p w14:paraId="738F9B7A" w14:textId="347BDB76" w:rsidR="001C4A87" w:rsidRDefault="001C4A87"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Then, on the following bullet in Opt2A-Alt2, it is a little bit confusing due to the fact that, when the gNB initializes this reporting, then the virtual PHR should be reported rather than up to UE. So, we suggest to remove it or at least mark it as FFS.</w:t>
            </w:r>
          </w:p>
          <w:p w14:paraId="674C9772" w14:textId="77777777" w:rsidR="001C4A87" w:rsidRDefault="001C4A87" w:rsidP="001C4A87">
            <w:pPr>
              <w:snapToGrid w:val="0"/>
              <w:jc w:val="both"/>
              <w:rPr>
                <w:rFonts w:ascii="Times New Roman" w:eastAsia="Malgun Gothic"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Malgun Gothic" w:hAnsi="Times New Roman" w:cs="Times New Roman"/>
                <w:sz w:val="18"/>
                <w:szCs w:val="18"/>
              </w:rPr>
            </w:pPr>
          </w:p>
          <w:p w14:paraId="30BF8DC8" w14:textId="77777777" w:rsidR="0033156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Malgun Gothic" w:hAnsi="Times New Roman" w:cs="Times New Roman"/>
                <w:sz w:val="18"/>
                <w:szCs w:val="18"/>
                <w:lang w:eastAsia="zh-CN"/>
              </w:rPr>
            </w:pPr>
            <w:r>
              <w:rPr>
                <w:rFonts w:ascii="Times New Roman" w:eastAsia="Malgun Gothic"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W</w:t>
            </w:r>
            <w:r>
              <w:rPr>
                <w:rFonts w:ascii="Times New Roman" w:eastAsia="Malgun Gothic" w:hAnsi="Times New Roman" w:cs="Times New Roman" w:hint="eastAsia"/>
                <w:sz w:val="18"/>
                <w:szCs w:val="18"/>
                <w:lang w:eastAsia="zh-CN"/>
              </w:rPr>
              <w:t xml:space="preserve">e </w:t>
            </w:r>
            <w:r w:rsidR="002C3D08">
              <w:rPr>
                <w:rFonts w:ascii="Times New Roman" w:eastAsia="Malgun Gothic" w:hAnsi="Times New Roman" w:cs="Times New Roman"/>
                <w:sz w:val="18"/>
                <w:szCs w:val="18"/>
                <w:lang w:eastAsia="zh-CN"/>
              </w:rPr>
              <w:t xml:space="preserve">are wondering why Option 1D </w:t>
            </w:r>
            <w:r w:rsidR="00C41BF1">
              <w:rPr>
                <w:rFonts w:ascii="Times New Roman" w:eastAsia="Malgun Gothic" w:hAnsi="Times New Roman" w:cs="Times New Roman"/>
                <w:sz w:val="18"/>
                <w:szCs w:val="18"/>
                <w:lang w:eastAsia="zh-CN"/>
              </w:rPr>
              <w:t xml:space="preserve">+ existed beam measurement report (or </w:t>
            </w:r>
            <w:r w:rsidR="001257D0">
              <w:rPr>
                <w:rFonts w:ascii="Times New Roman" w:eastAsia="Malgun Gothic" w:hAnsi="Times New Roman" w:cs="Times New Roman"/>
                <w:sz w:val="18"/>
                <w:szCs w:val="18"/>
                <w:lang w:eastAsia="zh-CN"/>
              </w:rPr>
              <w:t xml:space="preserve">enhanced </w:t>
            </w:r>
            <w:r w:rsidR="00C41BF1">
              <w:rPr>
                <w:rFonts w:ascii="Times New Roman" w:eastAsia="Malgun Gothic" w:hAnsi="Times New Roman" w:cs="Times New Roman"/>
                <w:sz w:val="18"/>
                <w:szCs w:val="18"/>
                <w:lang w:eastAsia="zh-CN"/>
              </w:rPr>
              <w:t xml:space="preserve">beam measurement report with panel ID) </w:t>
            </w:r>
            <w:r w:rsidR="002C3D08">
              <w:rPr>
                <w:rFonts w:ascii="Times New Roman" w:eastAsia="Malgun Gothic" w:hAnsi="Times New Roman" w:cs="Times New Roman"/>
                <w:sz w:val="18"/>
                <w:szCs w:val="18"/>
                <w:lang w:eastAsia="zh-CN"/>
              </w:rPr>
              <w:t>can’t work well?</w:t>
            </w:r>
            <w:r w:rsidR="00C41BF1">
              <w:rPr>
                <w:rFonts w:ascii="Times New Roman" w:eastAsia="Malgun Gothic" w:hAnsi="Times New Roman" w:cs="Times New Roman"/>
                <w:sz w:val="18"/>
                <w:szCs w:val="18"/>
                <w:lang w:eastAsia="zh-CN"/>
              </w:rPr>
              <w:t xml:space="preserve"> Is </w:t>
            </w:r>
            <w:r w:rsidR="001257D0">
              <w:rPr>
                <w:rFonts w:ascii="Times New Roman" w:eastAsia="Malgun Gothic" w:hAnsi="Times New Roman" w:cs="Times New Roman"/>
                <w:sz w:val="18"/>
                <w:szCs w:val="18"/>
                <w:lang w:eastAsia="zh-CN"/>
              </w:rPr>
              <w:t>it because</w:t>
            </w:r>
            <w:r w:rsidR="00C41BF1">
              <w:rPr>
                <w:rFonts w:ascii="Times New Roman" w:eastAsia="Malgun Gothic" w:hAnsi="Times New Roman" w:cs="Times New Roman"/>
                <w:sz w:val="18"/>
                <w:szCs w:val="18"/>
                <w:lang w:eastAsia="zh-CN"/>
              </w:rPr>
              <w:t xml:space="preserve"> </w:t>
            </w:r>
            <w:r w:rsidR="001257D0">
              <w:rPr>
                <w:rFonts w:ascii="Times New Roman" w:eastAsia="Malgun Gothic" w:hAnsi="Times New Roman" w:cs="Times New Roman"/>
                <w:sz w:val="18"/>
                <w:szCs w:val="18"/>
                <w:lang w:eastAsia="zh-CN"/>
              </w:rPr>
              <w:t>of</w:t>
            </w:r>
            <w:r w:rsidR="00C41BF1">
              <w:rPr>
                <w:rFonts w:ascii="Times New Roman" w:eastAsia="Malgun Gothic" w:hAnsi="Times New Roman" w:cs="Times New Roman"/>
                <w:sz w:val="18"/>
                <w:szCs w:val="18"/>
                <w:lang w:eastAsia="zh-CN"/>
              </w:rPr>
              <w:t xml:space="preserve"> some error introduced by </w:t>
            </w:r>
            <w:r w:rsidR="00C329CF" w:rsidRPr="00C329CF">
              <w:rPr>
                <w:rFonts w:ascii="Times New Roman" w:eastAsia="Malgun Gothic" w:hAnsi="Times New Roman" w:cs="Times New Roman"/>
                <w:sz w:val="18"/>
                <w:szCs w:val="18"/>
                <w:lang w:eastAsia="zh-CN"/>
              </w:rPr>
              <w:t>quantization</w:t>
            </w:r>
            <w:r w:rsidR="00C329CF">
              <w:rPr>
                <w:rFonts w:ascii="Times New Roman" w:eastAsia="Malgun Gothic" w:hAnsi="Times New Roman" w:cs="Times New Roman"/>
                <w:sz w:val="18"/>
                <w:szCs w:val="18"/>
                <w:lang w:eastAsia="zh-CN"/>
              </w:rPr>
              <w:t xml:space="preserve"> of P-MPR (with only 2bits)</w:t>
            </w:r>
            <w:r w:rsidR="001257D0">
              <w:rPr>
                <w:rFonts w:ascii="Times New Roman" w:eastAsia="Malgun Gothic" w:hAnsi="Times New Roman" w:cs="Times New Roman"/>
                <w:sz w:val="18"/>
                <w:szCs w:val="18"/>
                <w:lang w:eastAsia="zh-CN"/>
              </w:rPr>
              <w:t>?</w:t>
            </w:r>
            <w:r w:rsidR="002C3D08">
              <w:rPr>
                <w:rFonts w:ascii="Times New Roman" w:eastAsia="Malgun Gothic" w:hAnsi="Times New Roman" w:cs="Times New Roman"/>
                <w:sz w:val="18"/>
                <w:szCs w:val="18"/>
                <w:lang w:eastAsia="zh-CN"/>
              </w:rPr>
              <w:t xml:space="preserve"> </w:t>
            </w:r>
            <w:r w:rsidR="00FB681B">
              <w:rPr>
                <w:rFonts w:ascii="Times New Roman" w:eastAsia="Malgun Gothic"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Malgun Gothic" w:hAnsi="Times New Roman" w:cs="Times New Roman"/>
                <w:sz w:val="18"/>
                <w:szCs w:val="18"/>
                <w:lang w:eastAsia="zh-CN"/>
              </w:rPr>
            </w:pPr>
          </w:p>
          <w:p w14:paraId="6B463E44" w14:textId="1F34263F" w:rsidR="001A37C2" w:rsidRDefault="001A37C2" w:rsidP="008512C3">
            <w:pPr>
              <w:snapToGrid w:val="0"/>
              <w:jc w:val="both"/>
              <w:rPr>
                <w:rFonts w:ascii="Times New Roman" w:eastAsia="Malgun Gothic" w:hAnsi="Times New Roman" w:cs="Times New Roman"/>
                <w:sz w:val="18"/>
                <w:szCs w:val="18"/>
                <w:lang w:eastAsia="zh-CN"/>
              </w:rPr>
            </w:pPr>
            <w:r>
              <w:rPr>
                <w:rFonts w:ascii="Times New Roman" w:eastAsia="Malgun Gothic" w:hAnsi="Times New Roman" w:cs="Times New Roman"/>
                <w:sz w:val="18"/>
                <w:szCs w:val="18"/>
                <w:lang w:eastAsia="zh-CN"/>
              </w:rPr>
              <w:t>In addition, what is the motivation for “DL reception” in Alt 2 and Alt 3 of Option 2A?</w:t>
            </w:r>
            <w:r w:rsidR="008512C3">
              <w:rPr>
                <w:rFonts w:ascii="Times New Roman" w:eastAsia="Malgun Gothic"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Malgun Gothic" w:hAnsi="Times New Roman" w:cs="Times New Roman"/>
                <w:sz w:val="18"/>
                <w:szCs w:val="18"/>
                <w:lang w:eastAsia="zh-CN"/>
              </w:rPr>
            </w:pPr>
            <w:r w:rsidRPr="001A1373">
              <w:rPr>
                <w:rFonts w:ascii="Times New Roman" w:eastAsia="Malgun Gothic" w:hAnsi="Times New Roman" w:cs="Times New Roman" w:hint="eastAsia"/>
                <w:sz w:val="18"/>
                <w:szCs w:val="18"/>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Malgun Gothic"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r>
              <w:rPr>
                <w:rFonts w:ascii="Times New Roman" w:hAnsi="Times New Roman" w:cs="Times New Roman"/>
                <w:sz w:val="18"/>
                <w:szCs w:val="18"/>
                <w:lang w:eastAsia="zh-CN"/>
              </w:rPr>
              <w:t>Spreadtrum</w:t>
            </w:r>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Huawei: As soon as we introduce a new measurement, we should inform RAN4. But none of the proposals here involve any new measurement, just combining existing measurements. There is thus no need to send any LS to RAN4 at this point in time.</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backoff is meant to capture that </w:t>
            </w:r>
            <w:r w:rsidR="006A38F8">
              <w:rPr>
                <w:rFonts w:ascii="Times New Roman" w:hAnsi="Times New Roman" w:cs="Times New Roman"/>
                <w:sz w:val="18"/>
                <w:szCs w:val="18"/>
                <w:lang w:eastAsia="zh-CN"/>
              </w:rPr>
              <w:t>opt2A does not require any different measurement compared to 1a/1d, since that complicates design. We can make the note a subbullet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Malgun Gothic" w:hAnsi="Times New Roman" w:cs="Times New Roman"/>
                <w:sz w:val="18"/>
                <w:szCs w:val="18"/>
              </w:rPr>
            </w:pPr>
            <w:r w:rsidRPr="00F24BC3">
              <w:rPr>
                <w:rFonts w:ascii="Times New Roman" w:eastAsia="Malgun Gothic"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Malgun Gothic"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Malgun Gothic"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Malgun Gothic"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Malgun Gothic"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5DE729E7" w:rsidR="00F24BC3" w:rsidRDefault="004B028E"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[Mod: I think it’s the first]</w:t>
            </w:r>
          </w:p>
        </w:tc>
      </w:tr>
      <w:tr w:rsidR="00225B58" w:rsidRPr="000C5E05" w14:paraId="55663F31"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38C7" w14:textId="26873677" w:rsidR="00225B58" w:rsidRDefault="00225B58" w:rsidP="00287865">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4319" w14:textId="00BB866E" w:rsidR="007E579C" w:rsidRDefault="00225B58"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We support the modified note suggested by </w:t>
            </w:r>
            <w:r w:rsidRPr="00225B58">
              <w:rPr>
                <w:rFonts w:ascii="Times New Roman" w:eastAsia="Malgun Gothic" w:hAnsi="Times New Roman" w:cs="Times New Roman" w:hint="eastAsia"/>
                <w:sz w:val="18"/>
                <w:szCs w:val="18"/>
              </w:rPr>
              <w:t>Ericsson</w:t>
            </w:r>
            <w:r>
              <w:rPr>
                <w:rFonts w:ascii="Times New Roman" w:eastAsia="Malgun Gothic" w:hAnsi="Times New Roman" w:cs="Times New Roman"/>
                <w:sz w:val="18"/>
                <w:szCs w:val="18"/>
              </w:rPr>
              <w:t>, which ensure</w:t>
            </w:r>
            <w:r w:rsidR="003154ED">
              <w:rPr>
                <w:rFonts w:ascii="Times New Roman" w:eastAsia="Malgun Gothic" w:hAnsi="Times New Roman" w:cs="Times New Roman"/>
                <w:sz w:val="18"/>
                <w:szCs w:val="18"/>
              </w:rPr>
              <w:t>s</w:t>
            </w:r>
            <w:r>
              <w:rPr>
                <w:rFonts w:ascii="Times New Roman" w:eastAsia="Malgun Gothic" w:hAnsi="Times New Roman" w:cs="Times New Roman"/>
                <w:sz w:val="18"/>
                <w:szCs w:val="18"/>
              </w:rPr>
              <w:t xml:space="preserve"> that UE complexity/power consumption for calculating power back-off is the same </w:t>
            </w:r>
            <w:r w:rsidR="003154ED">
              <w:rPr>
                <w:rFonts w:ascii="Times New Roman" w:eastAsia="Malgun Gothic" w:hAnsi="Times New Roman" w:cs="Times New Roman"/>
                <w:sz w:val="18"/>
                <w:szCs w:val="18"/>
              </w:rPr>
              <w:t>for</w:t>
            </w:r>
            <w:r>
              <w:rPr>
                <w:rFonts w:ascii="Times New Roman" w:eastAsia="Malgun Gothic" w:hAnsi="Times New Roman" w:cs="Times New Roman"/>
                <w:sz w:val="18"/>
                <w:szCs w:val="18"/>
              </w:rPr>
              <w:t xml:space="preserve"> Opt1A and Opt2A.</w:t>
            </w:r>
          </w:p>
          <w:p w14:paraId="252F603E" w14:textId="77777777" w:rsidR="003154ED" w:rsidRDefault="003154ED" w:rsidP="00287865">
            <w:pPr>
              <w:snapToGrid w:val="0"/>
              <w:jc w:val="both"/>
              <w:rPr>
                <w:rFonts w:ascii="Times New Roman" w:eastAsia="Malgun Gothic" w:hAnsi="Times New Roman" w:cs="Times New Roman"/>
                <w:sz w:val="18"/>
                <w:szCs w:val="18"/>
              </w:rPr>
            </w:pPr>
          </w:p>
          <w:p w14:paraId="3CCE34C7" w14:textId="1BA54E30" w:rsidR="003154ED" w:rsidRDefault="007E579C" w:rsidP="002878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 xml:space="preserve">On Opt1A, we are also confused what exactly reporting contents will be carried along with P-MPR reporting. </w:t>
            </w:r>
          </w:p>
          <w:p w14:paraId="2966FC7D" w14:textId="77777777" w:rsidR="003154ED" w:rsidRDefault="003154ED" w:rsidP="00287865">
            <w:pPr>
              <w:snapToGrid w:val="0"/>
              <w:jc w:val="both"/>
              <w:rPr>
                <w:rFonts w:ascii="Times New Roman" w:eastAsia="Malgun Gothic" w:hAnsi="Times New Roman" w:cs="Times New Roman"/>
                <w:sz w:val="18"/>
                <w:szCs w:val="18"/>
              </w:rPr>
            </w:pPr>
          </w:p>
          <w:p w14:paraId="2FB2937B" w14:textId="176A4182" w:rsidR="003154ED" w:rsidRDefault="003154ED" w:rsidP="00287865">
            <w:pPr>
              <w:snapToGrid w:val="0"/>
              <w:jc w:val="both"/>
              <w:rPr>
                <w:rFonts w:ascii="Times New Roman" w:eastAsia="Malgun Gothic" w:hAnsi="Times New Roman" w:cs="Times New Roman"/>
                <w:sz w:val="18"/>
                <w:szCs w:val="18"/>
                <w:lang w:eastAsia="zh-TW"/>
              </w:rPr>
            </w:pPr>
            <w:r>
              <w:rPr>
                <w:rFonts w:ascii="Times New Roman" w:eastAsia="Malgun Gothic" w:hAnsi="Times New Roman" w:cs="Times New Roman"/>
                <w:sz w:val="18"/>
                <w:szCs w:val="18"/>
                <w:lang w:eastAsia="zh-TW"/>
              </w:rPr>
              <w:t xml:space="preserve">Re ZTE, the wording of the sub-bullet in </w:t>
            </w:r>
            <w:r w:rsidRPr="003154ED">
              <w:rPr>
                <w:rFonts w:ascii="Times New Roman" w:eastAsia="Malgun Gothic" w:hAnsi="Times New Roman" w:cs="Times New Roman"/>
                <w:sz w:val="18"/>
                <w:szCs w:val="18"/>
                <w:lang w:eastAsia="zh-TW"/>
              </w:rPr>
              <w:t>Opt2A-Alt2</w:t>
            </w:r>
            <w:r>
              <w:rPr>
                <w:rFonts w:ascii="Times New Roman" w:eastAsia="Malgun Gothic" w:hAnsi="Times New Roman" w:cs="Times New Roman"/>
                <w:sz w:val="18"/>
                <w:szCs w:val="18"/>
                <w:lang w:eastAsia="zh-TW"/>
              </w:rPr>
              <w:t xml:space="preserve"> can </w:t>
            </w:r>
            <w:r w:rsidR="00211566">
              <w:rPr>
                <w:rFonts w:ascii="Times New Roman" w:eastAsia="Malgun Gothic" w:hAnsi="Times New Roman" w:cs="Times New Roman"/>
                <w:sz w:val="18"/>
                <w:szCs w:val="18"/>
                <w:lang w:eastAsia="zh-TW"/>
              </w:rPr>
              <w:t xml:space="preserve">be </w:t>
            </w:r>
            <w:r>
              <w:rPr>
                <w:rFonts w:ascii="Times New Roman" w:eastAsia="Malgun Gothic" w:hAnsi="Times New Roman" w:cs="Times New Roman"/>
                <w:sz w:val="18"/>
                <w:szCs w:val="18"/>
                <w:lang w:eastAsia="zh-TW"/>
              </w:rPr>
              <w:t xml:space="preserve">modified as follows to avoid </w:t>
            </w:r>
            <w:r w:rsidR="00026E7E">
              <w:rPr>
                <w:rFonts w:ascii="Times New Roman" w:eastAsia="Malgun Gothic" w:hAnsi="Times New Roman" w:cs="Times New Roman"/>
                <w:sz w:val="18"/>
                <w:szCs w:val="18"/>
                <w:lang w:eastAsia="zh-TW"/>
              </w:rPr>
              <w:t xml:space="preserve">your </w:t>
            </w:r>
            <w:r w:rsidR="00211566">
              <w:rPr>
                <w:rFonts w:ascii="Times New Roman" w:eastAsia="Malgun Gothic" w:hAnsi="Times New Roman" w:cs="Times New Roman"/>
                <w:sz w:val="18"/>
                <w:szCs w:val="18"/>
                <w:lang w:eastAsia="zh-TW"/>
              </w:rPr>
              <w:t>confusion</w:t>
            </w:r>
            <w:r>
              <w:rPr>
                <w:rFonts w:ascii="Times New Roman" w:eastAsia="Malgun Gothic" w:hAnsi="Times New Roman" w:cs="Times New Roman"/>
                <w:sz w:val="18"/>
                <w:szCs w:val="18"/>
                <w:lang w:eastAsia="zh-TW"/>
              </w:rPr>
              <w:t>.</w:t>
            </w:r>
          </w:p>
          <w:p w14:paraId="6F115DC0" w14:textId="32F331A5" w:rsidR="003154ED" w:rsidRPr="00211566" w:rsidRDefault="003154ED" w:rsidP="00211566">
            <w:pPr>
              <w:numPr>
                <w:ilvl w:val="0"/>
                <w:numId w:val="32"/>
              </w:numPr>
              <w:snapToGrid w:val="0"/>
              <w:jc w:val="both"/>
              <w:rPr>
                <w:rFonts w:ascii="Times New Roman" w:hAnsi="Times New Roman" w:cs="Times New Roman"/>
                <w:color w:val="000000" w:themeColor="text1"/>
                <w:sz w:val="20"/>
              </w:rPr>
            </w:pPr>
            <w:r w:rsidRPr="00211566">
              <w:rPr>
                <w:rFonts w:ascii="Times New Roman" w:hAnsi="Times New Roman" w:cs="Times New Roman"/>
                <w:color w:val="000000" w:themeColor="text1"/>
                <w:sz w:val="20"/>
              </w:rPr>
              <w:t xml:space="preserve">For each reported SSBRI/CRI, UE determines whether virtual PHR </w:t>
            </w:r>
            <w:r w:rsidRPr="007E579C">
              <w:rPr>
                <w:rFonts w:ascii="Times New Roman" w:hAnsi="Times New Roman" w:cs="Times New Roman"/>
                <w:color w:val="FF0000"/>
                <w:sz w:val="20"/>
              </w:rPr>
              <w:t>(</w:t>
            </w:r>
            <w:r w:rsidRPr="00211566">
              <w:rPr>
                <w:rFonts w:ascii="Times New Roman" w:hAnsi="Times New Roman" w:cs="Times New Roman"/>
                <w:color w:val="000000" w:themeColor="text1"/>
                <w:sz w:val="20"/>
              </w:rPr>
              <w:t>or a modified version</w:t>
            </w:r>
            <w:r w:rsidRPr="007E579C">
              <w:rPr>
                <w:rFonts w:ascii="Times New Roman" w:hAnsi="Times New Roman" w:cs="Times New Roman"/>
                <w:color w:val="FF0000"/>
                <w:sz w:val="20"/>
              </w:rPr>
              <w:t xml:space="preserve">) </w:t>
            </w:r>
            <w:r w:rsidRPr="00211566">
              <w:rPr>
                <w:rFonts w:ascii="Times New Roman" w:hAnsi="Times New Roman" w:cs="Times New Roman"/>
                <w:strike/>
                <w:color w:val="FF0000"/>
                <w:sz w:val="20"/>
              </w:rPr>
              <w:t>associated with the SSBRI/CRI</w:t>
            </w:r>
            <w:r w:rsidRPr="00211566">
              <w:rPr>
                <w:rFonts w:ascii="Times New Roman" w:hAnsi="Times New Roman" w:cs="Times New Roman"/>
                <w:color w:val="000000" w:themeColor="text1"/>
                <w:sz w:val="20"/>
              </w:rPr>
              <w:t xml:space="preserve"> </w:t>
            </w:r>
            <w:r w:rsidRPr="00211566">
              <w:rPr>
                <w:rFonts w:ascii="Times New Roman" w:hAnsi="Times New Roman" w:cs="Times New Roman"/>
                <w:color w:val="FF0000"/>
                <w:sz w:val="20"/>
              </w:rPr>
              <w:t>is reported</w:t>
            </w:r>
            <w:r w:rsidR="00211566" w:rsidRPr="00211566">
              <w:rPr>
                <w:rFonts w:ascii="Times New Roman" w:hAnsi="Times New Roman" w:cs="Times New Roman"/>
                <w:color w:val="FF0000"/>
                <w:sz w:val="20"/>
              </w:rPr>
              <w:t xml:space="preserve"> along with the </w:t>
            </w:r>
            <w:r w:rsidR="00211566" w:rsidRPr="00211566">
              <w:rPr>
                <w:rFonts w:ascii="Times New Roman" w:hAnsi="Times New Roman" w:cs="Times New Roman"/>
                <w:color w:val="000000" w:themeColor="text1"/>
                <w:sz w:val="20"/>
              </w:rPr>
              <w:t>SSBRI/CRI</w:t>
            </w:r>
            <w:r w:rsidR="00211566">
              <w:rPr>
                <w:rFonts w:ascii="Times New Roman" w:hAnsi="Times New Roman" w:cs="Times New Roman"/>
                <w:color w:val="000000" w:themeColor="text1"/>
                <w:sz w:val="20"/>
              </w:rPr>
              <w:t xml:space="preserve"> </w:t>
            </w:r>
            <w:r w:rsidR="00211566" w:rsidRPr="00211566">
              <w:rPr>
                <w:rFonts w:ascii="Times New Roman" w:hAnsi="Times New Roman" w:cs="Times New Roman"/>
                <w:color w:val="FF0000"/>
                <w:sz w:val="20"/>
              </w:rPr>
              <w:t>or not</w:t>
            </w:r>
          </w:p>
          <w:p w14:paraId="5B1F289F" w14:textId="67664E45" w:rsidR="00211566" w:rsidRPr="00F24BC3" w:rsidRDefault="00211566" w:rsidP="00211566">
            <w:pPr>
              <w:snapToGrid w:val="0"/>
              <w:jc w:val="both"/>
              <w:rPr>
                <w:rFonts w:ascii="Times New Roman" w:eastAsia="Malgun Gothic" w:hAnsi="Times New Roman" w:cs="Times New Roman"/>
                <w:sz w:val="18"/>
                <w:szCs w:val="18"/>
                <w:lang w:eastAsia="zh-TW"/>
              </w:rPr>
            </w:pPr>
          </w:p>
        </w:tc>
      </w:tr>
      <w:tr w:rsidR="005D05C4" w:rsidRPr="000C5E05" w14:paraId="001713D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A223" w14:textId="4A997C6F" w:rsidR="005D05C4" w:rsidRDefault="005D05C4"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7FB79" w14:textId="7D479B57" w:rsidR="005D05C4" w:rsidRDefault="005D05C4"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We are fine with proposal 5.1</w:t>
            </w:r>
          </w:p>
        </w:tc>
      </w:tr>
      <w:tr w:rsidR="0053204F" w:rsidRPr="000C5E05" w14:paraId="3A8FEA4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8" w14:textId="4853F0C1" w:rsidR="0053204F" w:rsidRDefault="0053204F"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6F06" w14:textId="3BDDB8D6" w:rsidR="0053204F" w:rsidRDefault="0053204F" w:rsidP="005D05C4">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Fine for the new FFS</w:t>
            </w:r>
          </w:p>
        </w:tc>
      </w:tr>
      <w:tr w:rsidR="00F72B3F" w:rsidRPr="000C5E05" w14:paraId="064C494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C936" w14:textId="63674EE5" w:rsidR="00F72B3F" w:rsidRDefault="00F72B3F" w:rsidP="005D05C4">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Mod V37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CEC91" w14:textId="2192CC71" w:rsidR="00F72B3F" w:rsidRPr="00631AF4" w:rsidRDefault="00F72B3F" w:rsidP="005D05C4">
            <w:pPr>
              <w:snapToGrid w:val="0"/>
              <w:jc w:val="both"/>
              <w:rPr>
                <w:rFonts w:ascii="Times New Roman" w:eastAsia="Malgun Gothic" w:hAnsi="Times New Roman" w:cs="Times New Roman"/>
                <w:b/>
                <w:sz w:val="18"/>
                <w:szCs w:val="18"/>
              </w:rPr>
            </w:pPr>
            <w:r w:rsidRPr="00631AF4">
              <w:rPr>
                <w:rFonts w:ascii="Times New Roman" w:eastAsia="Malgun Gothic" w:hAnsi="Times New Roman" w:cs="Times New Roman"/>
                <w:b/>
                <w:color w:val="3333FF"/>
                <w:sz w:val="18"/>
                <w:szCs w:val="18"/>
              </w:rPr>
              <w:t xml:space="preserve">Revised per inputs </w:t>
            </w: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 xml:space="preserve">Support/fine: Apple, AT&amp;T, CATT, Ericsson, Intel, [Lenovo/MoM], LG, NTT Docomo, </w:t>
      </w:r>
      <w:r w:rsidRPr="00DF7734">
        <w:rPr>
          <w:rFonts w:ascii="Times New Roman" w:hAnsi="Times New Roman" w:cs="Times New Roman"/>
          <w:sz w:val="20"/>
          <w:szCs w:val="20"/>
        </w:rPr>
        <w:t>OPPO</w:t>
      </w:r>
      <w:r w:rsidRPr="00DF7734">
        <w:rPr>
          <w:rFonts w:ascii="Times New Roman" w:hAnsi="Times New Roman" w:cs="Times New Roman"/>
          <w:sz w:val="20"/>
          <w:szCs w:val="20"/>
        </w:rPr>
        <w:t>,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Modified </w:t>
      </w:r>
      <w:r w:rsidRPr="00DF7734">
        <w:rPr>
          <w:rFonts w:ascii="Times New Roman" w:eastAsia="DengXian" w:hAnsi="Times New Roman" w:cs="Times New Roman"/>
          <w:sz w:val="20"/>
          <w:szCs w:val="20"/>
          <w:lang w:eastAsia="zh-CN"/>
        </w:rPr>
        <w:t xml:space="preserve">3.3 – Modified </w:t>
      </w:r>
      <w:r w:rsidRPr="00DF7734">
        <w:rPr>
          <w:rFonts w:ascii="Times New Roman" w:eastAsia="DengXian" w:hAnsi="Times New Roman" w:cs="Times New Roman"/>
          <w:sz w:val="20"/>
          <w:szCs w:val="20"/>
          <w:lang w:eastAsia="zh-CN"/>
        </w:rPr>
        <w:t>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EAAF5" w14:textId="77777777" w:rsidR="008D1F79" w:rsidRDefault="008D1F79">
      <w:r>
        <w:separator/>
      </w:r>
    </w:p>
  </w:endnote>
  <w:endnote w:type="continuationSeparator" w:id="0">
    <w:p w14:paraId="7D4564DF" w14:textId="77777777" w:rsidR="008D1F79" w:rsidRDefault="008D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33CF" w14:textId="77777777" w:rsidR="008D1F79" w:rsidRDefault="008D1F79">
      <w:r>
        <w:rPr>
          <w:color w:val="000000"/>
        </w:rPr>
        <w:separator/>
      </w:r>
    </w:p>
  </w:footnote>
  <w:footnote w:type="continuationSeparator" w:id="0">
    <w:p w14:paraId="25F55D2E" w14:textId="77777777" w:rsidR="008D1F79" w:rsidRDefault="008D1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0"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3"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2"/>
  </w:num>
  <w:num w:numId="4">
    <w:abstractNumId w:val="14"/>
  </w:num>
  <w:num w:numId="5">
    <w:abstractNumId w:val="25"/>
  </w:num>
  <w:num w:numId="6">
    <w:abstractNumId w:val="35"/>
  </w:num>
  <w:num w:numId="7">
    <w:abstractNumId w:val="6"/>
  </w:num>
  <w:num w:numId="8">
    <w:abstractNumId w:val="21"/>
  </w:num>
  <w:num w:numId="9">
    <w:abstractNumId w:val="26"/>
  </w:num>
  <w:num w:numId="10">
    <w:abstractNumId w:val="8"/>
  </w:num>
  <w:num w:numId="11">
    <w:abstractNumId w:val="18"/>
  </w:num>
  <w:num w:numId="12">
    <w:abstractNumId w:val="31"/>
  </w:num>
  <w:num w:numId="13">
    <w:abstractNumId w:val="26"/>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4"/>
  </w:num>
  <w:num w:numId="21">
    <w:abstractNumId w:val="22"/>
  </w:num>
  <w:num w:numId="22">
    <w:abstractNumId w:val="23"/>
  </w:num>
  <w:num w:numId="23">
    <w:abstractNumId w:val="19"/>
  </w:num>
  <w:num w:numId="24">
    <w:abstractNumId w:val="31"/>
  </w:num>
  <w:num w:numId="25">
    <w:abstractNumId w:val="28"/>
  </w:num>
  <w:num w:numId="26">
    <w:abstractNumId w:val="20"/>
  </w:num>
  <w:num w:numId="27">
    <w:abstractNumId w:val="3"/>
  </w:num>
  <w:num w:numId="28">
    <w:abstractNumId w:val="36"/>
  </w:num>
  <w:num w:numId="29">
    <w:abstractNumId w:val="9"/>
  </w:num>
  <w:num w:numId="30">
    <w:abstractNumId w:val="33"/>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30"/>
  </w:num>
  <w:num w:numId="38">
    <w:abstractNumId w:val="17"/>
  </w:num>
  <w:num w:numId="39">
    <w:abstractNumId w:val="12"/>
    <w:lvlOverride w:ilvl="0"/>
    <w:lvlOverride w:ilvl="1"/>
    <w:lvlOverride w:ilvl="2"/>
    <w:lvlOverride w:ilvl="3"/>
    <w:lvlOverride w:ilvl="4"/>
    <w:lvlOverride w:ilvl="5"/>
    <w:lvlOverride w:ilvl="6"/>
    <w:lvlOverride w:ilvl="7"/>
    <w:lvlOverride w:ilvl="8"/>
  </w:num>
  <w:num w:numId="40">
    <w:abstractNumId w:val="8"/>
    <w:lvlOverride w:ilvl="0"/>
    <w:lvlOverride w:ilvl="1"/>
    <w:lvlOverride w:ilvl="2"/>
    <w:lvlOverride w:ilvl="3"/>
    <w:lvlOverride w:ilvl="4"/>
    <w:lvlOverride w:ilvl="5"/>
    <w:lvlOverride w:ilvl="6"/>
    <w:lvlOverride w:ilvl="7"/>
    <w:lvlOverride w:ilvl="8"/>
  </w:num>
  <w:num w:numId="41">
    <w:abstractNumId w:val="4"/>
    <w:lvlOverride w:ilvl="0"/>
    <w:lvlOverride w:ilvl="1"/>
    <w:lvlOverride w:ilvl="2"/>
    <w:lvlOverride w:ilvl="3"/>
    <w:lvlOverride w:ilvl="4"/>
    <w:lvlOverride w:ilvl="5"/>
    <w:lvlOverride w:ilvl="6"/>
    <w:lvlOverride w:ilvl="7"/>
    <w:lvlOverride w:ilvl="8"/>
  </w:num>
  <w:num w:numId="42">
    <w:abstractNumId w:val="27"/>
    <w:lvlOverride w:ilvl="0"/>
    <w:lvlOverride w:ilvl="1"/>
    <w:lvlOverride w:ilvl="2"/>
    <w:lvlOverride w:ilvl="3"/>
    <w:lvlOverride w:ilvl="4"/>
    <w:lvlOverride w:ilvl="5"/>
    <w:lvlOverride w:ilvl="6"/>
    <w:lvlOverride w:ilvl="7"/>
    <w:lvlOverride w:ilvl="8"/>
  </w:num>
  <w:num w:numId="43">
    <w:abstractNumId w:val="26"/>
    <w:lvlOverride w:ilvl="0"/>
    <w:lvlOverride w:ilvl="1"/>
    <w:lvlOverride w:ilvl="2"/>
    <w:lvlOverride w:ilvl="3"/>
    <w:lvlOverride w:ilvl="4"/>
    <w:lvlOverride w:ilvl="5"/>
    <w:lvlOverride w:ilvl="6"/>
    <w:lvlOverride w:ilvl="7"/>
    <w:lvlOverride w:ilvl="8"/>
  </w:num>
  <w:num w:numId="44">
    <w:abstractNumId w:val="29"/>
    <w:lvlOverride w:ilvl="0"/>
    <w:lvlOverride w:ilvl="1"/>
    <w:lvlOverride w:ilvl="2"/>
    <w:lvlOverride w:ilvl="3"/>
    <w:lvlOverride w:ilvl="4"/>
    <w:lvlOverride w:ilvl="5"/>
    <w:lvlOverride w:ilvl="6"/>
    <w:lvlOverride w:ilvl="7"/>
    <w:lvlOverride w:ilvl="8"/>
  </w:num>
  <w:num w:numId="45">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2ED9"/>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28E"/>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1F79"/>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77CD9"/>
    <w:rsid w:val="00E80761"/>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20487306-8052-45E4-BB9C-AFE0300C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10719</Words>
  <Characters>61104</Characters>
  <Application>Microsoft Office Word</Application>
  <DocSecurity>0</DocSecurity>
  <Lines>509</Lines>
  <Paragraphs>143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24</cp:revision>
  <dcterms:created xsi:type="dcterms:W3CDTF">2021-05-26T19:20:00Z</dcterms:created>
  <dcterms:modified xsi:type="dcterms:W3CDTF">2021-05-26T20:13:00Z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