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TDoc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5310BA"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5310BA"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5310BA"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5310BA"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5310BA"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5310BA" w:rsidP="007A44D1">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5310BA"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5310BA"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5310BA"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5310BA"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5310BA" w:rsidP="007A44D1">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5310BA" w:rsidP="007A44D1">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5310BA" w:rsidP="007A44D1">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5310BA" w:rsidP="007A44D1">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ListParagraph"/>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5310BA"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5310BA"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5310BA"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5310BA"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5310BA"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AF24F6" w:rsidRPr="008C1D01" w:rsidRDefault="00AF24F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F24F6" w:rsidRPr="008C1D01" w:rsidRDefault="00AF24F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F24F6" w:rsidRPr="008C1D01" w:rsidRDefault="00AF24F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F24F6" w:rsidRPr="008C1D01" w:rsidRDefault="00AF24F6"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AF24F6" w:rsidRPr="008C1D01" w:rsidRDefault="00AF24F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F24F6" w:rsidRPr="008C1D01" w:rsidRDefault="00AF24F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F24F6" w:rsidRPr="008C1D01" w:rsidRDefault="00AF24F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F24F6" w:rsidRPr="008C1D01" w:rsidRDefault="00AF24F6"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ListParagraph"/>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simplfied).</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r>
              <w:rPr>
                <w:rFonts w:eastAsia="Malgun Gothic"/>
                <w:lang w:eastAsia="ko-KR"/>
              </w:rPr>
              <w:t>Spreadtrum</w:t>
            </w:r>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r>
              <w:rPr>
                <w:lang w:eastAsia="zh-CN"/>
              </w:rPr>
              <w:t xml:space="preserve">gNB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A potential issue with Option 1 only solution is that gNB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ListParagraph"/>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gNB</w:t>
      </w:r>
      <w:r w:rsidR="00AD0476" w:rsidRPr="00832F46">
        <w:rPr>
          <w:sz w:val="21"/>
          <w:szCs w:val="20"/>
          <w:lang w:eastAsia="zh-CN"/>
        </w:rPr>
        <w:t>’s</w:t>
      </w:r>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ListParagraph"/>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543C5F1E" w:rsidR="00D756C7" w:rsidRPr="00FF1F72" w:rsidRDefault="00D756C7" w:rsidP="00D2799B">
      <w:pPr>
        <w:pStyle w:val="ListParagraph"/>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r w:rsidR="00801735" w:rsidRPr="00FF1F72">
        <w:rPr>
          <w:lang w:eastAsia="zh-CN"/>
        </w:rPr>
        <w:t>. Ask RAN2 to confirm.</w:t>
      </w:r>
    </w:p>
    <w:p w14:paraId="4D4D848A" w14:textId="01589916" w:rsidR="00D756C7" w:rsidRPr="00FF1F72" w:rsidRDefault="0058773E" w:rsidP="00D2799B">
      <w:pPr>
        <w:pStyle w:val="ListParagraph"/>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ListParagraph"/>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r w:rsidR="00D756C7" w:rsidRPr="00FF1F72">
        <w:rPr>
          <w:i/>
          <w:lang w:val="en-GB" w:eastAsia="zh-CN"/>
        </w:rPr>
        <w:t>nrofSS-BlocksToAverage</w:t>
      </w:r>
    </w:p>
    <w:p w14:paraId="0B20D7AF" w14:textId="2B849FF3" w:rsidR="00D756C7" w:rsidRPr="00FF1F72" w:rsidRDefault="0058773E" w:rsidP="00D2799B">
      <w:pPr>
        <w:pStyle w:val="ListParagraph"/>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TableGrid"/>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gNB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set should remain constant. The easiest solution we saw for this was to configure SSB sets to the UE, as the gNB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gNB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r>
              <w:rPr>
                <w:lang w:eastAsia="zh-CN"/>
              </w:rPr>
              <w:t>Spreadtrum</w:t>
            </w:r>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s relatively have similar distance to gNB as the old one does</w:t>
            </w:r>
            <w:r>
              <w:rPr>
                <w:lang w:eastAsia="zh-CN"/>
              </w:rPr>
              <w:t>”. For example, if a beam is power boosted for dedicated coverage in that direction, the same RSRP after switching to this beam does not mean the similar distance to gNB.</w:t>
            </w:r>
          </w:p>
          <w:p w14:paraId="52EA9D90" w14:textId="18CC991C" w:rsidR="00AF24F6" w:rsidRDefault="00AF24F6" w:rsidP="005B3384">
            <w:pPr>
              <w:rPr>
                <w:lang w:eastAsia="zh-CN"/>
              </w:rPr>
            </w:pPr>
            <w:r>
              <w:rPr>
                <w:lang w:eastAsia="zh-CN"/>
              </w:rPr>
              <w:t xml:space="preserve">We also agree with QC on that “A potential issue with Option 1 only solution is that gNB may not use all RX beams available to receive CG PUSCH. In some cases, the SSB beams determined by the absolute RSRP threshold may not be the ones corresponding to the RX beams of CG PUSCH”. If the SSB selected by UE is </w:t>
            </w:r>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rFonts w:hint="eastAsia"/>
                <w:lang w:eastAsia="zh-CN"/>
              </w:rPr>
            </w:pPr>
            <w:r>
              <w:rPr>
                <w:lang w:eastAsia="zh-CN"/>
              </w:rPr>
              <w:t>Agree with the comments of Nokia and support Proposal 3.1A.</w:t>
            </w:r>
          </w:p>
        </w:tc>
      </w:tr>
    </w:tbl>
    <w:p w14:paraId="3E2753BF" w14:textId="77777777" w:rsidR="00371831" w:rsidRPr="00371831"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w:lastRenderedPageBreak/>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AF24F6" w:rsidRDefault="00AF24F6" w:rsidP="00EA056F">
                            <w:pPr>
                              <w:spacing w:after="0"/>
                              <w:rPr>
                                <w:highlight w:val="green"/>
                              </w:rPr>
                            </w:pPr>
                            <w:r>
                              <w:rPr>
                                <w:highlight w:val="green"/>
                              </w:rPr>
                              <w:t>Agreement:</w:t>
                            </w:r>
                          </w:p>
                          <w:p w14:paraId="427AFBFA" w14:textId="77777777" w:rsidR="00AF24F6" w:rsidRDefault="00AF24F6"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F24F6" w:rsidRDefault="00AF24F6"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F24F6" w:rsidRDefault="00AF24F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F24F6" w:rsidRDefault="00AF24F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AF24F6" w:rsidRDefault="00AF24F6" w:rsidP="00EA056F">
                      <w:pPr>
                        <w:spacing w:after="0"/>
                        <w:rPr>
                          <w:highlight w:val="green"/>
                        </w:rPr>
                      </w:pPr>
                      <w:r>
                        <w:rPr>
                          <w:highlight w:val="green"/>
                        </w:rPr>
                        <w:t>Agreement:</w:t>
                      </w:r>
                    </w:p>
                    <w:p w14:paraId="427AFBFA" w14:textId="77777777" w:rsidR="00AF24F6" w:rsidRDefault="00AF24F6"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F24F6" w:rsidRDefault="00AF24F6"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F24F6" w:rsidRDefault="00AF24F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F24F6" w:rsidRDefault="00AF24F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ListParagraph"/>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ListParagraph"/>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D2799B">
      <w:pPr>
        <w:pStyle w:val="ListParagraph"/>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D2799B">
      <w:pPr>
        <w:pStyle w:val="ListParagraph"/>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ListParagraph"/>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 xml:space="preserve">The motivation for option 3 is that in a hybrid BF cell the gNB doing Rx beam </w:t>
            </w:r>
            <w:r>
              <w:rPr>
                <w:rFonts w:eastAsia="Malgun Gothic"/>
                <w:lang w:eastAsia="ko-KR"/>
              </w:rPr>
              <w:lastRenderedPageBreak/>
              <w:t>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lastRenderedPageBreak/>
              <w:t>Huawei, HiSi</w:t>
            </w:r>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SimSun"/>
                <w:lang w:eastAsia="zh-CN"/>
              </w:rPr>
            </w:pPr>
            <w:r>
              <w:rPr>
                <w:lang w:eastAsia="zh-CN"/>
              </w:rPr>
              <w:lastRenderedPageBreak/>
              <w:t xml:space="preserve">We share the same view as Spreadtrum that the definition of CG PUSCH resource needs to be further clarified for all the options, e.g. a </w:t>
            </w:r>
            <w:r>
              <w:rPr>
                <w:rFonts w:eastAsia="SimSun"/>
                <w:lang w:eastAsia="zh-CN"/>
              </w:rPr>
              <w:t xml:space="preserve">CG PUSCH resource </w:t>
            </w:r>
            <w:r w:rsidRPr="005B28A0">
              <w:rPr>
                <w:rFonts w:eastAsia="SimSun"/>
                <w:lang w:eastAsia="zh-CN"/>
              </w:rPr>
              <w:t xml:space="preserve">is defined as a transmission occasion and a DMRS </w:t>
            </w:r>
            <w:r>
              <w:rPr>
                <w:rFonts w:eastAsia="SimSun"/>
                <w:lang w:eastAsia="zh-CN"/>
              </w:rPr>
              <w:t>resource</w:t>
            </w:r>
            <w:r w:rsidRPr="005B28A0">
              <w:rPr>
                <w:rFonts w:eastAsia="SimSun"/>
                <w:lang w:eastAsia="zh-CN"/>
              </w:rPr>
              <w:t xml:space="preserve"> used for PUSCH transmission</w:t>
            </w:r>
            <w:r>
              <w:rPr>
                <w:rFonts w:eastAsia="SimSun"/>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lastRenderedPageBreak/>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singalling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periodicity, timeDomainOffset, TimeDomainAllocation, frequencyDomainAllocation, antennaPort, dmrs-SeqInitialization</w:t>
            </w:r>
            <w:r>
              <w:rPr>
                <w:color w:val="000000"/>
                <w:sz w:val="20"/>
                <w:szCs w:val="20"/>
              </w:rPr>
              <w:t xml:space="preserve"> }. The combinations of these parameters are huge </w:t>
            </w:r>
            <w:r>
              <w:rPr>
                <w:sz w:val="20"/>
                <w:szCs w:val="20"/>
              </w:rPr>
              <w:t xml:space="preserve">If there are no restrictions for parameter combinations, the PUSCH resource indices are almost infeasible. This is different from SSB-to-RO or to- MsgA association, as the RO periodicity is pre-defined in the spec, the MsgA PRB number is configured. Thus the MsgA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ListParagraph"/>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ListParagraph"/>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ListParagraph"/>
        <w:ind w:firstLineChars="0" w:firstLine="0"/>
        <w:rPr>
          <w:sz w:val="20"/>
          <w:szCs w:val="20"/>
          <w:lang w:eastAsia="zh-CN"/>
        </w:rPr>
      </w:pPr>
      <w:r>
        <w:rPr>
          <w:sz w:val="20"/>
          <w:szCs w:val="20"/>
          <w:lang w:eastAsia="zh-CN"/>
        </w:rPr>
        <w:lastRenderedPageBreak/>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ListParagraph"/>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ListParagraph"/>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ListParagraph"/>
        <w:numPr>
          <w:ilvl w:val="3"/>
          <w:numId w:val="11"/>
        </w:numPr>
        <w:ind w:firstLineChars="0"/>
      </w:pPr>
      <w:r>
        <w:rPr>
          <w:lang w:eastAsia="zh-CN"/>
        </w:rPr>
        <w:t xml:space="preserve">A PUSCH resource refers to a transmission occasion and a DMRS resource </w:t>
      </w:r>
      <w:r w:rsidRPr="005B28A0">
        <w:rPr>
          <w:rFonts w:eastAsia="SimSun"/>
          <w:lang w:eastAsia="zh-CN"/>
        </w:rPr>
        <w:t>used for PUSCH transmission</w:t>
      </w:r>
    </w:p>
    <w:p w14:paraId="67A9FA11" w14:textId="77777777" w:rsidR="00F736EE" w:rsidRDefault="00F736EE" w:rsidP="00DA6608">
      <w:pPr>
        <w:pStyle w:val="ListParagraph"/>
        <w:numPr>
          <w:ilvl w:val="3"/>
          <w:numId w:val="11"/>
        </w:numPr>
        <w:ind w:firstLineChars="0"/>
      </w:pPr>
      <w:r>
        <w:rPr>
          <w:lang w:eastAsia="zh-CN"/>
        </w:rPr>
        <w:t>The ordering of the SSB can reuse from the SSB-to-RO mapping</w:t>
      </w:r>
    </w:p>
    <w:p w14:paraId="792F5EE0" w14:textId="6E3D9289" w:rsidR="00F736EE" w:rsidRDefault="00F736EE" w:rsidP="00DA6608">
      <w:pPr>
        <w:pStyle w:val="ListParagraph"/>
        <w:numPr>
          <w:ilvl w:val="3"/>
          <w:numId w:val="11"/>
        </w:numPr>
        <w:ind w:firstLineChars="0"/>
      </w:pPr>
      <w:r>
        <w:rPr>
          <w:lang w:eastAsia="zh-CN"/>
        </w:rPr>
        <w:t>The ordering of CG PUSCH resources can reuse from that of MsgA PUSCH</w:t>
      </w:r>
    </w:p>
    <w:p w14:paraId="6D5F3916" w14:textId="7086E0C8" w:rsidR="00E51208" w:rsidRDefault="00E51208" w:rsidP="00D2799B">
      <w:pPr>
        <w:pStyle w:val="ListParagraph"/>
        <w:numPr>
          <w:ilvl w:val="2"/>
          <w:numId w:val="11"/>
        </w:numPr>
        <w:ind w:firstLineChars="0"/>
      </w:pPr>
      <w:r>
        <w:rPr>
          <w:lang w:eastAsia="zh-CN"/>
        </w:rPr>
        <w:t xml:space="preserve">Mapping ratio and association period could be </w:t>
      </w:r>
      <w:r w:rsidR="003E3267">
        <w:rPr>
          <w:lang w:eastAsia="zh-CN"/>
        </w:rPr>
        <w:t xml:space="preserve">either </w:t>
      </w:r>
      <w:r>
        <w:rPr>
          <w:lang w:eastAsia="zh-CN"/>
        </w:rPr>
        <w:t>explicitl</w:t>
      </w:r>
      <w:r w:rsidR="001D33C5">
        <w:rPr>
          <w:lang w:eastAsia="zh-CN"/>
        </w:rPr>
        <w:t>y signaled or implicitly derived</w:t>
      </w:r>
    </w:p>
    <w:p w14:paraId="016A532B" w14:textId="03E56B37" w:rsidR="001D33C5" w:rsidRDefault="001D33C5" w:rsidP="001D33C5">
      <w:pPr>
        <w:pStyle w:val="ListParagraph"/>
        <w:numPr>
          <w:ilvl w:val="3"/>
          <w:numId w:val="11"/>
        </w:numPr>
        <w:ind w:firstLineChars="0"/>
      </w:pPr>
      <w:r>
        <w:rPr>
          <w:lang w:eastAsia="zh-CN"/>
        </w:rPr>
        <w:t>FFS details</w:t>
      </w:r>
    </w:p>
    <w:p w14:paraId="05427B97" w14:textId="011D49EC" w:rsidR="00E51208" w:rsidRDefault="003E3267" w:rsidP="00D2799B">
      <w:pPr>
        <w:pStyle w:val="ListParagraph"/>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TableGrid"/>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r>
              <w:rPr>
                <w:rFonts w:hint="eastAsia"/>
                <w:lang w:eastAsia="zh-CN"/>
              </w:rPr>
              <w:t>S</w:t>
            </w:r>
            <w:r>
              <w:rPr>
                <w:lang w:eastAsia="zh-CN"/>
              </w:rPr>
              <w:t>preadtrum</w:t>
            </w:r>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rFonts w:hint="eastAsia"/>
                <w:lang w:eastAsia="zh-CN"/>
              </w:rPr>
            </w:pPr>
            <w:r>
              <w:rPr>
                <w:lang w:eastAsia="zh-CN"/>
              </w:rPr>
              <w:t>Qualcomm</w:t>
            </w:r>
          </w:p>
        </w:tc>
        <w:tc>
          <w:tcPr>
            <w:tcW w:w="7611" w:type="dxa"/>
          </w:tcPr>
          <w:p w14:paraId="0493056D" w14:textId="50A0A306" w:rsidR="005D396C" w:rsidRDefault="005D396C" w:rsidP="00A06B48">
            <w:pPr>
              <w:rPr>
                <w:rFonts w:hint="eastAsia"/>
                <w:lang w:eastAsia="zh-CN"/>
              </w:rPr>
            </w:pPr>
            <w:r>
              <w:rPr>
                <w:lang w:eastAsia="zh-CN"/>
              </w:rPr>
              <w:t>Support</w:t>
            </w:r>
          </w:p>
        </w:tc>
      </w:tr>
    </w:tbl>
    <w:p w14:paraId="71199ADD" w14:textId="77777777" w:rsidR="00E91638" w:rsidRPr="00E91638"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ListParagraph"/>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ListParagraph"/>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ListParagraph"/>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lastRenderedPageBreak/>
        <w:t>C</w:t>
      </w:r>
      <w:r>
        <w:rPr>
          <w:lang w:eastAsia="zh-CN"/>
        </w:rPr>
        <w:t>onsider the following changes to the CG configuration</w:t>
      </w:r>
    </w:p>
    <w:p w14:paraId="47111657" w14:textId="77777777" w:rsidR="00475D56" w:rsidRDefault="00475D56" w:rsidP="00D2799B">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ListParagraph"/>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ListParagraph"/>
        <w:numPr>
          <w:ilvl w:val="1"/>
          <w:numId w:val="26"/>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ListParagraph"/>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ListParagraph"/>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ListParagraph"/>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ListParagraph"/>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ListParagraph"/>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lastRenderedPageBreak/>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r>
              <w:rPr>
                <w:rFonts w:hint="eastAsia"/>
                <w:lang w:eastAsia="zh-CN"/>
              </w:rPr>
              <w:lastRenderedPageBreak/>
              <w:t>S</w:t>
            </w:r>
            <w:r>
              <w:rPr>
                <w:lang w:eastAsia="zh-CN"/>
              </w:rPr>
              <w:t>preadtrum</w:t>
            </w:r>
          </w:p>
        </w:tc>
        <w:tc>
          <w:tcPr>
            <w:tcW w:w="7611" w:type="dxa"/>
          </w:tcPr>
          <w:p w14:paraId="461F39C1" w14:textId="3B6D8504" w:rsidR="00D53E68" w:rsidRDefault="00D53E68" w:rsidP="00D2799B">
            <w:pPr>
              <w:pStyle w:val="ListParagraph"/>
              <w:numPr>
                <w:ilvl w:val="0"/>
                <w:numId w:val="28"/>
              </w:numPr>
              <w:ind w:firstLineChars="0"/>
              <w:rPr>
                <w:lang w:eastAsia="zh-CN"/>
              </w:rPr>
            </w:pPr>
            <w:r>
              <w:rPr>
                <w:lang w:eastAsia="zh-CN"/>
              </w:rPr>
              <w:t>We are fine for it.</w:t>
            </w:r>
          </w:p>
          <w:p w14:paraId="2B7AD718" w14:textId="77777777" w:rsidR="00D53E68" w:rsidRDefault="00D53E68" w:rsidP="00D2799B">
            <w:pPr>
              <w:pStyle w:val="ListParagraph"/>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ListParagraph"/>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t>v</w:t>
            </w:r>
            <w:r>
              <w:rPr>
                <w:lang w:eastAsia="zh-CN"/>
              </w:rPr>
              <w:t>ivo</w:t>
            </w:r>
          </w:p>
        </w:tc>
        <w:tc>
          <w:tcPr>
            <w:tcW w:w="7611" w:type="dxa"/>
          </w:tcPr>
          <w:p w14:paraId="7BCFF90C" w14:textId="77777777" w:rsidR="00901615" w:rsidRDefault="00901615" w:rsidP="00D2799B">
            <w:pPr>
              <w:pStyle w:val="ListParagraph"/>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ListParagraph"/>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ListParagraph"/>
              <w:ind w:left="420" w:firstLineChars="0" w:firstLine="0"/>
              <w:rPr>
                <w:lang w:eastAsia="zh-CN"/>
              </w:rPr>
            </w:pPr>
            <w:r>
              <w:rPr>
                <w:lang w:eastAsia="zh-CN"/>
              </w:rPr>
              <w:t xml:space="preserve">In fact, we think if multiple TDMed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TDMed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ListParagraph"/>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ListParagraph"/>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ListParagraph"/>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ListParagraph"/>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lastRenderedPageBreak/>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For Alt 1, mapping between SSBs and PUSCH transmission occasions should be known to gNB, so that</w:t>
            </w:r>
            <w:r w:rsidRPr="009B004B">
              <w:rPr>
                <w:rFonts w:hint="eastAsia"/>
                <w:lang w:eastAsia="zh-CN"/>
              </w:rPr>
              <w:t xml:space="preserve"> gNB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7777777" w:rsidR="002C22F0" w:rsidRDefault="002C22F0" w:rsidP="00A06B48">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265B25DB" w14:textId="02AA9205" w:rsidR="00364E62" w:rsidRDefault="002C22F0" w:rsidP="00A06B48">
      <w:pPr>
        <w:pStyle w:val="ListParagraph"/>
        <w:numPr>
          <w:ilvl w:val="0"/>
          <w:numId w:val="25"/>
        </w:numPr>
        <w:ind w:firstLineChars="0"/>
        <w:rPr>
          <w:lang w:eastAsia="zh-CN"/>
        </w:rPr>
      </w:pPr>
      <w:r>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gNB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lastRenderedPageBreak/>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rFonts w:hint="eastAsia"/>
                <w:lang w:eastAsia="zh-CN"/>
              </w:rPr>
            </w:pPr>
            <w:r>
              <w:rPr>
                <w:lang w:eastAsia="zh-CN"/>
              </w:rPr>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ListParagraph"/>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Asking RAN4 to extend the beam correspondence requirement to apply to RRC_Inactive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 xml:space="preserve">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w:t>
            </w:r>
            <w:r w:rsidRPr="00B67C9E">
              <w:lastRenderedPageBreak/>
              <w:t>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lastRenderedPageBreak/>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ListParagraph"/>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RRC_Inactive</w:t>
      </w:r>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8" w:history="1">
              <w:r w:rsidRPr="0012580C">
                <w:rPr>
                  <w:rStyle w:val="Hyperlink"/>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tx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gNB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t>Qualcomm</w:t>
            </w:r>
          </w:p>
        </w:tc>
        <w:tc>
          <w:tcPr>
            <w:tcW w:w="7611" w:type="dxa"/>
          </w:tcPr>
          <w:p w14:paraId="0E1DBAD9" w14:textId="363B3A2A" w:rsidR="005D396C" w:rsidRDefault="005D396C" w:rsidP="00A06B48">
            <w:pPr>
              <w:rPr>
                <w:lang w:eastAsia="zh-CN"/>
              </w:rPr>
            </w:pPr>
            <w:r>
              <w:rPr>
                <w:lang w:eastAsia="zh-CN"/>
              </w:rPr>
              <w:t>Support this proposal and the LS.</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Heading1"/>
      </w:pPr>
      <w:r>
        <w:t>Summary</w:t>
      </w:r>
    </w:p>
    <w:p w14:paraId="04215DF5" w14:textId="7FAAA233" w:rsidR="00492B6B" w:rsidRDefault="00F0042E" w:rsidP="005B5F0D">
      <w:pPr>
        <w:pStyle w:val="CommentText"/>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lastRenderedPageBreak/>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BodyText"/>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BodyText"/>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BodyText"/>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BodyText"/>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D2799B">
            <w:pPr>
              <w:pStyle w:val="ListParagraph"/>
              <w:numPr>
                <w:ilvl w:val="0"/>
                <w:numId w:val="12"/>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reinterpreted as the number of TDMed occasions per CG period</w:t>
            </w:r>
          </w:p>
          <w:p w14:paraId="484AD0C7"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D2799B">
            <w:pPr>
              <w:pStyle w:val="ListParagraph"/>
              <w:numPr>
                <w:ilvl w:val="0"/>
                <w:numId w:val="13"/>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D2799B">
            <w:pPr>
              <w:pStyle w:val="ListParagraph"/>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D2799B">
            <w:pPr>
              <w:pStyle w:val="BodyText"/>
              <w:numPr>
                <w:ilvl w:val="0"/>
                <w:numId w:val="16"/>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gNB</w:t>
            </w:r>
          </w:p>
          <w:p w14:paraId="263C6737"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D2799B">
            <w:pPr>
              <w:pStyle w:val="BodyText"/>
              <w:numPr>
                <w:ilvl w:val="0"/>
                <w:numId w:val="17"/>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1A5F6" w14:textId="77777777" w:rsidR="005310BA" w:rsidRDefault="005310BA" w:rsidP="005020B0">
      <w:pPr>
        <w:spacing w:after="0"/>
      </w:pPr>
      <w:r>
        <w:separator/>
      </w:r>
    </w:p>
  </w:endnote>
  <w:endnote w:type="continuationSeparator" w:id="0">
    <w:p w14:paraId="377234A0" w14:textId="77777777" w:rsidR="005310BA" w:rsidRDefault="005310BA"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00000287"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A9D44" w14:textId="77777777" w:rsidR="005310BA" w:rsidRDefault="005310BA" w:rsidP="005020B0">
      <w:pPr>
        <w:spacing w:after="0"/>
      </w:pPr>
      <w:r>
        <w:separator/>
      </w:r>
    </w:p>
  </w:footnote>
  <w:footnote w:type="continuationSeparator" w:id="0">
    <w:p w14:paraId="29A95859" w14:textId="77777777" w:rsidR="005310BA" w:rsidRDefault="005310BA"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7"/>
  </w:num>
  <w:num w:numId="4">
    <w:abstractNumId w:val="14"/>
  </w:num>
  <w:num w:numId="5">
    <w:abstractNumId w:val="21"/>
  </w:num>
  <w:num w:numId="6">
    <w:abstractNumId w:val="19"/>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2"/>
  </w:num>
  <w:num w:numId="9">
    <w:abstractNumId w:val="26"/>
  </w:num>
  <w:num w:numId="10">
    <w:abstractNumId w:val="17"/>
  </w:num>
  <w:num w:numId="11">
    <w:abstractNumId w:val="1"/>
  </w:num>
  <w:num w:numId="12">
    <w:abstractNumId w:val="16"/>
  </w:num>
  <w:num w:numId="13">
    <w:abstractNumId w:val="34"/>
  </w:num>
  <w:num w:numId="14">
    <w:abstractNumId w:val="15"/>
  </w:num>
  <w:num w:numId="15">
    <w:abstractNumId w:val="4"/>
  </w:num>
  <w:num w:numId="16">
    <w:abstractNumId w:val="9"/>
  </w:num>
  <w:num w:numId="17">
    <w:abstractNumId w:val="25"/>
  </w:num>
  <w:num w:numId="18">
    <w:abstractNumId w:val="33"/>
  </w:num>
  <w:num w:numId="19">
    <w:abstractNumId w:val="18"/>
  </w:num>
  <w:num w:numId="20">
    <w:abstractNumId w:val="5"/>
  </w:num>
  <w:num w:numId="21">
    <w:abstractNumId w:val="20"/>
  </w:num>
  <w:num w:numId="22">
    <w:abstractNumId w:val="3"/>
  </w:num>
  <w:num w:numId="23">
    <w:abstractNumId w:val="7"/>
  </w:num>
  <w:num w:numId="24">
    <w:abstractNumId w:val="2"/>
  </w:num>
  <w:num w:numId="25">
    <w:abstractNumId w:val="6"/>
  </w:num>
  <w:num w:numId="26">
    <w:abstractNumId w:val="29"/>
  </w:num>
  <w:num w:numId="27">
    <w:abstractNumId w:val="32"/>
  </w:num>
  <w:num w:numId="28">
    <w:abstractNumId w:val="11"/>
  </w:num>
  <w:num w:numId="29">
    <w:abstractNumId w:val="24"/>
  </w:num>
  <w:num w:numId="30">
    <w:abstractNumId w:val="30"/>
  </w:num>
  <w:num w:numId="31">
    <w:abstractNumId w:val="8"/>
  </w:num>
  <w:num w:numId="32">
    <w:abstractNumId w:val="28"/>
  </w:num>
  <w:num w:numId="33">
    <w:abstractNumId w:val="10"/>
  </w:num>
  <w:num w:numId="34">
    <w:abstractNumId w:val="31"/>
  </w:num>
  <w:num w:numId="3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0D"/>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1114B104-6779-4FB2-AD3C-1319B84D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 w:type="character" w:customStyle="1" w:styleId="UnresolvedMention2">
    <w:name w:val="Unresolved Mention2"/>
    <w:basedOn w:val="DefaultParagraphFont"/>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hyperlink" Target="https://www.3gpp.org/ftp/tsg_ran/WG1_RL1/TSGR1_105-e/Inbox/drafts/5.2/LS%20to%20RAN4" TargetMode="Externa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3C71E86-F84F-406C-8E8E-0E88593C3D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7490</Words>
  <Characters>42698</Characters>
  <Application>Microsoft Office Word</Application>
  <DocSecurity>0</DocSecurity>
  <Lines>355</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3</cp:revision>
  <cp:lastPrinted>2007-06-18T05:08:00Z</cp:lastPrinted>
  <dcterms:created xsi:type="dcterms:W3CDTF">2021-05-24T04:16:00Z</dcterms:created>
  <dcterms:modified xsi:type="dcterms:W3CDTF">2021-05-24T04:18:00Z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