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53480AA1" w14:textId="04C0428B" w:rsidR="00F2153D" w:rsidRPr="002B5A22" w:rsidRDefault="00F2153D" w:rsidP="00F2153D">
      <w:pPr>
        <w:tabs>
          <w:tab w:val="center" w:pos="4536"/>
          <w:tab w:val="right" w:pos="8280"/>
          <w:tab w:val="right" w:pos="9639"/>
        </w:tabs>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Pr>
          <w:rFonts w:ascii="Arial" w:eastAsia="Batang" w:hAnsi="Arial" w:cs="Arial"/>
          <w:b/>
          <w:bCs/>
          <w:sz w:val="28"/>
        </w:rPr>
        <w:t>5</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w:t>
      </w:r>
      <w:r w:rsidR="00750BBC">
        <w:rPr>
          <w:rFonts w:ascii="Arial" w:eastAsia="Batang" w:hAnsi="Arial" w:cs="Arial"/>
          <w:b/>
          <w:bCs/>
          <w:sz w:val="28"/>
        </w:rPr>
        <w:t>2105676</w:t>
      </w:r>
    </w:p>
    <w:p w14:paraId="0DCCB090" w14:textId="77777777" w:rsidR="00F2153D" w:rsidRPr="00AC102C" w:rsidRDefault="00F2153D" w:rsidP="00F2153D">
      <w:pPr>
        <w:tabs>
          <w:tab w:val="center" w:pos="4536"/>
          <w:tab w:val="right" w:pos="9072"/>
        </w:tabs>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Pr>
          <w:rFonts w:ascii="Arial" w:eastAsia="MS Mincho" w:hAnsi="Arial" w:cs="Arial"/>
          <w:b/>
          <w:bCs/>
          <w:sz w:val="28"/>
          <w:lang w:eastAsia="ja-JP"/>
        </w:rPr>
        <w:t>May 10</w:t>
      </w:r>
      <w:r w:rsidRPr="009B4E4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9B4E4E">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w:t>
      </w:r>
      <w:r>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1A8B6CCC"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w:t>
      </w:r>
      <w:r w:rsidR="00BA55AC">
        <w:rPr>
          <w:rFonts w:cs="Arial"/>
          <w:b/>
          <w:bCs/>
          <w:sz w:val="24"/>
          <w:szCs w:val="24"/>
          <w:lang w:val="en-US"/>
        </w:rPr>
        <w:t>15</w:t>
      </w:r>
      <w:r w:rsidRPr="00F76DA7">
        <w:rPr>
          <w:rFonts w:cs="Arial"/>
          <w:b/>
          <w:bCs/>
          <w:sz w:val="24"/>
          <w:szCs w:val="24"/>
          <w:lang w:val="en-US"/>
        </w:rPr>
        <w:t>.</w:t>
      </w:r>
      <w:r w:rsidR="00C0319B">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4F383FEE"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431CC">
        <w:rPr>
          <w:rFonts w:ascii="Arial" w:hAnsi="Arial" w:cs="Arial"/>
          <w:b/>
          <w:bCs/>
        </w:rPr>
        <w:t>T</w:t>
      </w:r>
      <w:r w:rsidR="009E55C1">
        <w:rPr>
          <w:rFonts w:ascii="Arial" w:hAnsi="Arial" w:cs="Arial"/>
          <w:b/>
          <w:bCs/>
        </w:rPr>
        <w:t>im</w:t>
      </w:r>
      <w:r w:rsidR="002431CC">
        <w:rPr>
          <w:rFonts w:ascii="Arial" w:hAnsi="Arial" w:cs="Arial"/>
          <w:b/>
          <w:bCs/>
        </w:rPr>
        <w:t>e/Frequency Sync</w:t>
      </w:r>
      <w:r w:rsidR="00C0319B">
        <w:rPr>
          <w:rFonts w:ascii="Arial" w:hAnsi="Arial" w:cs="Arial"/>
          <w:b/>
          <w:bCs/>
        </w:rPr>
        <w:t xml:space="preserve">hronization </w:t>
      </w:r>
      <w:r w:rsidR="0078522C">
        <w:rPr>
          <w:rFonts w:ascii="Arial" w:hAnsi="Arial" w:cs="Arial"/>
          <w:b/>
          <w:bCs/>
        </w:rPr>
        <w:t xml:space="preserve">for </w:t>
      </w:r>
      <w:r w:rsidR="00BA55AC">
        <w:rPr>
          <w:rFonts w:ascii="Arial" w:hAnsi="Arial" w:cs="Arial"/>
          <w:b/>
          <w:bCs/>
        </w:rPr>
        <w:t xml:space="preserve">IoT </w:t>
      </w:r>
      <w:r w:rsidR="0078522C">
        <w:rPr>
          <w:rFonts w:ascii="Arial" w:hAnsi="Arial" w:cs="Arial"/>
          <w:b/>
          <w:bCs/>
        </w:rPr>
        <w:t>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5EF1BCBF" w14:textId="02AF0DE6" w:rsidR="005A500F" w:rsidRPr="00416213" w:rsidRDefault="005A500F" w:rsidP="00416213">
      <w:pPr>
        <w:jc w:val="both"/>
        <w:rPr>
          <w:rFonts w:ascii="Arial" w:hAnsi="Arial" w:cs="Arial"/>
        </w:rPr>
      </w:pPr>
      <w:r w:rsidRPr="00416213">
        <w:rPr>
          <w:rFonts w:ascii="Arial" w:hAnsi="Arial" w:cs="Arial"/>
        </w:rPr>
        <w:t>In RAN</w:t>
      </w:r>
      <w:r w:rsidR="003447E3">
        <w:rPr>
          <w:rFonts w:ascii="Arial" w:hAnsi="Arial" w:cs="Arial"/>
        </w:rPr>
        <w:t>1</w:t>
      </w:r>
      <w:r w:rsidRPr="00416213">
        <w:rPr>
          <w:rFonts w:ascii="Arial" w:hAnsi="Arial" w:cs="Arial"/>
        </w:rPr>
        <w:t>#</w:t>
      </w:r>
      <w:r w:rsidR="003447E3">
        <w:rPr>
          <w:rFonts w:ascii="Arial" w:hAnsi="Arial" w:cs="Arial"/>
        </w:rPr>
        <w:t>104</w:t>
      </w:r>
      <w:r w:rsidR="00F2153D">
        <w:rPr>
          <w:rFonts w:ascii="Arial" w:hAnsi="Arial" w:cs="Arial"/>
        </w:rPr>
        <w:t>b-</w:t>
      </w:r>
      <w:r w:rsidR="003447E3">
        <w:rPr>
          <w:rFonts w:ascii="Arial" w:hAnsi="Arial" w:cs="Arial"/>
        </w:rPr>
        <w:t>e</w:t>
      </w:r>
      <w:r w:rsidRPr="00416213">
        <w:rPr>
          <w:rFonts w:ascii="Arial" w:hAnsi="Arial" w:cs="Arial"/>
        </w:rPr>
        <w:t xml:space="preserve">, </w:t>
      </w:r>
      <w:r w:rsidR="003447E3">
        <w:rPr>
          <w:rFonts w:ascii="Arial" w:hAnsi="Arial" w:cs="Arial"/>
        </w:rPr>
        <w:t xml:space="preserve">the following agreements have been made as a progress for time/frequency synchronization for IoT NTN </w:t>
      </w:r>
      <w:r w:rsidRPr="00416213">
        <w:rPr>
          <w:rFonts w:ascii="Arial" w:hAnsi="Arial" w:cs="Arial"/>
        </w:rPr>
        <w:t>[1]:</w:t>
      </w:r>
    </w:p>
    <w:p w14:paraId="2CA93D7A" w14:textId="77777777" w:rsidR="005A500F" w:rsidRDefault="005A500F" w:rsidP="005A500F">
      <w:pPr>
        <w:ind w:left="284"/>
        <w:rPr>
          <w:rFonts w:ascii="Arial" w:hAnsi="Arial" w:cs="Arial"/>
          <w:i/>
        </w:rPr>
      </w:pPr>
    </w:p>
    <w:p w14:paraId="4FBF3268" w14:textId="77777777" w:rsidR="00F2153D" w:rsidRPr="00F2153D" w:rsidRDefault="00F2153D" w:rsidP="00F2153D">
      <w:pPr>
        <w:rPr>
          <w:rFonts w:ascii="Times New Roman" w:hAnsi="Times New Roman" w:cs="Times New Roman"/>
          <w:i/>
          <w:iCs/>
          <w:lang w:eastAsia="x-none"/>
        </w:rPr>
      </w:pPr>
      <w:r w:rsidRPr="00F2153D">
        <w:rPr>
          <w:rFonts w:ascii="Times New Roman" w:hAnsi="Times New Roman" w:cs="Times New Roman"/>
          <w:i/>
          <w:iCs/>
          <w:highlight w:val="green"/>
          <w:lang w:eastAsia="x-none"/>
        </w:rPr>
        <w:t>Agreement:</w:t>
      </w:r>
    </w:p>
    <w:p w14:paraId="74FD97F8" w14:textId="77777777" w:rsidR="00F2153D" w:rsidRPr="00F2153D" w:rsidRDefault="00F2153D" w:rsidP="00F2153D">
      <w:pPr>
        <w:numPr>
          <w:ilvl w:val="0"/>
          <w:numId w:val="58"/>
        </w:numPr>
        <w:rPr>
          <w:rFonts w:ascii="Times New Roman" w:hAnsi="Times New Roman" w:cs="Times New Roman"/>
          <w:i/>
          <w:iCs/>
          <w:lang w:eastAsia="x-none"/>
        </w:rPr>
      </w:pPr>
      <w:r w:rsidRPr="00F2153D">
        <w:rPr>
          <w:rFonts w:ascii="Times New Roman" w:hAnsi="Times New Roman" w:cs="Times New Roman"/>
          <w:i/>
          <w:iCs/>
          <w:lang w:eastAsia="x-none"/>
        </w:rPr>
        <w:t>Capture in TR 36.763, moderator’s summary of GNSS Position fix impact on UE power consumption based on Appendix A Section 5.1</w:t>
      </w:r>
    </w:p>
    <w:p w14:paraId="3FBBFD47" w14:textId="77777777" w:rsidR="00F2153D" w:rsidRPr="00F2153D" w:rsidRDefault="00F2153D" w:rsidP="00F2153D">
      <w:pPr>
        <w:numPr>
          <w:ilvl w:val="0"/>
          <w:numId w:val="58"/>
        </w:numPr>
        <w:rPr>
          <w:rFonts w:ascii="Times New Roman" w:hAnsi="Times New Roman" w:cs="Times New Roman"/>
          <w:i/>
          <w:iCs/>
          <w:lang w:eastAsia="x-none"/>
        </w:rPr>
      </w:pPr>
      <w:r w:rsidRPr="00F2153D">
        <w:rPr>
          <w:rFonts w:ascii="Times New Roman" w:hAnsi="Times New Roman" w:cs="Times New Roman"/>
          <w:i/>
          <w:iCs/>
          <w:lang w:eastAsia="x-none"/>
        </w:rPr>
        <w:t xml:space="preserve">Capture in TR 36.763, individual </w:t>
      </w:r>
      <w:proofErr w:type="gramStart"/>
      <w:r w:rsidRPr="00F2153D">
        <w:rPr>
          <w:rFonts w:ascii="Times New Roman" w:hAnsi="Times New Roman" w:cs="Times New Roman"/>
          <w:i/>
          <w:iCs/>
          <w:lang w:eastAsia="x-none"/>
        </w:rPr>
        <w:t>companies</w:t>
      </w:r>
      <w:proofErr w:type="gramEnd"/>
      <w:r w:rsidRPr="00F2153D">
        <w:rPr>
          <w:rFonts w:ascii="Times New Roman" w:hAnsi="Times New Roman" w:cs="Times New Roman"/>
          <w:i/>
          <w:iCs/>
          <w:lang w:eastAsia="x-none"/>
        </w:rPr>
        <w:t xml:space="preserve"> battery life analysis in Appendix A</w:t>
      </w:r>
    </w:p>
    <w:p w14:paraId="08A38F40" w14:textId="77777777" w:rsidR="00F2153D" w:rsidRPr="00F2153D" w:rsidRDefault="00F2153D" w:rsidP="00F2153D">
      <w:pPr>
        <w:rPr>
          <w:rFonts w:ascii="Times New Roman" w:hAnsi="Times New Roman" w:cs="Times New Roman"/>
          <w:i/>
          <w:iCs/>
          <w:lang w:eastAsia="x-none"/>
        </w:rPr>
      </w:pPr>
    </w:p>
    <w:p w14:paraId="05BB3064" w14:textId="77777777" w:rsidR="00F2153D" w:rsidRPr="00F2153D" w:rsidRDefault="00F2153D" w:rsidP="00F2153D">
      <w:pPr>
        <w:rPr>
          <w:rFonts w:ascii="Times New Roman" w:hAnsi="Times New Roman" w:cs="Times New Roman"/>
          <w:i/>
          <w:iCs/>
          <w:lang w:eastAsia="x-none"/>
        </w:rPr>
      </w:pPr>
      <w:r w:rsidRPr="00F2153D">
        <w:rPr>
          <w:rFonts w:ascii="Times New Roman" w:hAnsi="Times New Roman" w:cs="Times New Roman"/>
          <w:i/>
          <w:iCs/>
          <w:highlight w:val="green"/>
          <w:lang w:eastAsia="x-none"/>
        </w:rPr>
        <w:t>Agreement:</w:t>
      </w:r>
    </w:p>
    <w:p w14:paraId="793C3142" w14:textId="77777777" w:rsidR="00F2153D" w:rsidRPr="00F2153D" w:rsidRDefault="00F2153D" w:rsidP="00F2153D">
      <w:pPr>
        <w:rPr>
          <w:rFonts w:ascii="Times New Roman" w:hAnsi="Times New Roman" w:cs="Times New Roman"/>
          <w:i/>
          <w:iCs/>
          <w:lang w:eastAsia="x-none"/>
        </w:rPr>
      </w:pPr>
      <w:r w:rsidRPr="00F2153D">
        <w:rPr>
          <w:rFonts w:ascii="Times New Roman" w:hAnsi="Times New Roman" w:cs="Times New Roman"/>
          <w:i/>
          <w:iCs/>
          <w:lang w:eastAsia="x-none"/>
        </w:rPr>
        <w:t xml:space="preserve">UE pre-compensation done per N time units for long PUSCH is the baseline solution. </w:t>
      </w:r>
    </w:p>
    <w:p w14:paraId="153AB561" w14:textId="77777777" w:rsidR="00F2153D" w:rsidRPr="00F2153D" w:rsidRDefault="00F2153D" w:rsidP="00F2153D">
      <w:pPr>
        <w:numPr>
          <w:ilvl w:val="0"/>
          <w:numId w:val="59"/>
        </w:numPr>
        <w:rPr>
          <w:rFonts w:ascii="Times New Roman" w:hAnsi="Times New Roman" w:cs="Times New Roman"/>
          <w:i/>
          <w:iCs/>
          <w:lang w:eastAsia="x-none"/>
        </w:rPr>
      </w:pPr>
      <w:r w:rsidRPr="00F2153D">
        <w:rPr>
          <w:rFonts w:ascii="Times New Roman" w:hAnsi="Times New Roman" w:cs="Times New Roman"/>
          <w:i/>
          <w:iCs/>
          <w:lang w:eastAsia="x-none"/>
        </w:rPr>
        <w:t>The pre-compensation does not vary within a block of N time units</w:t>
      </w:r>
    </w:p>
    <w:p w14:paraId="084CFC38" w14:textId="77777777" w:rsidR="00F2153D" w:rsidRPr="00F2153D" w:rsidRDefault="00F2153D" w:rsidP="00F2153D">
      <w:pPr>
        <w:numPr>
          <w:ilvl w:val="0"/>
          <w:numId w:val="59"/>
        </w:numPr>
        <w:rPr>
          <w:rFonts w:ascii="Times New Roman" w:hAnsi="Times New Roman" w:cs="Times New Roman"/>
          <w:i/>
          <w:iCs/>
          <w:lang w:eastAsia="x-none"/>
        </w:rPr>
      </w:pPr>
      <w:r w:rsidRPr="00F2153D">
        <w:rPr>
          <w:rFonts w:ascii="Times New Roman" w:hAnsi="Times New Roman" w:cs="Times New Roman"/>
          <w:i/>
          <w:iCs/>
          <w:lang w:eastAsia="x-none"/>
        </w:rPr>
        <w:t>FFS: the definition and value of N</w:t>
      </w:r>
    </w:p>
    <w:p w14:paraId="0C74A9BE" w14:textId="77777777" w:rsidR="00F2153D" w:rsidRPr="00F2153D" w:rsidRDefault="00F2153D" w:rsidP="00F2153D">
      <w:pPr>
        <w:rPr>
          <w:rFonts w:ascii="Times New Roman" w:hAnsi="Times New Roman" w:cs="Times New Roman"/>
          <w:i/>
          <w:iCs/>
          <w:lang w:eastAsia="x-none"/>
        </w:rPr>
      </w:pPr>
    </w:p>
    <w:p w14:paraId="72A096BE" w14:textId="77777777" w:rsidR="00F2153D" w:rsidRPr="00F2153D" w:rsidRDefault="00F2153D" w:rsidP="00F2153D">
      <w:pPr>
        <w:rPr>
          <w:rFonts w:ascii="Times New Roman" w:hAnsi="Times New Roman" w:cs="Times New Roman"/>
          <w:i/>
          <w:iCs/>
          <w:lang w:eastAsia="x-none"/>
        </w:rPr>
      </w:pPr>
      <w:r w:rsidRPr="00F2153D">
        <w:rPr>
          <w:rFonts w:ascii="Times New Roman" w:hAnsi="Times New Roman" w:cs="Times New Roman"/>
          <w:i/>
          <w:iCs/>
          <w:highlight w:val="green"/>
          <w:lang w:eastAsia="x-none"/>
        </w:rPr>
        <w:t>Agreement:</w:t>
      </w:r>
    </w:p>
    <w:p w14:paraId="15C3E41F" w14:textId="77777777" w:rsidR="00F2153D" w:rsidRPr="00F2153D" w:rsidRDefault="00F2153D" w:rsidP="00F2153D">
      <w:pPr>
        <w:rPr>
          <w:rFonts w:ascii="Times New Roman" w:hAnsi="Times New Roman" w:cs="Times New Roman"/>
          <w:i/>
          <w:iCs/>
          <w:lang w:eastAsia="x-none"/>
        </w:rPr>
      </w:pPr>
      <w:r w:rsidRPr="00F2153D">
        <w:rPr>
          <w:rFonts w:ascii="Times New Roman" w:hAnsi="Times New Roman" w:cs="Times New Roman"/>
          <w:i/>
          <w:iCs/>
          <w:lang w:eastAsia="x-none"/>
        </w:rPr>
        <w:t xml:space="preserve">UE pre-compensation done per N time units for long PRACH is the baseline solution. </w:t>
      </w:r>
    </w:p>
    <w:p w14:paraId="17133EB9" w14:textId="77777777" w:rsidR="00F2153D" w:rsidRPr="00F2153D" w:rsidRDefault="00F2153D" w:rsidP="00F2153D">
      <w:pPr>
        <w:numPr>
          <w:ilvl w:val="0"/>
          <w:numId w:val="59"/>
        </w:numPr>
        <w:rPr>
          <w:rFonts w:ascii="Times New Roman" w:hAnsi="Times New Roman" w:cs="Times New Roman"/>
          <w:i/>
          <w:iCs/>
          <w:lang w:eastAsia="x-none"/>
        </w:rPr>
      </w:pPr>
      <w:r w:rsidRPr="00F2153D">
        <w:rPr>
          <w:rFonts w:ascii="Times New Roman" w:hAnsi="Times New Roman" w:cs="Times New Roman"/>
          <w:i/>
          <w:iCs/>
          <w:lang w:eastAsia="x-none"/>
        </w:rPr>
        <w:t>The pre-compensation does not vary within a block of N time units</w:t>
      </w:r>
    </w:p>
    <w:p w14:paraId="585A014B" w14:textId="77777777" w:rsidR="00F2153D" w:rsidRPr="00F2153D" w:rsidRDefault="00F2153D" w:rsidP="00F2153D">
      <w:pPr>
        <w:numPr>
          <w:ilvl w:val="0"/>
          <w:numId w:val="59"/>
        </w:numPr>
        <w:rPr>
          <w:rFonts w:ascii="Times New Roman" w:hAnsi="Times New Roman" w:cs="Times New Roman"/>
          <w:i/>
          <w:iCs/>
          <w:lang w:eastAsia="x-none"/>
        </w:rPr>
      </w:pPr>
      <w:r w:rsidRPr="00F2153D">
        <w:rPr>
          <w:rFonts w:ascii="Times New Roman" w:hAnsi="Times New Roman" w:cs="Times New Roman"/>
          <w:i/>
          <w:iCs/>
          <w:lang w:eastAsia="x-none"/>
        </w:rPr>
        <w:t>FFS: the definition and value of N</w:t>
      </w:r>
    </w:p>
    <w:p w14:paraId="0FF07C08" w14:textId="77777777" w:rsidR="00F2153D" w:rsidRPr="00F2153D" w:rsidRDefault="00F2153D" w:rsidP="00F2153D">
      <w:pPr>
        <w:rPr>
          <w:rFonts w:ascii="Times New Roman" w:hAnsi="Times New Roman" w:cs="Times New Roman"/>
          <w:i/>
          <w:iCs/>
          <w:lang w:eastAsia="x-none"/>
        </w:rPr>
      </w:pPr>
    </w:p>
    <w:p w14:paraId="17D2F3F5" w14:textId="77777777" w:rsidR="00F2153D" w:rsidRPr="00F2153D" w:rsidRDefault="00F2153D" w:rsidP="00F2153D">
      <w:pPr>
        <w:rPr>
          <w:rFonts w:ascii="Times New Roman" w:hAnsi="Times New Roman" w:cs="Times New Roman"/>
          <w:i/>
          <w:iCs/>
          <w:lang w:eastAsia="x-none"/>
        </w:rPr>
      </w:pPr>
      <w:r w:rsidRPr="00F2153D">
        <w:rPr>
          <w:rFonts w:ascii="Times New Roman" w:hAnsi="Times New Roman" w:cs="Times New Roman"/>
          <w:i/>
          <w:iCs/>
          <w:highlight w:val="green"/>
          <w:lang w:eastAsia="x-none"/>
        </w:rPr>
        <w:t>Agreement:</w:t>
      </w:r>
    </w:p>
    <w:p w14:paraId="12E5C890" w14:textId="77777777" w:rsidR="00F2153D" w:rsidRPr="00F2153D" w:rsidRDefault="00F2153D" w:rsidP="00F2153D">
      <w:pPr>
        <w:rPr>
          <w:rFonts w:ascii="Times New Roman" w:hAnsi="Times New Roman" w:cs="Times New Roman"/>
          <w:i/>
          <w:iCs/>
          <w:lang w:eastAsia="x-none"/>
        </w:rPr>
      </w:pPr>
      <w:r w:rsidRPr="00F2153D">
        <w:rPr>
          <w:rFonts w:ascii="Times New Roman" w:hAnsi="Times New Roman" w:cs="Times New Roman"/>
          <w:i/>
          <w:iCs/>
          <w:lang w:eastAsia="x-none"/>
        </w:rPr>
        <w:t>For DL synchronization in the Rel-17 timeframe, the following should be considered</w:t>
      </w:r>
    </w:p>
    <w:p w14:paraId="144BE587" w14:textId="77777777" w:rsidR="00F2153D" w:rsidRPr="00F2153D" w:rsidRDefault="00F2153D" w:rsidP="00F2153D">
      <w:pPr>
        <w:numPr>
          <w:ilvl w:val="0"/>
          <w:numId w:val="60"/>
        </w:numPr>
        <w:rPr>
          <w:rFonts w:ascii="Times New Roman" w:hAnsi="Times New Roman" w:cs="Times New Roman"/>
          <w:i/>
          <w:iCs/>
          <w:lang w:eastAsia="x-none"/>
        </w:rPr>
      </w:pPr>
      <w:r w:rsidRPr="00F2153D">
        <w:rPr>
          <w:rFonts w:ascii="Times New Roman" w:hAnsi="Times New Roman" w:cs="Times New Roman"/>
          <w:i/>
          <w:iCs/>
          <w:lang w:eastAsia="x-none"/>
        </w:rPr>
        <w:t xml:space="preserve">New Channel raster with a step size increased to be greater than 100 kHz </w:t>
      </w:r>
    </w:p>
    <w:p w14:paraId="3EB11BC6" w14:textId="77777777" w:rsidR="00F2153D" w:rsidRPr="00F2153D" w:rsidRDefault="00F2153D" w:rsidP="00F2153D">
      <w:pPr>
        <w:numPr>
          <w:ilvl w:val="0"/>
          <w:numId w:val="60"/>
        </w:numPr>
        <w:rPr>
          <w:rFonts w:ascii="Times New Roman" w:hAnsi="Times New Roman" w:cs="Times New Roman"/>
          <w:i/>
          <w:iCs/>
          <w:lang w:eastAsia="x-none"/>
        </w:rPr>
      </w:pPr>
      <w:r w:rsidRPr="00F2153D">
        <w:rPr>
          <w:rFonts w:ascii="Times New Roman" w:hAnsi="Times New Roman" w:cs="Times New Roman"/>
          <w:i/>
          <w:iCs/>
          <w:lang w:eastAsia="x-none"/>
        </w:rPr>
        <w:t>(part of) ARFCN-indication-in-MIB</w:t>
      </w:r>
    </w:p>
    <w:p w14:paraId="2B834975" w14:textId="77777777" w:rsidR="00F2153D" w:rsidRPr="00F2153D" w:rsidRDefault="00F2153D" w:rsidP="00F2153D">
      <w:pPr>
        <w:rPr>
          <w:rFonts w:ascii="Times New Roman" w:hAnsi="Times New Roman" w:cs="Times New Roman"/>
          <w:i/>
          <w:iCs/>
          <w:lang w:eastAsia="x-none"/>
        </w:rPr>
      </w:pPr>
    </w:p>
    <w:p w14:paraId="66A5CEC4" w14:textId="77777777" w:rsidR="00F2153D" w:rsidRPr="00F2153D" w:rsidRDefault="00F2153D" w:rsidP="00F2153D">
      <w:pPr>
        <w:rPr>
          <w:rFonts w:ascii="Times New Roman" w:hAnsi="Times New Roman" w:cs="Times New Roman"/>
          <w:i/>
          <w:iCs/>
          <w:lang w:eastAsia="x-none"/>
        </w:rPr>
      </w:pPr>
      <w:r w:rsidRPr="00F2153D">
        <w:rPr>
          <w:rFonts w:ascii="Times New Roman" w:hAnsi="Times New Roman" w:cs="Times New Roman"/>
          <w:i/>
          <w:iCs/>
          <w:highlight w:val="green"/>
          <w:lang w:eastAsia="x-none"/>
        </w:rPr>
        <w:t>Agreement:</w:t>
      </w:r>
    </w:p>
    <w:p w14:paraId="01FA1710" w14:textId="77777777" w:rsidR="00F2153D" w:rsidRPr="00F2153D" w:rsidRDefault="00F2153D" w:rsidP="00F2153D">
      <w:pPr>
        <w:rPr>
          <w:rFonts w:ascii="Times New Roman" w:hAnsi="Times New Roman" w:cs="Times New Roman"/>
          <w:i/>
          <w:iCs/>
          <w:lang w:eastAsia="x-none"/>
        </w:rPr>
      </w:pPr>
      <w:r w:rsidRPr="00F2153D">
        <w:rPr>
          <w:rFonts w:ascii="Times New Roman" w:hAnsi="Times New Roman" w:cs="Times New Roman"/>
          <w:i/>
          <w:iCs/>
          <w:lang w:eastAsia="x-none"/>
        </w:rPr>
        <w:t>Capture the following in the TR:</w:t>
      </w:r>
    </w:p>
    <w:p w14:paraId="72537CD4" w14:textId="77777777" w:rsidR="00F2153D" w:rsidRPr="00F2153D" w:rsidRDefault="00F2153D" w:rsidP="00F2153D">
      <w:pPr>
        <w:rPr>
          <w:rFonts w:ascii="Times New Roman" w:hAnsi="Times New Roman" w:cs="Times New Roman"/>
          <w:i/>
          <w:iCs/>
          <w:lang w:eastAsia="x-none"/>
        </w:rPr>
      </w:pPr>
      <w:r w:rsidRPr="00F2153D">
        <w:rPr>
          <w:rFonts w:ascii="Times New Roman" w:hAnsi="Times New Roman" w:cs="Times New Roman"/>
          <w:i/>
          <w:iCs/>
          <w:lang w:eastAsia="x-none"/>
        </w:rPr>
        <w:t xml:space="preserve">The required power consumption to read SIB containing satellite ephemeris information for the short sporadic connections use case is not significant. </w:t>
      </w:r>
    </w:p>
    <w:p w14:paraId="07E8BDD1" w14:textId="77777777" w:rsidR="00F2153D" w:rsidRPr="00F2153D" w:rsidRDefault="00F2153D" w:rsidP="00F2153D">
      <w:pPr>
        <w:numPr>
          <w:ilvl w:val="0"/>
          <w:numId w:val="61"/>
        </w:numPr>
        <w:rPr>
          <w:rFonts w:ascii="Times New Roman" w:hAnsi="Times New Roman" w:cs="Times New Roman"/>
          <w:i/>
          <w:iCs/>
          <w:lang w:eastAsia="x-none"/>
        </w:rPr>
      </w:pPr>
      <w:r w:rsidRPr="00F2153D">
        <w:rPr>
          <w:rFonts w:ascii="Times New Roman" w:hAnsi="Times New Roman" w:cs="Times New Roman"/>
          <w:i/>
          <w:iCs/>
          <w:lang w:eastAsia="x-none"/>
        </w:rPr>
        <w:t>Note: For this conclusion, it is assumed that the UE need not read broadcast SIB for the purpose of obtaining satellite ephemeris information in CONNECTED mode.</w:t>
      </w:r>
    </w:p>
    <w:p w14:paraId="07AB3F4D" w14:textId="77777777" w:rsidR="00F2153D" w:rsidRDefault="00F2153D" w:rsidP="005A500F">
      <w:pPr>
        <w:jc w:val="both"/>
        <w:rPr>
          <w:rFonts w:ascii="Arial" w:hAnsi="Arial" w:cs="Arial"/>
        </w:rPr>
      </w:pPr>
    </w:p>
    <w:p w14:paraId="29E8FE45" w14:textId="48D75380" w:rsidR="003447E3" w:rsidRPr="00863E2D" w:rsidRDefault="003447E3" w:rsidP="005A500F">
      <w:pPr>
        <w:jc w:val="both"/>
        <w:rPr>
          <w:rFonts w:ascii="Arial" w:hAnsi="Arial" w:cs="Arial"/>
        </w:rPr>
      </w:pPr>
      <w:r>
        <w:rPr>
          <w:rFonts w:ascii="Arial" w:hAnsi="Arial" w:cs="Arial"/>
        </w:rPr>
        <w:t>In this contribution, we discuss further on necessary changes to extend NB-IoT/eMTC to a non-terrestrial environment in terms of time/frequency adjustment.</w:t>
      </w:r>
    </w:p>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lastRenderedPageBreak/>
        <w:t>Discussion</w:t>
      </w:r>
    </w:p>
    <w:p w14:paraId="4C44EF5A" w14:textId="55F89BA7" w:rsidR="00863E2D" w:rsidRPr="00863E2D" w:rsidRDefault="00863E2D" w:rsidP="00820CC3">
      <w:pPr>
        <w:spacing w:after="120" w:line="276" w:lineRule="auto"/>
        <w:jc w:val="both"/>
        <w:rPr>
          <w:rFonts w:ascii="Arial" w:hAnsi="Arial" w:cs="Arial"/>
          <w:b/>
          <w:bCs/>
          <w:u w:val="single"/>
        </w:rPr>
      </w:pPr>
      <w:r w:rsidRPr="00863E2D">
        <w:rPr>
          <w:rFonts w:ascii="Arial" w:hAnsi="Arial" w:cs="Arial"/>
          <w:b/>
          <w:bCs/>
          <w:u w:val="single"/>
        </w:rPr>
        <w:t>PRACH congestion</w:t>
      </w:r>
    </w:p>
    <w:p w14:paraId="122C31C6" w14:textId="77777777" w:rsidR="00DB5BF2" w:rsidRDefault="00DB5BF2" w:rsidP="00820CC3">
      <w:pPr>
        <w:spacing w:after="120" w:line="276" w:lineRule="auto"/>
        <w:jc w:val="both"/>
        <w:rPr>
          <w:rFonts w:ascii="Arial" w:hAnsi="Arial" w:cs="Arial"/>
        </w:rPr>
      </w:pPr>
      <w:r>
        <w:rPr>
          <w:rFonts w:ascii="Arial" w:hAnsi="Arial" w:cs="Arial"/>
        </w:rPr>
        <w:t>In RAN1 #104b-e, potential PRACH congestion issue was discussed. The PRACH congestion may occur when the SIB carrying satellite ephemeris information is transmitted with long cycle since all UEs within the cycle will read the SIB and select PRACH resource at the same RO. Using a random delay to determine RO after SIB read has been proposed to alleviate the PRACH congestion.</w:t>
      </w:r>
    </w:p>
    <w:p w14:paraId="141CB954" w14:textId="6A41CEC8" w:rsidR="00AD0BBA" w:rsidRDefault="00DB5BF2" w:rsidP="00820CC3">
      <w:pPr>
        <w:spacing w:after="120" w:line="276" w:lineRule="auto"/>
        <w:jc w:val="both"/>
        <w:rPr>
          <w:rFonts w:ascii="Arial" w:hAnsi="Arial" w:cs="Arial"/>
        </w:rPr>
      </w:pPr>
      <w:r>
        <w:rPr>
          <w:rFonts w:ascii="Arial" w:hAnsi="Arial" w:cs="Arial"/>
        </w:rPr>
        <w:t xml:space="preserve">However, the PRACH congestion can be handle by gNB with </w:t>
      </w:r>
      <w:r w:rsidR="00AD0BBA">
        <w:rPr>
          <w:rFonts w:ascii="Arial" w:hAnsi="Arial" w:cs="Arial"/>
        </w:rPr>
        <w:t>an appropriate configuration of ephemeris SIB and ROs. For example, more frequent RO could alleviate the PRACH congestion since the first RO after ephemeris SIB read could be different due to different propagation delay across the UEs when cell size is large. Therefore, short RO period may reduce PRACH congestion.</w:t>
      </w:r>
    </w:p>
    <w:p w14:paraId="26D579FB" w14:textId="44E3E6FF" w:rsidR="00AD0BBA" w:rsidRDefault="00AD0BBA" w:rsidP="00820CC3">
      <w:pPr>
        <w:spacing w:after="120" w:line="276" w:lineRule="auto"/>
        <w:jc w:val="both"/>
        <w:rPr>
          <w:rFonts w:ascii="Arial" w:hAnsi="Arial" w:cs="Arial"/>
        </w:rPr>
      </w:pPr>
      <w:r w:rsidRPr="00AD0BBA">
        <w:rPr>
          <w:rFonts w:ascii="Arial" w:hAnsi="Arial" w:cs="Arial"/>
          <w:b/>
          <w:bCs/>
          <w:i/>
          <w:iCs/>
        </w:rPr>
        <w:t>Observation-1:</w:t>
      </w:r>
      <w:r>
        <w:rPr>
          <w:rFonts w:ascii="Arial" w:hAnsi="Arial" w:cs="Arial"/>
        </w:rPr>
        <w:t xml:space="preserve"> </w:t>
      </w:r>
      <w:r w:rsidRPr="00AD0BBA">
        <w:rPr>
          <w:rFonts w:ascii="Arial" w:hAnsi="Arial" w:cs="Arial"/>
          <w:i/>
          <w:iCs/>
        </w:rPr>
        <w:t>Short RO period configuration could reduce PRACH congestion since the first RO after ephemeris</w:t>
      </w:r>
      <w:r>
        <w:rPr>
          <w:rFonts w:ascii="Arial" w:hAnsi="Arial" w:cs="Arial"/>
        </w:rPr>
        <w:t xml:space="preserve"> </w:t>
      </w:r>
      <w:r w:rsidRPr="00AD0BBA">
        <w:rPr>
          <w:rFonts w:ascii="Arial" w:hAnsi="Arial" w:cs="Arial"/>
          <w:i/>
          <w:iCs/>
        </w:rPr>
        <w:t>SIB read could be different across the UEs due to different propagation delay.</w:t>
      </w:r>
    </w:p>
    <w:p w14:paraId="52FA24D2" w14:textId="39B1755A" w:rsidR="00DB5BF2" w:rsidRDefault="00255D61" w:rsidP="00820CC3">
      <w:pPr>
        <w:spacing w:after="120" w:line="276" w:lineRule="auto"/>
        <w:jc w:val="both"/>
        <w:rPr>
          <w:rFonts w:ascii="Arial" w:hAnsi="Arial" w:cs="Arial"/>
        </w:rPr>
      </w:pPr>
      <w:r>
        <w:rPr>
          <w:rFonts w:ascii="Arial" w:hAnsi="Arial" w:cs="Arial"/>
        </w:rPr>
        <w:t>In addition, frequent ephemeris SIB transmission also reduces PRACH congestion since the number of UEs within each ephemeris SIB transmission cycle will be reduced. In this case, at least one RO should be configured in each ephemeris SIB transmission cycle.</w:t>
      </w:r>
    </w:p>
    <w:p w14:paraId="6E4A9D31" w14:textId="73B8A991" w:rsidR="003A0700" w:rsidRDefault="003A0700" w:rsidP="003A0700">
      <w:pPr>
        <w:spacing w:after="120" w:line="276" w:lineRule="auto"/>
        <w:jc w:val="both"/>
        <w:rPr>
          <w:rFonts w:ascii="Arial" w:hAnsi="Arial" w:cs="Arial"/>
        </w:rPr>
      </w:pPr>
      <w:r w:rsidRPr="00AD0BBA">
        <w:rPr>
          <w:rFonts w:ascii="Arial" w:hAnsi="Arial" w:cs="Arial"/>
          <w:b/>
          <w:bCs/>
          <w:i/>
          <w:iCs/>
        </w:rPr>
        <w:t>Observation-</w:t>
      </w:r>
      <w:r>
        <w:rPr>
          <w:rFonts w:ascii="Arial" w:hAnsi="Arial" w:cs="Arial"/>
          <w:b/>
          <w:bCs/>
          <w:i/>
          <w:iCs/>
        </w:rPr>
        <w:t>2</w:t>
      </w:r>
      <w:r w:rsidRPr="00AD0BBA">
        <w:rPr>
          <w:rFonts w:ascii="Arial" w:hAnsi="Arial" w:cs="Arial"/>
          <w:b/>
          <w:bCs/>
          <w:i/>
          <w:iCs/>
        </w:rPr>
        <w:t>:</w:t>
      </w:r>
      <w:r>
        <w:rPr>
          <w:rFonts w:ascii="Arial" w:hAnsi="Arial" w:cs="Arial"/>
        </w:rPr>
        <w:t xml:space="preserve"> </w:t>
      </w:r>
      <w:r>
        <w:rPr>
          <w:rFonts w:ascii="Arial" w:hAnsi="Arial" w:cs="Arial"/>
          <w:i/>
          <w:iCs/>
        </w:rPr>
        <w:t>frequent ephemeris SIB transmission also reduces PRACH congestion when its associated ROs configured appropriately</w:t>
      </w:r>
      <w:r w:rsidRPr="00AD0BBA">
        <w:rPr>
          <w:rFonts w:ascii="Arial" w:hAnsi="Arial" w:cs="Arial"/>
          <w:i/>
          <w:iCs/>
        </w:rPr>
        <w:t>.</w:t>
      </w:r>
    </w:p>
    <w:p w14:paraId="67EFC46D" w14:textId="2EEB2AE8" w:rsidR="003A0700" w:rsidRDefault="003A0700" w:rsidP="00820CC3">
      <w:pPr>
        <w:spacing w:after="120" w:line="276" w:lineRule="auto"/>
        <w:jc w:val="both"/>
        <w:rPr>
          <w:rFonts w:ascii="Arial" w:hAnsi="Arial" w:cs="Arial"/>
        </w:rPr>
      </w:pPr>
      <w:r>
        <w:rPr>
          <w:rFonts w:ascii="Arial" w:hAnsi="Arial" w:cs="Arial"/>
        </w:rPr>
        <w:t>Based on the observations, it seems the PRACH congestion could be alleviated by gNB implementation. Given that the group should aim to finish normative work for IoT NTN in Rel-17, the PRACH congestion issue should be down-prioritized in Rel-17 and study further the standards-based solution in the later release if needed.</w:t>
      </w:r>
    </w:p>
    <w:p w14:paraId="3BA0EF7F" w14:textId="5E169036" w:rsidR="003A0700" w:rsidRDefault="003A0700" w:rsidP="003A0700">
      <w:pPr>
        <w:spacing w:after="120" w:line="276" w:lineRule="auto"/>
        <w:jc w:val="both"/>
        <w:rPr>
          <w:rFonts w:ascii="Arial" w:hAnsi="Arial" w:cs="Arial"/>
        </w:rPr>
      </w:pPr>
      <w:r>
        <w:rPr>
          <w:rFonts w:ascii="Arial" w:hAnsi="Arial" w:cs="Arial"/>
          <w:b/>
          <w:bCs/>
          <w:i/>
          <w:iCs/>
        </w:rPr>
        <w:t>Proposal</w:t>
      </w:r>
      <w:r w:rsidRPr="00AD0BBA">
        <w:rPr>
          <w:rFonts w:ascii="Arial" w:hAnsi="Arial" w:cs="Arial"/>
          <w:b/>
          <w:bCs/>
          <w:i/>
          <w:iCs/>
        </w:rPr>
        <w:t>-</w:t>
      </w:r>
      <w:r>
        <w:rPr>
          <w:rFonts w:ascii="Arial" w:hAnsi="Arial" w:cs="Arial"/>
          <w:b/>
          <w:bCs/>
          <w:i/>
          <w:iCs/>
        </w:rPr>
        <w:t>1</w:t>
      </w:r>
      <w:r w:rsidRPr="00AD0BBA">
        <w:rPr>
          <w:rFonts w:ascii="Arial" w:hAnsi="Arial" w:cs="Arial"/>
          <w:b/>
          <w:bCs/>
          <w:i/>
          <w:iCs/>
        </w:rPr>
        <w:t>:</w:t>
      </w:r>
      <w:r>
        <w:rPr>
          <w:rFonts w:ascii="Arial" w:hAnsi="Arial" w:cs="Arial"/>
        </w:rPr>
        <w:t xml:space="preserve"> </w:t>
      </w:r>
      <w:r>
        <w:rPr>
          <w:rFonts w:ascii="Arial" w:hAnsi="Arial" w:cs="Arial"/>
          <w:i/>
          <w:iCs/>
        </w:rPr>
        <w:t xml:space="preserve">it is up to gNB implementation </w:t>
      </w:r>
      <w:r w:rsidR="0032653A">
        <w:rPr>
          <w:rFonts w:ascii="Arial" w:hAnsi="Arial" w:cs="Arial"/>
          <w:i/>
          <w:iCs/>
        </w:rPr>
        <w:t xml:space="preserve">how </w:t>
      </w:r>
      <w:r>
        <w:rPr>
          <w:rFonts w:ascii="Arial" w:hAnsi="Arial" w:cs="Arial"/>
          <w:i/>
          <w:iCs/>
        </w:rPr>
        <w:t>to handle PRACH congestion in Rel-17</w:t>
      </w:r>
      <w:r w:rsidRPr="00AD0BBA">
        <w:rPr>
          <w:rFonts w:ascii="Arial" w:hAnsi="Arial" w:cs="Arial"/>
          <w:i/>
          <w:iCs/>
        </w:rPr>
        <w:t>.</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00DCE8FF"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F93D43">
        <w:rPr>
          <w:rFonts w:ascii="Arial" w:hAnsi="Arial" w:cs="Arial"/>
        </w:rPr>
        <w:t xml:space="preserve">time and frequency synchronization </w:t>
      </w:r>
      <w:r w:rsidR="0050017F">
        <w:rPr>
          <w:rFonts w:ascii="Arial" w:hAnsi="Arial" w:cs="Arial"/>
        </w:rPr>
        <w:t>for IoT NTN. Based on the discussion, we propose following</w:t>
      </w:r>
      <w:r w:rsidR="00CB0932">
        <w:rPr>
          <w:rFonts w:ascii="Arial" w:hAnsi="Arial" w:cs="Arial"/>
        </w:rPr>
        <w:t>:</w:t>
      </w:r>
      <w:r w:rsidRPr="008924A3">
        <w:rPr>
          <w:rFonts w:ascii="Arial" w:hAnsi="Arial" w:cs="Arial"/>
        </w:rPr>
        <w:t xml:space="preserve"> </w:t>
      </w:r>
    </w:p>
    <w:p w14:paraId="2B04FBB2" w14:textId="77777777" w:rsidR="00D241D7" w:rsidRPr="008924A3" w:rsidRDefault="00D241D7" w:rsidP="00416213">
      <w:pPr>
        <w:spacing w:after="120"/>
        <w:jc w:val="both"/>
        <w:rPr>
          <w:rFonts w:ascii="Arial" w:hAnsi="Arial" w:cs="Arial"/>
        </w:rPr>
      </w:pPr>
    </w:p>
    <w:p w14:paraId="417FAAF4" w14:textId="3ADCE785" w:rsidR="0032653A" w:rsidRDefault="0032653A" w:rsidP="0032653A">
      <w:pPr>
        <w:spacing w:after="120" w:line="276" w:lineRule="auto"/>
        <w:jc w:val="both"/>
        <w:rPr>
          <w:rFonts w:ascii="Arial" w:hAnsi="Arial" w:cs="Arial"/>
          <w:i/>
          <w:iCs/>
        </w:rPr>
      </w:pPr>
      <w:r w:rsidRPr="00AD0BBA">
        <w:rPr>
          <w:rFonts w:ascii="Arial" w:hAnsi="Arial" w:cs="Arial"/>
          <w:b/>
          <w:bCs/>
          <w:i/>
          <w:iCs/>
        </w:rPr>
        <w:t>Observation-1:</w:t>
      </w:r>
      <w:r>
        <w:rPr>
          <w:rFonts w:ascii="Arial" w:hAnsi="Arial" w:cs="Arial"/>
        </w:rPr>
        <w:t xml:space="preserve"> </w:t>
      </w:r>
      <w:r w:rsidRPr="00AD0BBA">
        <w:rPr>
          <w:rFonts w:ascii="Arial" w:hAnsi="Arial" w:cs="Arial"/>
          <w:i/>
          <w:iCs/>
        </w:rPr>
        <w:t>Short RO period configuration could reduce PRACH congestion since the first RO after ephemeris</w:t>
      </w:r>
      <w:r>
        <w:rPr>
          <w:rFonts w:ascii="Arial" w:hAnsi="Arial" w:cs="Arial"/>
        </w:rPr>
        <w:t xml:space="preserve"> </w:t>
      </w:r>
      <w:r w:rsidRPr="00AD0BBA">
        <w:rPr>
          <w:rFonts w:ascii="Arial" w:hAnsi="Arial" w:cs="Arial"/>
          <w:i/>
          <w:iCs/>
        </w:rPr>
        <w:t>SIB read could be different across the UEs due to different propagation delay.</w:t>
      </w:r>
    </w:p>
    <w:p w14:paraId="77B3D936" w14:textId="77777777" w:rsidR="0032653A" w:rsidRDefault="0032653A" w:rsidP="0032653A">
      <w:pPr>
        <w:spacing w:after="120" w:line="276" w:lineRule="auto"/>
        <w:jc w:val="both"/>
        <w:rPr>
          <w:rFonts w:ascii="Arial" w:hAnsi="Arial" w:cs="Arial"/>
        </w:rPr>
      </w:pPr>
      <w:r w:rsidRPr="00AD0BBA">
        <w:rPr>
          <w:rFonts w:ascii="Arial" w:hAnsi="Arial" w:cs="Arial"/>
          <w:b/>
          <w:bCs/>
          <w:i/>
          <w:iCs/>
        </w:rPr>
        <w:t>Observation-</w:t>
      </w:r>
      <w:r>
        <w:rPr>
          <w:rFonts w:ascii="Arial" w:hAnsi="Arial" w:cs="Arial"/>
          <w:b/>
          <w:bCs/>
          <w:i/>
          <w:iCs/>
        </w:rPr>
        <w:t>2</w:t>
      </w:r>
      <w:r w:rsidRPr="00AD0BBA">
        <w:rPr>
          <w:rFonts w:ascii="Arial" w:hAnsi="Arial" w:cs="Arial"/>
          <w:b/>
          <w:bCs/>
          <w:i/>
          <w:iCs/>
        </w:rPr>
        <w:t>:</w:t>
      </w:r>
      <w:r>
        <w:rPr>
          <w:rFonts w:ascii="Arial" w:hAnsi="Arial" w:cs="Arial"/>
        </w:rPr>
        <w:t xml:space="preserve"> </w:t>
      </w:r>
      <w:r>
        <w:rPr>
          <w:rFonts w:ascii="Arial" w:hAnsi="Arial" w:cs="Arial"/>
          <w:i/>
          <w:iCs/>
        </w:rPr>
        <w:t>frequent ephemeris SIB transmission also reduces PRACH congestion when its associated ROs configured appropriately</w:t>
      </w:r>
      <w:r w:rsidRPr="00AD0BBA">
        <w:rPr>
          <w:rFonts w:ascii="Arial" w:hAnsi="Arial" w:cs="Arial"/>
          <w:i/>
          <w:iCs/>
        </w:rPr>
        <w:t>.</w:t>
      </w:r>
    </w:p>
    <w:p w14:paraId="4A246D56" w14:textId="77777777" w:rsidR="0032653A" w:rsidRDefault="0032653A" w:rsidP="0032653A">
      <w:pPr>
        <w:spacing w:after="120" w:line="276" w:lineRule="auto"/>
        <w:jc w:val="both"/>
        <w:rPr>
          <w:rFonts w:ascii="Arial" w:hAnsi="Arial" w:cs="Arial"/>
        </w:rPr>
      </w:pPr>
      <w:r>
        <w:rPr>
          <w:rFonts w:ascii="Arial" w:hAnsi="Arial" w:cs="Arial"/>
          <w:b/>
          <w:bCs/>
          <w:i/>
          <w:iCs/>
        </w:rPr>
        <w:t>Proposal</w:t>
      </w:r>
      <w:r w:rsidRPr="00AD0BBA">
        <w:rPr>
          <w:rFonts w:ascii="Arial" w:hAnsi="Arial" w:cs="Arial"/>
          <w:b/>
          <w:bCs/>
          <w:i/>
          <w:iCs/>
        </w:rPr>
        <w:t>-</w:t>
      </w:r>
      <w:r>
        <w:rPr>
          <w:rFonts w:ascii="Arial" w:hAnsi="Arial" w:cs="Arial"/>
          <w:b/>
          <w:bCs/>
          <w:i/>
          <w:iCs/>
        </w:rPr>
        <w:t>1</w:t>
      </w:r>
      <w:r w:rsidRPr="00AD0BBA">
        <w:rPr>
          <w:rFonts w:ascii="Arial" w:hAnsi="Arial" w:cs="Arial"/>
          <w:b/>
          <w:bCs/>
          <w:i/>
          <w:iCs/>
        </w:rPr>
        <w:t>:</w:t>
      </w:r>
      <w:r>
        <w:rPr>
          <w:rFonts w:ascii="Arial" w:hAnsi="Arial" w:cs="Arial"/>
        </w:rPr>
        <w:t xml:space="preserve"> </w:t>
      </w:r>
      <w:r>
        <w:rPr>
          <w:rFonts w:ascii="Arial" w:hAnsi="Arial" w:cs="Arial"/>
          <w:i/>
          <w:iCs/>
        </w:rPr>
        <w:t>it is up to gNB implementation how to handle PRACH congestion in Rel-17</w:t>
      </w:r>
      <w:r w:rsidRPr="00AD0BBA">
        <w:rPr>
          <w:rFonts w:ascii="Arial" w:hAnsi="Arial" w:cs="Arial"/>
          <w:i/>
          <w:iCs/>
        </w:rPr>
        <w:t>.</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lastRenderedPageBreak/>
        <w:t>References</w:t>
      </w:r>
    </w:p>
    <w:p w14:paraId="46267F56" w14:textId="05552754" w:rsidR="009C3410" w:rsidRDefault="009C3410" w:rsidP="00F8241F">
      <w:pPr>
        <w:pStyle w:val="Reference"/>
        <w:spacing w:after="120"/>
        <w:jc w:val="both"/>
        <w:rPr>
          <w:rFonts w:ascii="Times New Roman" w:hAnsi="Times New Roman" w:cs="Times New Roman"/>
        </w:rPr>
      </w:pPr>
      <w:bookmarkStart w:id="2" w:name="_Ref49798330"/>
      <w:r>
        <w:rPr>
          <w:rFonts w:ascii="Times New Roman" w:hAnsi="Times New Roman" w:cs="Times New Roman"/>
        </w:rPr>
        <w:t>RAN1 #104</w:t>
      </w:r>
      <w:r w:rsidR="00F2153D">
        <w:rPr>
          <w:rFonts w:ascii="Times New Roman" w:hAnsi="Times New Roman" w:cs="Times New Roman"/>
        </w:rPr>
        <w:t>b-</w:t>
      </w:r>
      <w:r>
        <w:rPr>
          <w:rFonts w:ascii="Times New Roman" w:hAnsi="Times New Roman" w:cs="Times New Roman"/>
        </w:rPr>
        <w:t>e Chairman’s note</w:t>
      </w:r>
    </w:p>
    <w:p w14:paraId="6EAF24B3" w14:textId="51576DDA" w:rsidR="009C3410" w:rsidRDefault="009C3410" w:rsidP="00F8241F">
      <w:pPr>
        <w:pStyle w:val="Reference"/>
        <w:spacing w:after="120"/>
        <w:jc w:val="both"/>
        <w:rPr>
          <w:rFonts w:ascii="Times New Roman" w:hAnsi="Times New Roman" w:cs="Times New Roman"/>
        </w:rPr>
      </w:pPr>
      <w:r>
        <w:rPr>
          <w:rFonts w:ascii="Times New Roman" w:hAnsi="Times New Roman" w:cs="Times New Roman"/>
        </w:rPr>
        <w:t>RP-210906, Way forward on new proposals, Nokia (RAN chair)</w:t>
      </w:r>
    </w:p>
    <w:p w14:paraId="270BAE38" w14:textId="77777777" w:rsidR="009C3410" w:rsidRDefault="009C3410" w:rsidP="009C3410">
      <w:pPr>
        <w:pStyle w:val="Reference"/>
        <w:spacing w:after="120"/>
        <w:jc w:val="both"/>
        <w:rPr>
          <w:rFonts w:ascii="Times New Roman" w:hAnsi="Times New Roman" w:cs="Times New Roman"/>
        </w:rPr>
      </w:pPr>
      <w:r>
        <w:rPr>
          <w:rFonts w:ascii="Times New Roman" w:hAnsi="Times New Roman" w:cs="Times New Roman"/>
        </w:rPr>
        <w:t>RP-210915, Moderator’s summary for e-mail discussion [91E][</w:t>
      </w:r>
      <w:proofErr w:type="gramStart"/>
      <w:r>
        <w:rPr>
          <w:rFonts w:ascii="Times New Roman" w:hAnsi="Times New Roman" w:cs="Times New Roman"/>
        </w:rPr>
        <w:t>42][</w:t>
      </w:r>
      <w:proofErr w:type="spellStart"/>
      <w:proofErr w:type="gramEnd"/>
      <w:r>
        <w:rPr>
          <w:rFonts w:ascii="Times New Roman" w:hAnsi="Times New Roman" w:cs="Times New Roman"/>
        </w:rPr>
        <w:t>NTN_IoT_roadmap</w:t>
      </w:r>
      <w:proofErr w:type="spellEnd"/>
      <w:r>
        <w:rPr>
          <w:rFonts w:ascii="Times New Roman" w:hAnsi="Times New Roman" w:cs="Times New Roman"/>
        </w:rPr>
        <w:t>]</w:t>
      </w:r>
    </w:p>
    <w:p w14:paraId="2F02CFF5" w14:textId="3D2B6DF7" w:rsidR="00F8241F" w:rsidRPr="00994D39" w:rsidRDefault="00F8241F" w:rsidP="00F8241F">
      <w:pPr>
        <w:pStyle w:val="Reference"/>
        <w:spacing w:after="120"/>
        <w:jc w:val="both"/>
        <w:rPr>
          <w:rFonts w:ascii="Times New Roman" w:hAnsi="Times New Roman" w:cs="Times New Roman"/>
        </w:rPr>
      </w:pPr>
      <w:r w:rsidRPr="00994D39">
        <w:rPr>
          <w:rFonts w:ascii="Times New Roman" w:hAnsi="Times New Roman" w:cs="Times New Roman"/>
        </w:rPr>
        <w:t>RP-193235, Study on NB-IoT/eMTC support for Non-terrestrial Network, MediaTek Inc., RAN#86, Dec 2019.</w:t>
      </w:r>
      <w:bookmarkEnd w:id="2"/>
    </w:p>
    <w:p w14:paraId="47BC1085" w14:textId="77777777" w:rsidR="00745259" w:rsidRPr="00344277" w:rsidRDefault="00745259" w:rsidP="00745259">
      <w:pPr>
        <w:pStyle w:val="Reference"/>
        <w:overflowPunct w:val="0"/>
        <w:autoSpaceDE w:val="0"/>
        <w:autoSpaceDN w:val="0"/>
        <w:adjustRightInd w:val="0"/>
        <w:spacing w:after="60"/>
        <w:jc w:val="both"/>
        <w:textAlignment w:val="baseline"/>
        <w:rPr>
          <w:rFonts w:ascii="Times New Roman" w:hAnsi="Times New Roman" w:cs="Times New Roman"/>
        </w:rPr>
      </w:pPr>
      <w:r w:rsidRPr="00344277">
        <w:rPr>
          <w:rFonts w:ascii="Times New Roman" w:hAnsi="Times New Roman" w:cs="Times New Roman"/>
        </w:rPr>
        <w:t>3GPP TR 38.821 Solutions for NR to support non-terrestrial networks (NTN)</w:t>
      </w:r>
    </w:p>
    <w:p w14:paraId="130531EF" w14:textId="77777777" w:rsidR="00745259" w:rsidRPr="00416213" w:rsidRDefault="00745259" w:rsidP="00416213">
      <w:pPr>
        <w:pStyle w:val="Reference"/>
        <w:numPr>
          <w:ilvl w:val="0"/>
          <w:numId w:val="0"/>
        </w:numPr>
        <w:spacing w:after="120"/>
        <w:jc w:val="both"/>
        <w:rPr>
          <w:rFonts w:ascii="Times New Roman" w:hAnsi="Times New Roman" w:cs="Times New Roman"/>
        </w:rPr>
      </w:pPr>
    </w:p>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A70CF" w14:textId="77777777" w:rsidR="003E093E" w:rsidRDefault="003E093E">
      <w:r>
        <w:separator/>
      </w:r>
    </w:p>
  </w:endnote>
  <w:endnote w:type="continuationSeparator" w:id="0">
    <w:p w14:paraId="7EA271F0" w14:textId="77777777" w:rsidR="003E093E" w:rsidRDefault="003E093E">
      <w:r>
        <w:continuationSeparator/>
      </w:r>
    </w:p>
  </w:endnote>
  <w:endnote w:type="continuationNotice" w:id="1">
    <w:p w14:paraId="690053A9" w14:textId="77777777" w:rsidR="003E093E" w:rsidRDefault="003E0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Times">
    <w:altName w:val="﷽﷽﷽﷽﷽﷽厽薳"/>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62824" w14:textId="77777777" w:rsidR="003E093E" w:rsidRDefault="003E093E">
      <w:r>
        <w:separator/>
      </w:r>
    </w:p>
  </w:footnote>
  <w:footnote w:type="continuationSeparator" w:id="0">
    <w:p w14:paraId="7B7997BE" w14:textId="77777777" w:rsidR="003E093E" w:rsidRDefault="003E093E">
      <w:r>
        <w:continuationSeparator/>
      </w:r>
    </w:p>
  </w:footnote>
  <w:footnote w:type="continuationNotice" w:id="1">
    <w:p w14:paraId="01038757" w14:textId="77777777" w:rsidR="003E093E" w:rsidRDefault="003E09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0C1E42"/>
    <w:multiLevelType w:val="hybridMultilevel"/>
    <w:tmpl w:val="FD822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934958"/>
    <w:multiLevelType w:val="hybridMultilevel"/>
    <w:tmpl w:val="F1DAF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8" w15:restartNumberingAfterBreak="0">
    <w:nsid w:val="4ABB246A"/>
    <w:multiLevelType w:val="multilevel"/>
    <w:tmpl w:val="4C39649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E57D31"/>
    <w:multiLevelType w:val="hybridMultilevel"/>
    <w:tmpl w:val="4E5C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9"/>
  </w:num>
  <w:num w:numId="3">
    <w:abstractNumId w:val="23"/>
  </w:num>
  <w:num w:numId="4">
    <w:abstractNumId w:val="24"/>
  </w:num>
  <w:num w:numId="5">
    <w:abstractNumId w:val="17"/>
  </w:num>
  <w:num w:numId="6">
    <w:abstractNumId w:val="25"/>
  </w:num>
  <w:num w:numId="7">
    <w:abstractNumId w:val="36"/>
  </w:num>
  <w:num w:numId="8">
    <w:abstractNumId w:val="18"/>
  </w:num>
  <w:num w:numId="9">
    <w:abstractNumId w:val="52"/>
  </w:num>
  <w:num w:numId="10">
    <w:abstractNumId w:val="21"/>
  </w:num>
  <w:num w:numId="11">
    <w:abstractNumId w:val="40"/>
  </w:num>
  <w:num w:numId="12">
    <w:abstractNumId w:val="33"/>
  </w:num>
  <w:num w:numId="13">
    <w:abstractNumId w:val="53"/>
  </w:num>
  <w:num w:numId="14">
    <w:abstractNumId w:val="20"/>
  </w:num>
  <w:num w:numId="15">
    <w:abstractNumId w:val="13"/>
  </w:num>
  <w:num w:numId="16">
    <w:abstractNumId w:val="51"/>
  </w:num>
  <w:num w:numId="17">
    <w:abstractNumId w:val="10"/>
  </w:num>
  <w:num w:numId="18">
    <w:abstractNumId w:val="41"/>
  </w:num>
  <w:num w:numId="19">
    <w:abstractNumId w:val="5"/>
  </w:num>
  <w:num w:numId="20">
    <w:abstractNumId w:val="35"/>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6"/>
  </w:num>
  <w:num w:numId="28">
    <w:abstractNumId w:val="31"/>
  </w:num>
  <w:num w:numId="29">
    <w:abstractNumId w:val="46"/>
  </w:num>
  <w:num w:numId="30">
    <w:abstractNumId w:val="7"/>
  </w:num>
  <w:num w:numId="31">
    <w:abstractNumId w:val="48"/>
  </w:num>
  <w:num w:numId="32">
    <w:abstractNumId w:val="39"/>
  </w:num>
  <w:num w:numId="33">
    <w:abstractNumId w:val="8"/>
  </w:num>
  <w:num w:numId="34">
    <w:abstractNumId w:val="27"/>
  </w:num>
  <w:num w:numId="35">
    <w:abstractNumId w:val="0"/>
  </w:num>
  <w:num w:numId="36">
    <w:abstractNumId w:val="9"/>
  </w:num>
  <w:num w:numId="37">
    <w:abstractNumId w:val="30"/>
  </w:num>
  <w:num w:numId="38">
    <w:abstractNumId w:val="30"/>
  </w:num>
  <w:num w:numId="39">
    <w:abstractNumId w:val="3"/>
  </w:num>
  <w:num w:numId="40">
    <w:abstractNumId w:val="14"/>
  </w:num>
  <w:num w:numId="41">
    <w:abstractNumId w:val="34"/>
  </w:num>
  <w:num w:numId="42">
    <w:abstractNumId w:val="45"/>
  </w:num>
  <w:num w:numId="43">
    <w:abstractNumId w:val="2"/>
  </w:num>
  <w:num w:numId="44">
    <w:abstractNumId w:val="15"/>
  </w:num>
  <w:num w:numId="45">
    <w:abstractNumId w:val="44"/>
  </w:num>
  <w:num w:numId="46">
    <w:abstractNumId w:val="4"/>
  </w:num>
  <w:num w:numId="47">
    <w:abstractNumId w:val="38"/>
  </w:num>
  <w:num w:numId="48">
    <w:abstractNumId w:val="50"/>
  </w:num>
  <w:num w:numId="49">
    <w:abstractNumId w:val="32"/>
  </w:num>
  <w:num w:numId="50">
    <w:abstractNumId w:val="22"/>
  </w:num>
  <w:num w:numId="51">
    <w:abstractNumId w:val="11"/>
  </w:num>
  <w:num w:numId="52">
    <w:abstractNumId w:val="47"/>
  </w:num>
  <w:num w:numId="53">
    <w:abstractNumId w:val="28"/>
  </w:num>
  <w:num w:numId="54">
    <w:abstractNumId w:val="43"/>
  </w:num>
  <w:num w:numId="55">
    <w:abstractNumId w:val="37"/>
  </w:num>
  <w:num w:numId="56">
    <w:abstractNumId w:val="1"/>
  </w:num>
  <w:num w:numId="57">
    <w:abstractNumId w:val="16"/>
  </w:num>
  <w:num w:numId="58">
    <w:abstractNumId w:val="42"/>
  </w:num>
  <w:num w:numId="59">
    <w:abstractNumId w:val="49"/>
  </w:num>
  <w:num w:numId="60">
    <w:abstractNumId w:val="12"/>
  </w:num>
  <w:num w:numId="61">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3A"/>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6A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1E6"/>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14A"/>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60A"/>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1CC"/>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5D61"/>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6E9A"/>
    <w:rsid w:val="002871CF"/>
    <w:rsid w:val="002873D8"/>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D7C12"/>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07D89"/>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653A"/>
    <w:rsid w:val="00327382"/>
    <w:rsid w:val="003273A2"/>
    <w:rsid w:val="003275BE"/>
    <w:rsid w:val="003307E0"/>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277"/>
    <w:rsid w:val="0034447A"/>
    <w:rsid w:val="003447E3"/>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8691E"/>
    <w:rsid w:val="00390D95"/>
    <w:rsid w:val="00390FFE"/>
    <w:rsid w:val="003913DB"/>
    <w:rsid w:val="00391638"/>
    <w:rsid w:val="003916B0"/>
    <w:rsid w:val="003918D0"/>
    <w:rsid w:val="00392617"/>
    <w:rsid w:val="003927B8"/>
    <w:rsid w:val="00392D70"/>
    <w:rsid w:val="00393702"/>
    <w:rsid w:val="003939FF"/>
    <w:rsid w:val="00393FE3"/>
    <w:rsid w:val="0039401E"/>
    <w:rsid w:val="003946B1"/>
    <w:rsid w:val="003948F5"/>
    <w:rsid w:val="00394D8D"/>
    <w:rsid w:val="0039520F"/>
    <w:rsid w:val="0039548F"/>
    <w:rsid w:val="00395948"/>
    <w:rsid w:val="00395F42"/>
    <w:rsid w:val="003967CC"/>
    <w:rsid w:val="00396C06"/>
    <w:rsid w:val="00397568"/>
    <w:rsid w:val="00397827"/>
    <w:rsid w:val="003978A8"/>
    <w:rsid w:val="00397B14"/>
    <w:rsid w:val="003A0700"/>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93E"/>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213"/>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D0F"/>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2FCD"/>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1CD5"/>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17F"/>
    <w:rsid w:val="00500362"/>
    <w:rsid w:val="00500B52"/>
    <w:rsid w:val="00500C26"/>
    <w:rsid w:val="005011FB"/>
    <w:rsid w:val="00502124"/>
    <w:rsid w:val="00502401"/>
    <w:rsid w:val="0050268E"/>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23A"/>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0CE9"/>
    <w:rsid w:val="0056121F"/>
    <w:rsid w:val="00562E35"/>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00F"/>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04D9"/>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1CF"/>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4D1B"/>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259"/>
    <w:rsid w:val="0074545D"/>
    <w:rsid w:val="00746608"/>
    <w:rsid w:val="00746CE2"/>
    <w:rsid w:val="00746EAC"/>
    <w:rsid w:val="007471D5"/>
    <w:rsid w:val="007474A3"/>
    <w:rsid w:val="00747D8B"/>
    <w:rsid w:val="00750BBC"/>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6C0"/>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0CC3"/>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154"/>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2DF6"/>
    <w:rsid w:val="00863363"/>
    <w:rsid w:val="00863537"/>
    <w:rsid w:val="008637D7"/>
    <w:rsid w:val="00863C5D"/>
    <w:rsid w:val="00863D38"/>
    <w:rsid w:val="00863E2D"/>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392"/>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6FA3"/>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0B6D"/>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7B5"/>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1A89"/>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39"/>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410"/>
    <w:rsid w:val="009C3528"/>
    <w:rsid w:val="009C403E"/>
    <w:rsid w:val="009C470D"/>
    <w:rsid w:val="009C483E"/>
    <w:rsid w:val="009C4923"/>
    <w:rsid w:val="009C4F4B"/>
    <w:rsid w:val="009C5410"/>
    <w:rsid w:val="009C5798"/>
    <w:rsid w:val="009C5874"/>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26DA"/>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2970"/>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0BBA"/>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5AC"/>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19B"/>
    <w:rsid w:val="00C0342D"/>
    <w:rsid w:val="00C035C2"/>
    <w:rsid w:val="00C040F7"/>
    <w:rsid w:val="00C0443F"/>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65B"/>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C040E"/>
    <w:rsid w:val="00CC05E6"/>
    <w:rsid w:val="00CC111F"/>
    <w:rsid w:val="00CC1E1C"/>
    <w:rsid w:val="00CC265E"/>
    <w:rsid w:val="00CC2A50"/>
    <w:rsid w:val="00CC367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54F"/>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BF2"/>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679"/>
    <w:rsid w:val="00EC6B56"/>
    <w:rsid w:val="00EC71CE"/>
    <w:rsid w:val="00EC7457"/>
    <w:rsid w:val="00EC7512"/>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56E"/>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53D"/>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37E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7BC"/>
    <w:rsid w:val="00F77F2D"/>
    <w:rsid w:val="00F800BF"/>
    <w:rsid w:val="00F80174"/>
    <w:rsid w:val="00F804BE"/>
    <w:rsid w:val="00F80F50"/>
    <w:rsid w:val="00F817CE"/>
    <w:rsid w:val="00F81DA0"/>
    <w:rsid w:val="00F8241F"/>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3D43"/>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715"/>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4D"/>
    <w:rsid w:val="00FD5D53"/>
    <w:rsid w:val="00FD67EC"/>
    <w:rsid w:val="00FD69B1"/>
    <w:rsid w:val="00FD6E83"/>
    <w:rsid w:val="00FD710F"/>
    <w:rsid w:val="00FD74DB"/>
    <w:rsid w:val="00FD75E6"/>
    <w:rsid w:val="00FD7660"/>
    <w:rsid w:val="00FD7787"/>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1E6"/>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711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11E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E80373-9B47-4EBE-86D2-A736D6FB3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2021-05-11T23:01:00Z</dcterms:created>
  <dcterms:modified xsi:type="dcterms:W3CDTF">2021-05-11T23:01:00Z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