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6AE1E55C"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C10F01">
        <w:rPr>
          <w:rFonts w:ascii="Arial" w:hAnsi="Arial" w:cs="Arial"/>
          <w:b/>
          <w:bCs/>
          <w:sz w:val="24"/>
        </w:rPr>
        <w:t>5</w:t>
      </w:r>
      <w:r w:rsidR="00E857A9">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775658">
        <w:rPr>
          <w:rFonts w:ascii="Arial" w:hAnsi="Arial" w:cs="Arial"/>
          <w:b/>
          <w:bCs/>
          <w:sz w:val="24"/>
        </w:rPr>
        <w:t>1</w:t>
      </w:r>
      <w:r w:rsidR="000D6374">
        <w:rPr>
          <w:rFonts w:ascii="Arial" w:hAnsi="Arial" w:cs="Arial"/>
          <w:b/>
          <w:bCs/>
          <w:sz w:val="24"/>
        </w:rPr>
        <w:t>0</w:t>
      </w:r>
      <w:r w:rsidR="00F04065">
        <w:rPr>
          <w:rFonts w:ascii="Arial" w:hAnsi="Arial" w:cs="Arial"/>
          <w:b/>
          <w:bCs/>
          <w:sz w:val="24"/>
        </w:rPr>
        <w:t>5592</w:t>
      </w:r>
    </w:p>
    <w:p w14:paraId="5E19A78F" w14:textId="5E933C15"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3447CC">
        <w:rPr>
          <w:rFonts w:ascii="Arial" w:hAnsi="Arial" w:cs="Arial"/>
          <w:b/>
          <w:bCs/>
          <w:sz w:val="24"/>
        </w:rPr>
        <w:t>May</w:t>
      </w:r>
      <w:r w:rsidR="005F6DA7" w:rsidRPr="00734421">
        <w:rPr>
          <w:rFonts w:ascii="Arial" w:hAnsi="Arial" w:cs="Arial"/>
          <w:b/>
          <w:bCs/>
          <w:sz w:val="24"/>
        </w:rPr>
        <w:t xml:space="preserve"> </w:t>
      </w:r>
      <w:r w:rsidR="003028DB">
        <w:rPr>
          <w:rFonts w:ascii="Arial" w:hAnsi="Arial" w:cs="Arial"/>
          <w:b/>
          <w:bCs/>
          <w:sz w:val="24"/>
        </w:rPr>
        <w:t>1</w:t>
      </w:r>
      <w:r w:rsidR="003447CC">
        <w:rPr>
          <w:rFonts w:ascii="Arial" w:hAnsi="Arial" w:cs="Arial"/>
          <w:b/>
          <w:bCs/>
          <w:sz w:val="24"/>
        </w:rPr>
        <w:t>0</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3447CC">
        <w:rPr>
          <w:rFonts w:ascii="Arial" w:hAnsi="Arial" w:cs="Arial"/>
          <w:b/>
          <w:bCs/>
          <w:sz w:val="24"/>
        </w:rPr>
        <w:t>May</w:t>
      </w:r>
      <w:r w:rsidR="005F6DA7" w:rsidRPr="00734421">
        <w:rPr>
          <w:rFonts w:ascii="Arial" w:hAnsi="Arial" w:cs="Arial"/>
          <w:b/>
          <w:bCs/>
          <w:sz w:val="24"/>
        </w:rPr>
        <w:t xml:space="preserve"> </w:t>
      </w:r>
      <w:r w:rsidR="003028DB">
        <w:rPr>
          <w:rFonts w:ascii="Arial" w:hAnsi="Arial" w:cs="Arial"/>
          <w:b/>
          <w:bCs/>
          <w:sz w:val="24"/>
        </w:rPr>
        <w:t>20</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0D4E2B07"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37834" w:rsidRPr="00F37834">
        <w:rPr>
          <w:rFonts w:ascii="Arial" w:hAnsi="Arial" w:cs="Arial"/>
          <w:b/>
          <w:sz w:val="22"/>
        </w:rPr>
        <w:t>NR Initial Access from 52.6 GHz to 71 GHz</w:t>
      </w:r>
    </w:p>
    <w:p w14:paraId="4FDF3990" w14:textId="6CF20C88"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DAEDFCD"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5DB9C36"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768993AD" w:rsidR="004A200D" w:rsidRDefault="001A211F" w:rsidP="00705C2B">
      <w:pPr>
        <w:rPr>
          <w:rFonts w:eastAsia="Batang"/>
          <w:sz w:val="22"/>
          <w:szCs w:val="22"/>
          <w:lang w:eastAsia="ko-KR"/>
        </w:rPr>
      </w:pPr>
      <w:r w:rsidRPr="0091515D">
        <w:rPr>
          <w:rFonts w:eastAsia="Batang"/>
          <w:sz w:val="22"/>
          <w:szCs w:val="22"/>
          <w:lang w:eastAsia="ko-KR"/>
        </w:rPr>
        <w:t>In RAN</w:t>
      </w:r>
      <w:r w:rsidR="003323EA" w:rsidRPr="0091515D">
        <w:rPr>
          <w:rFonts w:eastAsia="Batang"/>
          <w:sz w:val="22"/>
          <w:szCs w:val="22"/>
          <w:lang w:eastAsia="ko-KR"/>
        </w:rPr>
        <w:t xml:space="preserve"> 1 meeting</w:t>
      </w:r>
      <w:r w:rsidRPr="0091515D">
        <w:rPr>
          <w:rFonts w:eastAsia="Batang"/>
          <w:sz w:val="22"/>
          <w:szCs w:val="22"/>
          <w:lang w:eastAsia="ko-KR"/>
        </w:rPr>
        <w:t xml:space="preserve"> #</w:t>
      </w:r>
      <w:r w:rsidR="003323EA" w:rsidRPr="0091515D">
        <w:rPr>
          <w:rFonts w:eastAsia="Batang"/>
          <w:sz w:val="22"/>
          <w:szCs w:val="22"/>
          <w:lang w:eastAsia="ko-KR"/>
        </w:rPr>
        <w:t>10</w:t>
      </w:r>
      <w:r w:rsidR="009F2A36">
        <w:rPr>
          <w:rFonts w:eastAsia="Batang"/>
          <w:sz w:val="22"/>
          <w:szCs w:val="22"/>
          <w:lang w:eastAsia="ko-KR"/>
        </w:rPr>
        <w:t>4</w:t>
      </w:r>
      <w:r w:rsidR="00EE667D">
        <w:rPr>
          <w:rFonts w:eastAsia="Batang"/>
          <w:sz w:val="22"/>
          <w:szCs w:val="22"/>
          <w:lang w:eastAsia="ko-KR"/>
        </w:rPr>
        <w:t>b</w:t>
      </w:r>
      <w:r w:rsidR="00F3379A">
        <w:rPr>
          <w:rFonts w:eastAsia="Batang"/>
          <w:sz w:val="22"/>
          <w:szCs w:val="22"/>
          <w:lang w:eastAsia="ko-KR"/>
        </w:rPr>
        <w:t>is</w:t>
      </w:r>
      <w:r w:rsidR="00EE667D">
        <w:rPr>
          <w:rFonts w:eastAsia="Batang"/>
          <w:sz w:val="22"/>
          <w:szCs w:val="22"/>
          <w:lang w:eastAsia="ko-KR"/>
        </w:rPr>
        <w:t>-</w:t>
      </w:r>
      <w:r w:rsidR="004A335E" w:rsidRPr="0091515D">
        <w:rPr>
          <w:rFonts w:eastAsia="Batang"/>
          <w:sz w:val="22"/>
          <w:szCs w:val="22"/>
          <w:lang w:eastAsia="ko-KR"/>
        </w:rPr>
        <w:t>e</w:t>
      </w:r>
      <w:r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0EFF90BF" w14:textId="0E2E593C" w:rsidR="00EB236F" w:rsidRDefault="004446C7" w:rsidP="00EB236F">
      <w:pPr>
        <w:rPr>
          <w:lang w:eastAsia="x-none"/>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23220D05" wp14:editId="6CA2011B">
                <wp:simplePos x="0" y="0"/>
                <wp:positionH relativeFrom="margin">
                  <wp:align>left</wp:align>
                </wp:positionH>
                <wp:positionV relativeFrom="paragraph">
                  <wp:posOffset>267335</wp:posOffset>
                </wp:positionV>
                <wp:extent cx="6200775" cy="38957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895725"/>
                        </a:xfrm>
                        <a:prstGeom prst="rect">
                          <a:avLst/>
                        </a:prstGeom>
                        <a:solidFill>
                          <a:srgbClr val="FFFFFF"/>
                        </a:solidFill>
                        <a:ln w="9525">
                          <a:solidFill>
                            <a:srgbClr val="000000"/>
                          </a:solidFill>
                          <a:miter lim="800000"/>
                          <a:headEnd/>
                          <a:tailEnd/>
                        </a:ln>
                      </wps:spPr>
                      <wps:txbx>
                        <w:txbxContent>
                          <w:p w14:paraId="7BB8DD78" w14:textId="77777777" w:rsidR="004446C7" w:rsidRDefault="004446C7" w:rsidP="004446C7">
                            <w:pPr>
                              <w:rPr>
                                <w:lang w:eastAsia="x-none"/>
                              </w:rPr>
                            </w:pPr>
                            <w:r w:rsidRPr="00F05825">
                              <w:rPr>
                                <w:highlight w:val="green"/>
                                <w:lang w:eastAsia="x-none"/>
                              </w:rPr>
                              <w:t>Agreement:</w:t>
                            </w:r>
                          </w:p>
                          <w:p w14:paraId="1EE8229D" w14:textId="77777777" w:rsidR="005213B5" w:rsidRPr="005213B5" w:rsidRDefault="005213B5" w:rsidP="005213B5">
                            <w:pPr>
                              <w:rPr>
                                <w:lang w:eastAsia="x-none"/>
                              </w:rPr>
                            </w:pPr>
                            <w:r w:rsidRPr="005213B5">
                              <w:rPr>
                                <w:lang w:eastAsia="x-none"/>
                              </w:rPr>
                              <w:t>For the case where SSB location and SCS are explicitly provided to the UE (non-initial access) and SSB does not configure Type-0 PDCCH, support 480 kHz and 960 kHz numerologies for the SSB</w:t>
                            </w:r>
                          </w:p>
                          <w:p w14:paraId="4A84B601" w14:textId="77777777" w:rsidR="005213B5" w:rsidRPr="005213B5" w:rsidRDefault="005213B5" w:rsidP="005213B5">
                            <w:pPr>
                              <w:numPr>
                                <w:ilvl w:val="0"/>
                                <w:numId w:val="36"/>
                              </w:numPr>
                              <w:spacing w:before="0" w:after="0"/>
                              <w:jc w:val="left"/>
                              <w:rPr>
                                <w:lang w:eastAsia="x-none"/>
                              </w:rPr>
                            </w:pPr>
                            <w:r w:rsidRPr="005213B5">
                              <w:rPr>
                                <w:lang w:eastAsia="x-none"/>
                              </w:rPr>
                              <w:t>Note: Strive to minimize specification impact due to the new SCS for SSB</w:t>
                            </w:r>
                          </w:p>
                          <w:p w14:paraId="115353FB" w14:textId="77777777" w:rsidR="004446C7" w:rsidRDefault="004446C7" w:rsidP="004446C7">
                            <w:pPr>
                              <w:rPr>
                                <w:lang w:eastAsia="x-none"/>
                              </w:rPr>
                            </w:pPr>
                            <w:r w:rsidRPr="00623440">
                              <w:rPr>
                                <w:highlight w:val="green"/>
                                <w:lang w:eastAsia="x-none"/>
                              </w:rPr>
                              <w:t>Agreement:</w:t>
                            </w:r>
                          </w:p>
                          <w:p w14:paraId="36498962" w14:textId="77777777" w:rsidR="00B34988" w:rsidRPr="00B34988" w:rsidRDefault="00B34988" w:rsidP="00B34988">
                            <w:pPr>
                              <w:pStyle w:val="BodyText"/>
                              <w:numPr>
                                <w:ilvl w:val="0"/>
                                <w:numId w:val="35"/>
                              </w:numPr>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For operation with shared spectrum channel access of NR 52.6 – 71 GHz, support discovery burst (DB) and define the DB same as in Rel-16 37.213 Section 4.0</w:t>
                            </w:r>
                          </w:p>
                          <w:p w14:paraId="3E2840F4" w14:textId="77777777" w:rsidR="00B34988" w:rsidRPr="00B34988" w:rsidRDefault="00B34988" w:rsidP="00B34988">
                            <w:pPr>
                              <w:pStyle w:val="BodyText"/>
                              <w:numPr>
                                <w:ilvl w:val="0"/>
                                <w:numId w:val="35"/>
                              </w:numPr>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Support discovery burst transmission window (DBTW) at least for SSB with 120 kHz SCS with the following requirements</w:t>
                            </w:r>
                          </w:p>
                          <w:p w14:paraId="2950AE01"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PBCH payload size is no greater than that for FR2</w:t>
                            </w:r>
                          </w:p>
                          <w:p w14:paraId="17301C48"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Duration of DBTW is no greater than 5 ms</w:t>
                            </w:r>
                          </w:p>
                          <w:p w14:paraId="2BB9A750"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Number of PBCH DMRS sequences is the same as for FR2</w:t>
                            </w:r>
                          </w:p>
                          <w:p w14:paraId="0C546189" w14:textId="77777777" w:rsidR="00B34988" w:rsidRPr="00B34988" w:rsidRDefault="00B34988" w:rsidP="00B34988">
                            <w:pPr>
                              <w:pStyle w:val="BodyText"/>
                              <w:numPr>
                                <w:ilvl w:val="1"/>
                                <w:numId w:val="35"/>
                              </w:numPr>
                              <w:tabs>
                                <w:tab w:val="clear" w:pos="1080"/>
                              </w:tabs>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applicability of DBTW design for 120kHz to SSB with 480kHz and 960kHz SCS</w:t>
                            </w:r>
                          </w:p>
                          <w:p w14:paraId="1C2E8476"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Support mechanism to indicate or inform that DBTW is enabled/disabled for both IDLE and CONNECTED mode UEs</w:t>
                            </w:r>
                          </w:p>
                          <w:p w14:paraId="3F9C657B" w14:textId="77777777" w:rsidR="00B34988" w:rsidRDefault="00B34988" w:rsidP="00B34988">
                            <w:pPr>
                              <w:numPr>
                                <w:ilvl w:val="2"/>
                                <w:numId w:val="35"/>
                              </w:numPr>
                              <w:tabs>
                                <w:tab w:val="clear" w:pos="1800"/>
                                <w:tab w:val="left" w:pos="720"/>
                                <w:tab w:val="left" w:pos="1440"/>
                              </w:tabs>
                              <w:spacing w:before="0" w:after="0"/>
                              <w:jc w:val="left"/>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DEDE584" w14:textId="77777777" w:rsidR="00B34988" w:rsidRDefault="00B34988" w:rsidP="00B34988">
                            <w:pPr>
                              <w:numPr>
                                <w:ilvl w:val="2"/>
                                <w:numId w:val="35"/>
                              </w:numPr>
                              <w:tabs>
                                <w:tab w:val="clear" w:pos="1800"/>
                                <w:tab w:val="left" w:pos="720"/>
                                <w:tab w:val="left" w:pos="1440"/>
                              </w:tabs>
                              <w:spacing w:before="0" w:after="0"/>
                              <w:jc w:val="left"/>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52868879" w14:textId="599DC78B" w:rsidR="004446C7" w:rsidRPr="00B34988" w:rsidRDefault="00B34988" w:rsidP="004446C7">
                            <w:pPr>
                              <w:pStyle w:val="BodyText"/>
                              <w:numPr>
                                <w:ilvl w:val="2"/>
                                <w:numId w:val="35"/>
                              </w:numPr>
                              <w:tabs>
                                <w:tab w:val="clear" w:pos="1800"/>
                              </w:tabs>
                              <w:overflowPunct w:val="0"/>
                              <w:autoSpaceDE w:val="0"/>
                              <w:autoSpaceDN w:val="0"/>
                              <w:adjustRightInd w:val="0"/>
                              <w:spacing w:before="0" w:after="0" w:line="259" w:lineRule="auto"/>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details of how to inform UEs of the configuration of DBTW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0D05" id="_x0000_t202" coordsize="21600,21600" o:spt="202" path="m,l,21600r21600,l21600,xe">
                <v:stroke joinstyle="miter"/>
                <v:path gradientshapeok="t" o:connecttype="rect"/>
              </v:shapetype>
              <v:shape id="Text Box 2" o:spid="_x0000_s1026" type="#_x0000_t202" style="position:absolute;left:0;text-align:left;margin-left:0;margin-top:21.05pt;width:488.25pt;height:306.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">
                <v:textbox>
                  <w:txbxContent>
                    <w:p w14:paraId="7BB8DD78" w14:textId="77777777" w:rsidR="004446C7" w:rsidRDefault="004446C7" w:rsidP="004446C7">
                      <w:pPr>
                        <w:rPr>
                          <w:lang w:eastAsia="x-none"/>
                        </w:rPr>
                      </w:pPr>
                      <w:r w:rsidRPr="00F05825">
                        <w:rPr>
                          <w:highlight w:val="green"/>
                          <w:lang w:eastAsia="x-none"/>
                        </w:rPr>
                        <w:t>Agreement:</w:t>
                      </w:r>
                    </w:p>
                    <w:p w14:paraId="1EE8229D" w14:textId="77777777" w:rsidR="005213B5" w:rsidRPr="005213B5" w:rsidRDefault="005213B5" w:rsidP="005213B5">
                      <w:pPr>
                        <w:rPr>
                          <w:lang w:eastAsia="x-none"/>
                        </w:rPr>
                      </w:pPr>
                      <w:r w:rsidRPr="005213B5">
                        <w:rPr>
                          <w:lang w:eastAsia="x-none"/>
                        </w:rPr>
                        <w:t>For the case where SSB location and SCS are explicitly provided to the UE (non-initial access) and SSB does not configure Type-0 PDCCH, support 480 kHz and 960 kHz numerologies for the SSB</w:t>
                      </w:r>
                    </w:p>
                    <w:p w14:paraId="4A84B601" w14:textId="77777777" w:rsidR="005213B5" w:rsidRPr="005213B5" w:rsidRDefault="005213B5" w:rsidP="005213B5">
                      <w:pPr>
                        <w:numPr>
                          <w:ilvl w:val="0"/>
                          <w:numId w:val="36"/>
                        </w:numPr>
                        <w:spacing w:before="0" w:after="0"/>
                        <w:jc w:val="left"/>
                        <w:rPr>
                          <w:lang w:eastAsia="x-none"/>
                        </w:rPr>
                      </w:pPr>
                      <w:r w:rsidRPr="005213B5">
                        <w:rPr>
                          <w:lang w:eastAsia="x-none"/>
                        </w:rPr>
                        <w:t>Note: Strive to minimize specification impact due to the new SCS for SSB</w:t>
                      </w:r>
                    </w:p>
                    <w:p w14:paraId="115353FB" w14:textId="77777777" w:rsidR="004446C7" w:rsidRDefault="004446C7" w:rsidP="004446C7">
                      <w:pPr>
                        <w:rPr>
                          <w:lang w:eastAsia="x-none"/>
                        </w:rPr>
                      </w:pPr>
                      <w:r w:rsidRPr="00623440">
                        <w:rPr>
                          <w:highlight w:val="green"/>
                          <w:lang w:eastAsia="x-none"/>
                        </w:rPr>
                        <w:t>Agreement:</w:t>
                      </w:r>
                    </w:p>
                    <w:p w14:paraId="36498962" w14:textId="77777777" w:rsidR="00B34988" w:rsidRPr="00B34988" w:rsidRDefault="00B34988" w:rsidP="00B34988">
                      <w:pPr>
                        <w:pStyle w:val="BodyText"/>
                        <w:numPr>
                          <w:ilvl w:val="0"/>
                          <w:numId w:val="35"/>
                        </w:numPr>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For operation with shared spectrum channel access of NR 52.6 – 71 GHz, support discovery burst (DB) and define the DB same as in Rel-16 37.213 Section 4.0</w:t>
                      </w:r>
                    </w:p>
                    <w:p w14:paraId="3E2840F4" w14:textId="77777777" w:rsidR="00B34988" w:rsidRPr="00B34988" w:rsidRDefault="00B34988" w:rsidP="00B34988">
                      <w:pPr>
                        <w:pStyle w:val="BodyText"/>
                        <w:numPr>
                          <w:ilvl w:val="0"/>
                          <w:numId w:val="35"/>
                        </w:numPr>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Support discovery burst transmission window (DBTW) at least for SSB with 120 kHz SCS with the following requirements</w:t>
                      </w:r>
                    </w:p>
                    <w:p w14:paraId="2950AE01"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PBCH payload size is no greater than that for FR2</w:t>
                      </w:r>
                    </w:p>
                    <w:p w14:paraId="17301C48"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Duration of DBTW is no greater than 5 ms</w:t>
                      </w:r>
                    </w:p>
                    <w:p w14:paraId="2BB9A750"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Number of PBCH DMRS sequences is the same as for FR2</w:t>
                      </w:r>
                    </w:p>
                    <w:p w14:paraId="0C546189" w14:textId="77777777" w:rsidR="00B34988" w:rsidRPr="00B34988" w:rsidRDefault="00B34988" w:rsidP="00B34988">
                      <w:pPr>
                        <w:pStyle w:val="BodyText"/>
                        <w:numPr>
                          <w:ilvl w:val="1"/>
                          <w:numId w:val="35"/>
                        </w:numPr>
                        <w:tabs>
                          <w:tab w:val="clear" w:pos="1080"/>
                        </w:tabs>
                        <w:overflowPunct w:val="0"/>
                        <w:autoSpaceDE w:val="0"/>
                        <w:autoSpaceDN w:val="0"/>
                        <w:adjustRightInd w:val="0"/>
                        <w:spacing w:before="0" w:after="0" w:line="280" w:lineRule="atLeast"/>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applicability of DBTW design for 120kHz to SSB with 480kHz and 960kHz SCS</w:t>
                      </w:r>
                    </w:p>
                    <w:p w14:paraId="1C2E8476" w14:textId="77777777" w:rsidR="00B34988" w:rsidRPr="00B34988" w:rsidRDefault="00B34988" w:rsidP="00B34988">
                      <w:pPr>
                        <w:pStyle w:val="BodyText"/>
                        <w:numPr>
                          <w:ilvl w:val="1"/>
                          <w:numId w:val="35"/>
                        </w:numPr>
                        <w:tabs>
                          <w:tab w:val="clear" w:pos="1080"/>
                          <w:tab w:val="left" w:pos="1800"/>
                        </w:tabs>
                        <w:spacing w:before="0" w:after="0"/>
                        <w:rPr>
                          <w:rFonts w:ascii="Times New Roman" w:hAnsi="Times New Roman"/>
                          <w:color w:val="auto"/>
                          <w:sz w:val="22"/>
                          <w:szCs w:val="22"/>
                          <w:lang w:eastAsia="zh-CN"/>
                        </w:rPr>
                      </w:pPr>
                      <w:r w:rsidRPr="00B34988">
                        <w:rPr>
                          <w:rFonts w:ascii="Times New Roman" w:hAnsi="Times New Roman"/>
                          <w:color w:val="auto"/>
                          <w:sz w:val="22"/>
                          <w:szCs w:val="22"/>
                          <w:lang w:eastAsia="zh-CN"/>
                        </w:rPr>
                        <w:t>Support mechanism to indicate or inform that DBTW is enabled/disabled for both IDLE and CONNECTED mode UEs</w:t>
                      </w:r>
                    </w:p>
                    <w:p w14:paraId="3F9C657B" w14:textId="77777777" w:rsidR="00B34988" w:rsidRDefault="00B34988" w:rsidP="00B34988">
                      <w:pPr>
                        <w:numPr>
                          <w:ilvl w:val="2"/>
                          <w:numId w:val="35"/>
                        </w:numPr>
                        <w:tabs>
                          <w:tab w:val="clear" w:pos="1800"/>
                          <w:tab w:val="left" w:pos="720"/>
                          <w:tab w:val="left" w:pos="1440"/>
                        </w:tabs>
                        <w:spacing w:before="0" w:after="0"/>
                        <w:jc w:val="left"/>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DEDE584" w14:textId="77777777" w:rsidR="00B34988" w:rsidRDefault="00B34988" w:rsidP="00B34988">
                      <w:pPr>
                        <w:numPr>
                          <w:ilvl w:val="2"/>
                          <w:numId w:val="35"/>
                        </w:numPr>
                        <w:tabs>
                          <w:tab w:val="clear" w:pos="1800"/>
                          <w:tab w:val="left" w:pos="720"/>
                          <w:tab w:val="left" w:pos="1440"/>
                        </w:tabs>
                        <w:spacing w:before="0" w:after="0"/>
                        <w:jc w:val="left"/>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52868879" w14:textId="599DC78B" w:rsidR="004446C7" w:rsidRPr="00B34988" w:rsidRDefault="00B34988" w:rsidP="004446C7">
                      <w:pPr>
                        <w:pStyle w:val="BodyText"/>
                        <w:numPr>
                          <w:ilvl w:val="2"/>
                          <w:numId w:val="35"/>
                        </w:numPr>
                        <w:tabs>
                          <w:tab w:val="clear" w:pos="1800"/>
                        </w:tabs>
                        <w:overflowPunct w:val="0"/>
                        <w:autoSpaceDE w:val="0"/>
                        <w:autoSpaceDN w:val="0"/>
                        <w:adjustRightInd w:val="0"/>
                        <w:spacing w:before="0" w:after="0" w:line="259" w:lineRule="auto"/>
                        <w:textAlignment w:val="baseline"/>
                        <w:rPr>
                          <w:rFonts w:ascii="Times New Roman" w:hAnsi="Times New Roman"/>
                          <w:color w:val="auto"/>
                          <w:sz w:val="22"/>
                          <w:szCs w:val="22"/>
                          <w:lang w:eastAsia="zh-CN"/>
                        </w:rPr>
                      </w:pPr>
                      <w:r w:rsidRPr="00B34988">
                        <w:rPr>
                          <w:rFonts w:ascii="Times New Roman" w:hAnsi="Times New Roman"/>
                          <w:color w:val="auto"/>
                          <w:sz w:val="22"/>
                          <w:szCs w:val="22"/>
                          <w:lang w:eastAsia="zh-CN"/>
                        </w:rPr>
                        <w:t>FFS: details of how to inform UEs of the configuration of DBTW</w:t>
                      </w:r>
                    </w:p>
                  </w:txbxContent>
                </v:textbox>
                <w10:wrap type="square" anchorx="margin"/>
              </v:shape>
            </w:pict>
          </mc:Fallback>
        </mc:AlternateContent>
      </w:r>
    </w:p>
    <w:p w14:paraId="773569AA" w14:textId="54B49564" w:rsidR="00EB236F" w:rsidRDefault="00EB236F" w:rsidP="00705C2B">
      <w:pPr>
        <w:rPr>
          <w:rFonts w:eastAsia="Batang"/>
          <w:sz w:val="22"/>
          <w:szCs w:val="22"/>
          <w:lang w:eastAsia="ko-KR"/>
        </w:rPr>
      </w:pPr>
    </w:p>
    <w:p w14:paraId="472343CA" w14:textId="5D266623" w:rsidR="00EB236F" w:rsidRDefault="00EB236F" w:rsidP="00EB236F">
      <w:pPr>
        <w:rPr>
          <w:sz w:val="22"/>
          <w:szCs w:val="22"/>
          <w:lang w:eastAsia="zh-CN"/>
        </w:rPr>
      </w:pPr>
      <w:r w:rsidRPr="0091515D">
        <w:rPr>
          <w:sz w:val="22"/>
          <w:szCs w:val="22"/>
          <w:lang w:eastAsia="zh-CN"/>
        </w:rPr>
        <w:t xml:space="preserve">In this contribution, we discuss several </w:t>
      </w:r>
      <w:r>
        <w:rPr>
          <w:sz w:val="22"/>
          <w:szCs w:val="22"/>
          <w:lang w:eastAsia="zh-CN"/>
        </w:rPr>
        <w:t xml:space="preserve">initial access </w:t>
      </w:r>
      <w:r w:rsidRPr="0091515D">
        <w:rPr>
          <w:sz w:val="22"/>
          <w:szCs w:val="22"/>
          <w:lang w:eastAsia="zh-CN"/>
        </w:rPr>
        <w:t xml:space="preserve">aspects </w:t>
      </w:r>
      <w:r>
        <w:rPr>
          <w:sz w:val="22"/>
          <w:szCs w:val="22"/>
          <w:lang w:eastAsia="zh-CN"/>
        </w:rPr>
        <w:t>for supporting</w:t>
      </w:r>
      <w:r w:rsidRPr="0091515D">
        <w:rPr>
          <w:sz w:val="22"/>
          <w:szCs w:val="22"/>
          <w:lang w:eastAsia="zh-CN"/>
        </w:rPr>
        <w:t xml:space="preserve"> NR on frequencies from 52.6 GHz to 71 GHz.</w:t>
      </w:r>
    </w:p>
    <w:p w14:paraId="45D16BAA" w14:textId="064CB70C" w:rsidR="00CD1300" w:rsidRDefault="00CD1300" w:rsidP="00705C2B">
      <w:pPr>
        <w:rPr>
          <w:rFonts w:eastAsia="Batang"/>
          <w:lang w:eastAsia="ko-KR"/>
        </w:rPr>
      </w:pPr>
    </w:p>
    <w:p w14:paraId="76C70D2E" w14:textId="625811A3" w:rsidR="00C70E00" w:rsidRDefault="00BA6039" w:rsidP="00C70E00">
      <w:pPr>
        <w:pStyle w:val="Heading1"/>
      </w:pPr>
      <w:r>
        <w:rPr>
          <w:lang w:eastAsia="zh-CN"/>
        </w:rPr>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lastRenderedPageBreak/>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4D8C6333" w:rsidR="004717EA" w:rsidRDefault="00371DDE" w:rsidP="00675DE2">
      <w:pPr>
        <w:spacing w:after="0" w:line="288" w:lineRule="auto"/>
        <w:rPr>
          <w:bCs/>
          <w:iCs/>
          <w:sz w:val="22"/>
          <w:szCs w:val="22"/>
        </w:rPr>
      </w:pPr>
      <w:r w:rsidRPr="0091515D">
        <w:rPr>
          <w:bCs/>
          <w:iCs/>
          <w:sz w:val="22"/>
          <w:szCs w:val="22"/>
        </w:rPr>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82F4F">
        <w:rPr>
          <w:bCs/>
          <w:iCs/>
          <w:sz w:val="22"/>
          <w:szCs w:val="22"/>
        </w:rPr>
        <w:t>initial access</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6A7562CB" w14:textId="20AA4FAE" w:rsidR="00776824" w:rsidRPr="0091515D" w:rsidRDefault="00776824" w:rsidP="00675DE2">
      <w:pPr>
        <w:spacing w:after="0" w:line="288" w:lineRule="auto"/>
        <w:rPr>
          <w:bCs/>
          <w:iCs/>
          <w:sz w:val="22"/>
          <w:szCs w:val="22"/>
        </w:rPr>
      </w:pPr>
      <w:r w:rsidRPr="0091515D">
        <w:rPr>
          <w:bCs/>
          <w:iCs/>
          <w:sz w:val="22"/>
          <w:szCs w:val="22"/>
        </w:rPr>
        <w:t>In RAN1 #10</w:t>
      </w:r>
      <w:r>
        <w:rPr>
          <w:bCs/>
          <w:iCs/>
          <w:sz w:val="22"/>
          <w:szCs w:val="22"/>
        </w:rPr>
        <w:t>3</w:t>
      </w:r>
      <w:r w:rsidRPr="0091515D">
        <w:rPr>
          <w:bCs/>
          <w:iCs/>
          <w:sz w:val="22"/>
          <w:szCs w:val="22"/>
        </w:rPr>
        <w:t>e</w:t>
      </w:r>
      <w:r>
        <w:rPr>
          <w:bCs/>
          <w:iCs/>
          <w:sz w:val="22"/>
          <w:szCs w:val="22"/>
        </w:rPr>
        <w:t xml:space="preserve"> meeting</w:t>
      </w:r>
      <w:r w:rsidRPr="0091515D">
        <w:rPr>
          <w:bCs/>
          <w:iCs/>
          <w:sz w:val="22"/>
          <w:szCs w:val="22"/>
        </w:rPr>
        <w:t xml:space="preserve">, </w:t>
      </w:r>
      <w:r>
        <w:rPr>
          <w:bCs/>
          <w:iCs/>
          <w:sz w:val="22"/>
          <w:szCs w:val="22"/>
        </w:rPr>
        <w:t xml:space="preserve">it has agreed </w:t>
      </w:r>
      <w:r w:rsidRPr="0091515D">
        <w:rPr>
          <w:bCs/>
          <w:iCs/>
          <w:sz w:val="22"/>
          <w:szCs w:val="22"/>
        </w:rPr>
        <w:t xml:space="preserve">the </w:t>
      </w:r>
      <w:r>
        <w:rPr>
          <w:bCs/>
          <w:iCs/>
          <w:sz w:val="22"/>
          <w:szCs w:val="22"/>
        </w:rPr>
        <w:t xml:space="preserve">values of </w:t>
      </w:r>
      <w:r w:rsidRPr="0091515D">
        <w:rPr>
          <w:bCs/>
          <w:iCs/>
          <w:sz w:val="22"/>
          <w:szCs w:val="22"/>
        </w:rPr>
        <w:t xml:space="preserve">subcarrier spacing (SCS) ranging from 120 KHz, 240 KHz, 480 KHz and 960 KHz (i.e., </w:t>
      </w:r>
      <m:oMath>
        <m:r>
          <w:rPr>
            <w:rFonts w:ascii="Cambria Math" w:hAnsi="Cambria Math"/>
            <w:sz w:val="22"/>
            <w:szCs w:val="22"/>
          </w:rPr>
          <m:t>μ=</m:t>
        </m:r>
      </m:oMath>
      <w:r w:rsidRPr="0091515D">
        <w:rPr>
          <w:sz w:val="22"/>
          <w:szCs w:val="22"/>
        </w:rPr>
        <w:t xml:space="preserve"> 3, 4, 5 and 6</w:t>
      </w:r>
      <w:r w:rsidRPr="0091515D">
        <w:rPr>
          <w:bCs/>
          <w:iCs/>
          <w:sz w:val="22"/>
          <w:szCs w:val="22"/>
        </w:rPr>
        <w:t>) for NR operation both for licensed and unlicensed bands from 52.6 GHz to 71 GH</w:t>
      </w:r>
      <w:r w:rsidR="009B20B2">
        <w:rPr>
          <w:bCs/>
          <w:iCs/>
          <w:sz w:val="22"/>
          <w:szCs w:val="22"/>
        </w:rPr>
        <w:t xml:space="preserve">z </w:t>
      </w:r>
      <w:r w:rsidR="009B20B2">
        <w:rPr>
          <w:bCs/>
          <w:iCs/>
          <w:sz w:val="22"/>
          <w:szCs w:val="22"/>
        </w:rPr>
        <w:fldChar w:fldCharType="begin"/>
      </w:r>
      <w:r w:rsidR="009B20B2">
        <w:rPr>
          <w:bCs/>
          <w:iCs/>
          <w:sz w:val="22"/>
          <w:szCs w:val="22"/>
        </w:rPr>
        <w:instrText xml:space="preserve"> REF _Ref68543735 \n \h </w:instrText>
      </w:r>
      <w:r w:rsidR="009B20B2">
        <w:rPr>
          <w:bCs/>
          <w:iCs/>
          <w:sz w:val="22"/>
          <w:szCs w:val="22"/>
        </w:rPr>
      </w:r>
      <w:r w:rsidR="009B20B2">
        <w:rPr>
          <w:bCs/>
          <w:iCs/>
          <w:sz w:val="22"/>
          <w:szCs w:val="22"/>
        </w:rPr>
        <w:fldChar w:fldCharType="separate"/>
      </w:r>
      <w:r w:rsidR="009B20B2">
        <w:rPr>
          <w:bCs/>
          <w:iCs/>
          <w:sz w:val="22"/>
          <w:szCs w:val="22"/>
        </w:rPr>
        <w:t>[2]</w:t>
      </w:r>
      <w:r w:rsidR="009B20B2">
        <w:rPr>
          <w:bCs/>
          <w:iCs/>
          <w:sz w:val="22"/>
          <w:szCs w:val="22"/>
        </w:rPr>
        <w:fldChar w:fldCharType="end"/>
      </w:r>
      <w:r w:rsidRPr="0091515D">
        <w:rPr>
          <w:bCs/>
          <w:iCs/>
          <w:sz w:val="22"/>
          <w:szCs w:val="22"/>
        </w:rPr>
        <w:t>. Besides, the assumed maximum channel bandwidth</w:t>
      </w:r>
      <w:r>
        <w:rPr>
          <w:bCs/>
          <w:iCs/>
          <w:sz w:val="22"/>
          <w:szCs w:val="22"/>
        </w:rPr>
        <w:t xml:space="preserve"> </w:t>
      </w:r>
      <w:r w:rsidRPr="0091515D">
        <w:rPr>
          <w:bCs/>
          <w:iCs/>
          <w:sz w:val="22"/>
          <w:szCs w:val="22"/>
        </w:rPr>
        <w:t xml:space="preserve">for corresponding SCS/numerologies are 0.4 GHz, 0.8 GHz, 1.600 GHz, and 3.2 GHz, respectively. </w:t>
      </w:r>
      <w:r>
        <w:rPr>
          <w:bCs/>
          <w:iCs/>
          <w:sz w:val="22"/>
          <w:szCs w:val="22"/>
        </w:rPr>
        <w:t>In addition, a</w:t>
      </w:r>
      <w:r w:rsidRPr="0091515D">
        <w:rPr>
          <w:bCs/>
          <w:iCs/>
          <w:sz w:val="22"/>
          <w:szCs w:val="22"/>
        </w:rPr>
        <w:t>s</w:t>
      </w:r>
      <w:r>
        <w:rPr>
          <w:bCs/>
          <w:iCs/>
          <w:sz w:val="22"/>
          <w:szCs w:val="22"/>
        </w:rPr>
        <w:t xml:space="preserve"> agreed in</w:t>
      </w:r>
      <w:r w:rsidR="009B20B2">
        <w:rPr>
          <w:bCs/>
          <w:iCs/>
          <w:sz w:val="22"/>
          <w:szCs w:val="22"/>
        </w:rPr>
        <w:t xml:space="preserve"> </w:t>
      </w:r>
      <w:r w:rsidR="009B20B2">
        <w:rPr>
          <w:bCs/>
          <w:iCs/>
          <w:sz w:val="22"/>
          <w:szCs w:val="22"/>
        </w:rPr>
        <w:fldChar w:fldCharType="begin"/>
      </w:r>
      <w:r w:rsidR="009B20B2">
        <w:rPr>
          <w:bCs/>
          <w:iCs/>
          <w:sz w:val="22"/>
          <w:szCs w:val="22"/>
        </w:rPr>
        <w:instrText xml:space="preserve"> REF _Ref68543735 \n \h </w:instrText>
      </w:r>
      <w:r w:rsidR="009B20B2">
        <w:rPr>
          <w:bCs/>
          <w:iCs/>
          <w:sz w:val="22"/>
          <w:szCs w:val="22"/>
        </w:rPr>
      </w:r>
      <w:r w:rsidR="009B20B2">
        <w:rPr>
          <w:bCs/>
          <w:iCs/>
          <w:sz w:val="22"/>
          <w:szCs w:val="22"/>
        </w:rPr>
        <w:fldChar w:fldCharType="separate"/>
      </w:r>
      <w:r w:rsidR="009B20B2">
        <w:rPr>
          <w:bCs/>
          <w:iCs/>
          <w:sz w:val="22"/>
          <w:szCs w:val="22"/>
        </w:rPr>
        <w:t>[2]</w:t>
      </w:r>
      <w:r w:rsidR="009B20B2">
        <w:rPr>
          <w:bCs/>
          <w:iCs/>
          <w:sz w:val="22"/>
          <w:szCs w:val="22"/>
        </w:rPr>
        <w:fldChar w:fldCharType="end"/>
      </w:r>
      <w:r w:rsidRPr="0091515D">
        <w:rPr>
          <w:bCs/>
          <w:iCs/>
          <w:sz w:val="22"/>
          <w:szCs w:val="22"/>
        </w:rPr>
        <w:t>, NR support</w:t>
      </w:r>
      <w:r w:rsidR="00207C18">
        <w:rPr>
          <w:bCs/>
          <w:iCs/>
          <w:sz w:val="22"/>
          <w:szCs w:val="22"/>
        </w:rPr>
        <w:t>s</w:t>
      </w:r>
      <w:r w:rsidRPr="0091515D">
        <w:rPr>
          <w:bCs/>
          <w:iCs/>
          <w:sz w:val="22"/>
          <w:szCs w:val="22"/>
        </w:rPr>
        <w:t xml:space="preserve"> different maximum possible bandwidth in different bands which requires configurable bandwidth. </w:t>
      </w:r>
    </w:p>
    <w:p w14:paraId="16218E73" w14:textId="15F23179" w:rsidR="000901BC" w:rsidRDefault="000901BC" w:rsidP="00675DE2">
      <w:pPr>
        <w:spacing w:after="0" w:line="288" w:lineRule="auto"/>
        <w:rPr>
          <w:bCs/>
          <w:iCs/>
          <w:sz w:val="22"/>
          <w:szCs w:val="22"/>
        </w:rPr>
      </w:pPr>
      <w:r w:rsidRPr="00806555">
        <w:rPr>
          <w:bCs/>
          <w:iCs/>
          <w:sz w:val="22"/>
          <w:szCs w:val="22"/>
        </w:rPr>
        <w:t>Support of up to 64 SSB beams for licensed and unlicensed operation in this frequency range</w:t>
      </w:r>
      <w:r w:rsidR="00F10A0F">
        <w:rPr>
          <w:bCs/>
          <w:iCs/>
          <w:sz w:val="22"/>
          <w:szCs w:val="22"/>
        </w:rPr>
        <w:t xml:space="preserve"> has been agreed in</w:t>
      </w:r>
      <w:r w:rsidR="00373031">
        <w:rPr>
          <w:bCs/>
          <w:iCs/>
          <w:sz w:val="22"/>
          <w:szCs w:val="22"/>
        </w:rPr>
        <w:t xml:space="preserve"> 52.6 GHz-71 GHz </w:t>
      </w:r>
      <w:r w:rsidR="00360769">
        <w:rPr>
          <w:bCs/>
          <w:iCs/>
          <w:sz w:val="22"/>
          <w:szCs w:val="22"/>
        </w:rPr>
        <w:t>WI</w:t>
      </w:r>
      <w:r w:rsidRPr="00806555">
        <w:rPr>
          <w:bCs/>
          <w:iCs/>
          <w:sz w:val="22"/>
          <w:szCs w:val="22"/>
        </w:rPr>
        <w:t>.</w:t>
      </w:r>
      <w:r w:rsidR="00554CAF">
        <w:rPr>
          <w:bCs/>
          <w:iCs/>
          <w:sz w:val="22"/>
          <w:szCs w:val="22"/>
        </w:rPr>
        <w:t xml:space="preserve"> </w:t>
      </w:r>
      <w:r w:rsidR="0023375B">
        <w:rPr>
          <w:bCs/>
          <w:iCs/>
          <w:sz w:val="22"/>
          <w:szCs w:val="22"/>
        </w:rPr>
        <w:t>In NR, t</w:t>
      </w:r>
      <w:r w:rsidR="00AF03AB" w:rsidRPr="00AF03AB">
        <w:rPr>
          <w:bCs/>
          <w:iCs/>
          <w:sz w:val="22"/>
          <w:szCs w:val="22"/>
        </w:rPr>
        <w:t xml:space="preserve">he possible time locations of SSBs within a half-frame are determined by sub-carrier spacing and the periodicity of the half-frames where SSBs are transmitted is configured by the network. </w:t>
      </w:r>
      <w:r w:rsidR="00D4012A" w:rsidRPr="00D4012A">
        <w:rPr>
          <w:bCs/>
          <w:iCs/>
          <w:sz w:val="22"/>
          <w:szCs w:val="22"/>
        </w:rPr>
        <w:t>Within a 5</w:t>
      </w:r>
      <w:r w:rsidR="00AB583C">
        <w:rPr>
          <w:bCs/>
          <w:iCs/>
          <w:sz w:val="22"/>
          <w:szCs w:val="22"/>
        </w:rPr>
        <w:t xml:space="preserve"> </w:t>
      </w:r>
      <w:r w:rsidR="00D4012A" w:rsidRPr="00D4012A">
        <w:rPr>
          <w:bCs/>
          <w:iCs/>
          <w:sz w:val="22"/>
          <w:szCs w:val="22"/>
        </w:rPr>
        <w:t>ms half frame, the starting OFDM symbol index for a candidate SSB within SS burst set depends upon subcarrier spacing (SCS) and carrier frequency/band.</w:t>
      </w:r>
      <w:r w:rsidR="00D33E5A">
        <w:rPr>
          <w:bCs/>
          <w:iCs/>
          <w:sz w:val="22"/>
          <w:szCs w:val="22"/>
        </w:rPr>
        <w:t xml:space="preserve"> </w:t>
      </w:r>
      <w:r w:rsidR="00D33E5A" w:rsidRPr="00D33E5A">
        <w:rPr>
          <w:bCs/>
          <w:iCs/>
          <w:sz w:val="22"/>
          <w:szCs w:val="22"/>
        </w:rPr>
        <w:t>SS burst for Case D - 120 kHz SCS and Case E - 240 kHz SCS have been defined.</w:t>
      </w:r>
      <w:r w:rsidR="00D4012A" w:rsidRPr="00D4012A">
        <w:rPr>
          <w:bCs/>
          <w:iCs/>
          <w:sz w:val="22"/>
          <w:szCs w:val="22"/>
        </w:rPr>
        <w:t xml:space="preserve"> </w:t>
      </w:r>
      <w:r w:rsidR="008216EF">
        <w:rPr>
          <w:bCs/>
          <w:iCs/>
          <w:sz w:val="22"/>
          <w:szCs w:val="22"/>
        </w:rPr>
        <w:t xml:space="preserve">If SS burst will be supported for </w:t>
      </w:r>
      <w:r w:rsidR="00F91EFF">
        <w:rPr>
          <w:bCs/>
          <w:iCs/>
          <w:sz w:val="22"/>
          <w:szCs w:val="22"/>
        </w:rPr>
        <w:t xml:space="preserve">higher SCS like 480 KHz and 960 KHz, then SS burst design for support of higher SCS like 480 KHz and 960 KHz needs to be studied. </w:t>
      </w:r>
      <w:r w:rsidR="00424EEE">
        <w:rPr>
          <w:bCs/>
          <w:iCs/>
          <w:sz w:val="22"/>
          <w:szCs w:val="22"/>
        </w:rPr>
        <w:t xml:space="preserve">QPSK and BPSK are robust with phase noise, </w:t>
      </w:r>
      <w:r w:rsidR="00D850AE">
        <w:rPr>
          <w:bCs/>
          <w:iCs/>
          <w:sz w:val="22"/>
          <w:szCs w:val="22"/>
        </w:rPr>
        <w:t xml:space="preserve">therefore, </w:t>
      </w:r>
      <w:r w:rsidR="00A37A22">
        <w:rPr>
          <w:bCs/>
          <w:iCs/>
          <w:sz w:val="22"/>
          <w:szCs w:val="22"/>
        </w:rPr>
        <w:t xml:space="preserve">most of </w:t>
      </w:r>
      <w:r w:rsidR="00424EEE">
        <w:rPr>
          <w:bCs/>
          <w:iCs/>
          <w:sz w:val="22"/>
          <w:szCs w:val="22"/>
        </w:rPr>
        <w:t xml:space="preserve">the PSS, SSS and PBCH </w:t>
      </w:r>
      <w:r w:rsidR="0045480B">
        <w:rPr>
          <w:bCs/>
          <w:iCs/>
          <w:sz w:val="22"/>
          <w:szCs w:val="22"/>
        </w:rPr>
        <w:t xml:space="preserve">design </w:t>
      </w:r>
      <w:r w:rsidR="007872DB">
        <w:rPr>
          <w:bCs/>
          <w:iCs/>
          <w:sz w:val="22"/>
          <w:szCs w:val="22"/>
        </w:rPr>
        <w:t>in</w:t>
      </w:r>
      <w:r w:rsidR="00A37A22">
        <w:rPr>
          <w:bCs/>
          <w:iCs/>
          <w:sz w:val="22"/>
          <w:szCs w:val="22"/>
        </w:rPr>
        <w:t xml:space="preserve"> NR </w:t>
      </w:r>
      <w:r w:rsidR="00E77F74">
        <w:rPr>
          <w:bCs/>
          <w:iCs/>
          <w:sz w:val="22"/>
          <w:szCs w:val="22"/>
        </w:rPr>
        <w:t xml:space="preserve">Rel-15/16 can </w:t>
      </w:r>
      <w:r w:rsidR="00424EEE">
        <w:rPr>
          <w:bCs/>
          <w:iCs/>
          <w:sz w:val="22"/>
          <w:szCs w:val="22"/>
        </w:rPr>
        <w:t xml:space="preserve">be reused </w:t>
      </w:r>
      <w:r w:rsidR="004F0A3F">
        <w:rPr>
          <w:bCs/>
          <w:iCs/>
          <w:sz w:val="22"/>
          <w:szCs w:val="22"/>
        </w:rPr>
        <w:t>to</w:t>
      </w:r>
      <w:r w:rsidR="00424EEE">
        <w:rPr>
          <w:bCs/>
          <w:iCs/>
          <w:sz w:val="22"/>
          <w:szCs w:val="22"/>
        </w:rPr>
        <w:t xml:space="preserve"> </w:t>
      </w:r>
      <w:r w:rsidR="005838CA">
        <w:rPr>
          <w:bCs/>
          <w:iCs/>
          <w:sz w:val="22"/>
          <w:szCs w:val="22"/>
        </w:rPr>
        <w:t xml:space="preserve">support </w:t>
      </w:r>
      <w:r w:rsidR="000850F0">
        <w:rPr>
          <w:bCs/>
          <w:iCs/>
          <w:sz w:val="22"/>
          <w:szCs w:val="22"/>
        </w:rPr>
        <w:t xml:space="preserve">the </w:t>
      </w:r>
      <w:r w:rsidR="00424EEE">
        <w:rPr>
          <w:bCs/>
          <w:iCs/>
          <w:sz w:val="22"/>
          <w:szCs w:val="22"/>
        </w:rPr>
        <w:t xml:space="preserve">SSB design </w:t>
      </w:r>
      <w:r w:rsidR="004F0A3F">
        <w:rPr>
          <w:bCs/>
          <w:iCs/>
          <w:sz w:val="22"/>
          <w:szCs w:val="22"/>
        </w:rPr>
        <w:t>for</w:t>
      </w:r>
      <w:r w:rsidR="00424EEE">
        <w:rPr>
          <w:bCs/>
          <w:iCs/>
          <w:sz w:val="22"/>
          <w:szCs w:val="22"/>
        </w:rPr>
        <w:t xml:space="preserve"> higher SCS. </w:t>
      </w:r>
      <w:r w:rsidR="0081595C">
        <w:rPr>
          <w:bCs/>
          <w:iCs/>
          <w:sz w:val="22"/>
          <w:szCs w:val="22"/>
        </w:rPr>
        <w:t xml:space="preserve">However, </w:t>
      </w:r>
      <w:r w:rsidR="00AC73FD">
        <w:rPr>
          <w:bCs/>
          <w:iCs/>
          <w:sz w:val="22"/>
          <w:szCs w:val="22"/>
        </w:rPr>
        <w:t xml:space="preserve">there </w:t>
      </w:r>
      <w:r w:rsidR="00360769">
        <w:rPr>
          <w:bCs/>
          <w:iCs/>
          <w:sz w:val="22"/>
          <w:szCs w:val="22"/>
        </w:rPr>
        <w:t xml:space="preserve">are a </w:t>
      </w:r>
      <w:r w:rsidR="00AC73FD">
        <w:rPr>
          <w:bCs/>
          <w:iCs/>
          <w:sz w:val="22"/>
          <w:szCs w:val="22"/>
        </w:rPr>
        <w:t xml:space="preserve">few SSB design </w:t>
      </w:r>
      <w:r w:rsidR="00360769">
        <w:rPr>
          <w:bCs/>
          <w:iCs/>
          <w:sz w:val="22"/>
          <w:szCs w:val="22"/>
        </w:rPr>
        <w:t xml:space="preserve">aspects </w:t>
      </w:r>
      <w:r w:rsidR="00AC73FD">
        <w:rPr>
          <w:bCs/>
          <w:iCs/>
          <w:sz w:val="22"/>
          <w:szCs w:val="22"/>
        </w:rPr>
        <w:t xml:space="preserve">may need to </w:t>
      </w:r>
      <w:r w:rsidR="00360769">
        <w:rPr>
          <w:bCs/>
          <w:iCs/>
          <w:sz w:val="22"/>
          <w:szCs w:val="22"/>
        </w:rPr>
        <w:t xml:space="preserve">be </w:t>
      </w:r>
      <w:r w:rsidR="00AC73FD">
        <w:rPr>
          <w:bCs/>
          <w:iCs/>
          <w:sz w:val="22"/>
          <w:szCs w:val="22"/>
        </w:rPr>
        <w:t>reconsider</w:t>
      </w:r>
      <w:r w:rsidR="00360769">
        <w:rPr>
          <w:bCs/>
          <w:iCs/>
          <w:sz w:val="22"/>
          <w:szCs w:val="22"/>
        </w:rPr>
        <w:t>ed</w:t>
      </w:r>
      <w:r w:rsidR="00AC73FD">
        <w:rPr>
          <w:bCs/>
          <w:iCs/>
          <w:sz w:val="22"/>
          <w:szCs w:val="22"/>
        </w:rPr>
        <w:t xml:space="preserve"> for higher SCS. For example, </w:t>
      </w:r>
      <w:r w:rsidR="00162D98">
        <w:rPr>
          <w:bCs/>
          <w:iCs/>
          <w:sz w:val="22"/>
          <w:szCs w:val="22"/>
        </w:rPr>
        <w:t xml:space="preserve">the </w:t>
      </w:r>
      <w:r w:rsidR="0081595C">
        <w:rPr>
          <w:bCs/>
          <w:iCs/>
          <w:sz w:val="22"/>
          <w:szCs w:val="22"/>
        </w:rPr>
        <w:t xml:space="preserve">channel estimation performance for PBCH demodulation may be degraded for higher SCS </w:t>
      </w:r>
      <w:r w:rsidR="00414138">
        <w:rPr>
          <w:bCs/>
          <w:iCs/>
          <w:sz w:val="22"/>
          <w:szCs w:val="22"/>
        </w:rPr>
        <w:t>like 960 KHz</w:t>
      </w:r>
      <w:r w:rsidR="0081595C">
        <w:rPr>
          <w:bCs/>
          <w:iCs/>
          <w:sz w:val="22"/>
          <w:szCs w:val="22"/>
        </w:rPr>
        <w:t>.</w:t>
      </w:r>
      <w:r w:rsidR="00414138">
        <w:rPr>
          <w:bCs/>
          <w:iCs/>
          <w:sz w:val="22"/>
          <w:szCs w:val="22"/>
        </w:rPr>
        <w:t xml:space="preserve"> </w:t>
      </w:r>
      <w:r w:rsidR="00177E36">
        <w:rPr>
          <w:bCs/>
          <w:iCs/>
          <w:sz w:val="22"/>
          <w:szCs w:val="22"/>
        </w:rPr>
        <w:t>In addition, w</w:t>
      </w:r>
      <w:r w:rsidR="00DC47FE" w:rsidRPr="00DC47FE">
        <w:rPr>
          <w:bCs/>
          <w:iCs/>
          <w:sz w:val="22"/>
          <w:szCs w:val="22"/>
        </w:rPr>
        <w:t xml:space="preserve">hen the larger SCSs/numerologies are introduced for NR from 52.6 GHz and above, the slot duration in a subframe will be decreased accordingly. Since the slot size decreases linearly with the increased SCS, the number of processing </w:t>
      </w:r>
      <w:r w:rsidR="00DC47FE">
        <w:rPr>
          <w:bCs/>
          <w:iCs/>
          <w:sz w:val="22"/>
          <w:szCs w:val="22"/>
        </w:rPr>
        <w:t>units</w:t>
      </w:r>
      <w:r w:rsidR="00DC47FE" w:rsidRPr="00DC47FE">
        <w:rPr>
          <w:bCs/>
          <w:iCs/>
          <w:sz w:val="22"/>
          <w:szCs w:val="22"/>
        </w:rPr>
        <w:t xml:space="preserve"> per slot are expected to be decreased for higher SCSs/numerologies</w:t>
      </w:r>
      <w:r w:rsidR="00DD0667">
        <w:rPr>
          <w:bCs/>
          <w:iCs/>
          <w:sz w:val="22"/>
          <w:szCs w:val="22"/>
        </w:rPr>
        <w:t>.</w:t>
      </w:r>
      <w:r w:rsidR="00DC47FE" w:rsidRPr="00DC47FE">
        <w:rPr>
          <w:bCs/>
          <w:iCs/>
          <w:sz w:val="22"/>
          <w:szCs w:val="22"/>
        </w:rPr>
        <w:t xml:space="preserve"> </w:t>
      </w:r>
      <w:r w:rsidR="00483033">
        <w:rPr>
          <w:bCs/>
          <w:iCs/>
          <w:sz w:val="22"/>
          <w:szCs w:val="22"/>
        </w:rPr>
        <w:t xml:space="preserve">In </w:t>
      </w:r>
      <w:r w:rsidR="00483033" w:rsidRPr="0091515D">
        <w:rPr>
          <w:rFonts w:eastAsia="Batang"/>
          <w:sz w:val="22"/>
          <w:szCs w:val="22"/>
          <w:lang w:eastAsia="ko-KR"/>
        </w:rPr>
        <w:t>RAN1 meeting #10</w:t>
      </w:r>
      <w:r w:rsidR="00483033">
        <w:rPr>
          <w:rFonts w:eastAsia="Batang"/>
          <w:sz w:val="22"/>
          <w:szCs w:val="22"/>
          <w:lang w:eastAsia="ko-KR"/>
        </w:rPr>
        <w:t>4b</w:t>
      </w:r>
      <w:r w:rsidR="00F3379A">
        <w:rPr>
          <w:rFonts w:eastAsia="Batang"/>
          <w:sz w:val="22"/>
          <w:szCs w:val="22"/>
          <w:lang w:eastAsia="ko-KR"/>
        </w:rPr>
        <w:t>is</w:t>
      </w:r>
      <w:r w:rsidR="00483033">
        <w:rPr>
          <w:rFonts w:eastAsia="Batang"/>
          <w:sz w:val="22"/>
          <w:szCs w:val="22"/>
          <w:lang w:eastAsia="ko-KR"/>
        </w:rPr>
        <w:t>-</w:t>
      </w:r>
      <w:r w:rsidR="00483033" w:rsidRPr="0091515D">
        <w:rPr>
          <w:rFonts w:eastAsia="Batang"/>
          <w:sz w:val="22"/>
          <w:szCs w:val="22"/>
          <w:lang w:eastAsia="ko-KR"/>
        </w:rPr>
        <w:t>e</w:t>
      </w:r>
      <w:r w:rsidR="00483033">
        <w:rPr>
          <w:bCs/>
          <w:iCs/>
          <w:sz w:val="22"/>
          <w:szCs w:val="22"/>
        </w:rPr>
        <w:t xml:space="preserve"> </w:t>
      </w:r>
      <w:r w:rsidR="00483033">
        <w:rPr>
          <w:rFonts w:eastAsia="Batang"/>
          <w:sz w:val="22"/>
          <w:szCs w:val="22"/>
          <w:lang w:eastAsia="ko-KR"/>
        </w:rPr>
        <w:fldChar w:fldCharType="begin"/>
      </w:r>
      <w:r w:rsidR="00483033">
        <w:rPr>
          <w:rFonts w:eastAsia="Batang"/>
          <w:sz w:val="22"/>
          <w:szCs w:val="22"/>
          <w:lang w:eastAsia="ko-KR"/>
        </w:rPr>
        <w:instrText xml:space="preserve"> REF _Ref53644681 \n \h  \* MERGEFORMAT </w:instrText>
      </w:r>
      <w:r w:rsidR="00483033">
        <w:rPr>
          <w:rFonts w:eastAsia="Batang"/>
          <w:sz w:val="22"/>
          <w:szCs w:val="22"/>
          <w:lang w:eastAsia="ko-KR"/>
        </w:rPr>
      </w:r>
      <w:r w:rsidR="00483033">
        <w:rPr>
          <w:rFonts w:eastAsia="Batang"/>
          <w:sz w:val="22"/>
          <w:szCs w:val="22"/>
          <w:lang w:eastAsia="ko-KR"/>
        </w:rPr>
        <w:fldChar w:fldCharType="separate"/>
      </w:r>
      <w:r w:rsidR="00483033">
        <w:rPr>
          <w:rFonts w:eastAsia="Batang"/>
          <w:sz w:val="22"/>
          <w:szCs w:val="22"/>
          <w:lang w:eastAsia="ko-KR"/>
        </w:rPr>
        <w:t>[1]</w:t>
      </w:r>
      <w:r w:rsidR="00483033">
        <w:rPr>
          <w:rFonts w:eastAsia="Batang"/>
          <w:sz w:val="22"/>
          <w:szCs w:val="22"/>
          <w:lang w:eastAsia="ko-KR"/>
        </w:rPr>
        <w:fldChar w:fldCharType="end"/>
      </w:r>
      <w:r w:rsidR="00483033">
        <w:rPr>
          <w:bCs/>
          <w:iCs/>
          <w:sz w:val="22"/>
          <w:szCs w:val="22"/>
        </w:rPr>
        <w:t xml:space="preserve">, </w:t>
      </w:r>
      <w:r w:rsidR="007D544E">
        <w:rPr>
          <w:bCs/>
          <w:iCs/>
          <w:sz w:val="22"/>
          <w:szCs w:val="22"/>
        </w:rPr>
        <w:t xml:space="preserve">the </w:t>
      </w:r>
      <w:r w:rsidR="006710E8">
        <w:rPr>
          <w:bCs/>
          <w:iCs/>
          <w:sz w:val="22"/>
          <w:szCs w:val="22"/>
        </w:rPr>
        <w:t>SS</w:t>
      </w:r>
      <w:r w:rsidR="00FC268E">
        <w:rPr>
          <w:bCs/>
          <w:iCs/>
          <w:sz w:val="22"/>
          <w:szCs w:val="22"/>
        </w:rPr>
        <w:t>B</w:t>
      </w:r>
      <w:r w:rsidR="006710E8">
        <w:rPr>
          <w:bCs/>
          <w:iCs/>
          <w:sz w:val="22"/>
          <w:szCs w:val="22"/>
        </w:rPr>
        <w:t xml:space="preserve"> design</w:t>
      </w:r>
      <w:r w:rsidR="00824F63">
        <w:rPr>
          <w:bCs/>
          <w:iCs/>
          <w:sz w:val="22"/>
          <w:szCs w:val="22"/>
        </w:rPr>
        <w:t xml:space="preserve"> within 5 ms (half-frame) </w:t>
      </w:r>
      <w:r w:rsidR="00483033">
        <w:rPr>
          <w:bCs/>
          <w:iCs/>
          <w:sz w:val="22"/>
          <w:szCs w:val="22"/>
        </w:rPr>
        <w:t>with</w:t>
      </w:r>
      <w:r w:rsidR="00824F63">
        <w:rPr>
          <w:bCs/>
          <w:iCs/>
          <w:sz w:val="22"/>
          <w:szCs w:val="22"/>
        </w:rPr>
        <w:t xml:space="preserve"> higher SCS (e.g.</w:t>
      </w:r>
      <w:r w:rsidR="001A269E">
        <w:rPr>
          <w:bCs/>
          <w:iCs/>
          <w:sz w:val="22"/>
          <w:szCs w:val="22"/>
        </w:rPr>
        <w:t>,</w:t>
      </w:r>
      <w:r w:rsidR="00824F63">
        <w:rPr>
          <w:bCs/>
          <w:iCs/>
          <w:sz w:val="22"/>
          <w:szCs w:val="22"/>
        </w:rPr>
        <w:t xml:space="preserve"> Case F </w:t>
      </w:r>
      <w:r w:rsidR="000A6EB0">
        <w:rPr>
          <w:bCs/>
          <w:iCs/>
          <w:sz w:val="22"/>
          <w:szCs w:val="22"/>
        </w:rPr>
        <w:t>– 480 KHz</w:t>
      </w:r>
      <w:r w:rsidR="00946310">
        <w:rPr>
          <w:bCs/>
          <w:iCs/>
          <w:sz w:val="22"/>
          <w:szCs w:val="22"/>
        </w:rPr>
        <w:t xml:space="preserve"> or</w:t>
      </w:r>
      <w:r w:rsidR="00824F63">
        <w:rPr>
          <w:bCs/>
          <w:iCs/>
          <w:sz w:val="22"/>
          <w:szCs w:val="22"/>
        </w:rPr>
        <w:t xml:space="preserve"> G</w:t>
      </w:r>
      <w:r w:rsidR="000A6EB0">
        <w:rPr>
          <w:bCs/>
          <w:iCs/>
          <w:sz w:val="22"/>
          <w:szCs w:val="22"/>
        </w:rPr>
        <w:t xml:space="preserve"> – 960 KHz</w:t>
      </w:r>
      <w:r w:rsidR="00824F63">
        <w:rPr>
          <w:bCs/>
          <w:iCs/>
          <w:sz w:val="22"/>
          <w:szCs w:val="22"/>
        </w:rPr>
        <w:t xml:space="preserve">) for </w:t>
      </w:r>
      <w:r w:rsidR="00551915">
        <w:rPr>
          <w:bCs/>
          <w:iCs/>
          <w:sz w:val="22"/>
          <w:szCs w:val="22"/>
        </w:rPr>
        <w:t xml:space="preserve">NR </w:t>
      </w:r>
      <w:r w:rsidR="0029303E">
        <w:rPr>
          <w:bCs/>
          <w:iCs/>
          <w:sz w:val="22"/>
          <w:szCs w:val="22"/>
        </w:rPr>
        <w:t>non-</w:t>
      </w:r>
      <w:r w:rsidR="00B9465B">
        <w:rPr>
          <w:bCs/>
          <w:iCs/>
          <w:sz w:val="22"/>
          <w:szCs w:val="22"/>
        </w:rPr>
        <w:t xml:space="preserve">initial access design </w:t>
      </w:r>
      <w:r w:rsidR="00824F63">
        <w:rPr>
          <w:bCs/>
          <w:iCs/>
          <w:sz w:val="22"/>
          <w:szCs w:val="22"/>
        </w:rPr>
        <w:t xml:space="preserve">from </w:t>
      </w:r>
      <w:r w:rsidR="00E344A8">
        <w:rPr>
          <w:bCs/>
          <w:iCs/>
          <w:sz w:val="22"/>
          <w:szCs w:val="22"/>
        </w:rPr>
        <w:t>52.6 GHz to 71 GHz</w:t>
      </w:r>
      <w:r w:rsidR="00483033">
        <w:rPr>
          <w:bCs/>
          <w:iCs/>
          <w:sz w:val="22"/>
          <w:szCs w:val="22"/>
        </w:rPr>
        <w:t xml:space="preserve"> has been agreed</w:t>
      </w:r>
      <w:r w:rsidR="00E344A8">
        <w:rPr>
          <w:bCs/>
          <w:iCs/>
          <w:sz w:val="22"/>
          <w:szCs w:val="22"/>
        </w:rPr>
        <w:t>.</w:t>
      </w:r>
      <w:r w:rsidR="00483033">
        <w:rPr>
          <w:bCs/>
          <w:iCs/>
          <w:sz w:val="22"/>
          <w:szCs w:val="22"/>
        </w:rPr>
        <w:t xml:space="preserve"> </w:t>
      </w:r>
      <w:r w:rsidR="0056274F">
        <w:rPr>
          <w:bCs/>
          <w:iCs/>
          <w:sz w:val="22"/>
          <w:szCs w:val="22"/>
        </w:rPr>
        <w:t xml:space="preserve">To minimize the </w:t>
      </w:r>
      <w:r w:rsidR="00A0760C" w:rsidRPr="00A0760C">
        <w:rPr>
          <w:bCs/>
          <w:iCs/>
          <w:sz w:val="22"/>
          <w:szCs w:val="22"/>
        </w:rPr>
        <w:t>specification impact</w:t>
      </w:r>
      <w:r w:rsidR="00A0760C">
        <w:rPr>
          <w:bCs/>
          <w:iCs/>
          <w:sz w:val="22"/>
          <w:szCs w:val="22"/>
        </w:rPr>
        <w:t xml:space="preserve">, </w:t>
      </w:r>
      <w:r w:rsidR="009C106D">
        <w:rPr>
          <w:bCs/>
          <w:iCs/>
          <w:sz w:val="22"/>
          <w:szCs w:val="22"/>
        </w:rPr>
        <w:t xml:space="preserve">SSB design </w:t>
      </w:r>
      <w:r w:rsidR="00360769">
        <w:rPr>
          <w:bCs/>
          <w:iCs/>
          <w:sz w:val="22"/>
          <w:szCs w:val="22"/>
        </w:rPr>
        <w:t xml:space="preserve">in 52.6GHz to 71GHz </w:t>
      </w:r>
      <w:r w:rsidR="009C106D">
        <w:rPr>
          <w:bCs/>
          <w:iCs/>
          <w:sz w:val="22"/>
          <w:szCs w:val="22"/>
        </w:rPr>
        <w:t xml:space="preserve">can </w:t>
      </w:r>
      <w:r w:rsidR="00360769">
        <w:rPr>
          <w:bCs/>
          <w:iCs/>
          <w:sz w:val="22"/>
          <w:szCs w:val="22"/>
        </w:rPr>
        <w:t>reuse</w:t>
      </w:r>
      <w:r w:rsidR="009C106D">
        <w:rPr>
          <w:bCs/>
          <w:iCs/>
          <w:sz w:val="22"/>
          <w:szCs w:val="22"/>
        </w:rPr>
        <w:t xml:space="preserve"> </w:t>
      </w:r>
      <w:r w:rsidR="0073268E">
        <w:rPr>
          <w:bCs/>
          <w:iCs/>
          <w:sz w:val="22"/>
          <w:szCs w:val="22"/>
        </w:rPr>
        <w:t xml:space="preserve">SSB design </w:t>
      </w:r>
      <w:r w:rsidR="009C106D">
        <w:rPr>
          <w:bCs/>
          <w:iCs/>
          <w:sz w:val="22"/>
          <w:szCs w:val="22"/>
        </w:rPr>
        <w:t>from Rel-15/16 as base line</w:t>
      </w:r>
      <w:r w:rsidR="002D1F24">
        <w:rPr>
          <w:bCs/>
          <w:iCs/>
          <w:sz w:val="22"/>
          <w:szCs w:val="22"/>
        </w:rPr>
        <w:t xml:space="preserve"> and with some extension</w:t>
      </w:r>
      <w:r w:rsidR="009C106D">
        <w:rPr>
          <w:bCs/>
          <w:iCs/>
          <w:sz w:val="22"/>
          <w:szCs w:val="22"/>
        </w:rPr>
        <w:t>.</w:t>
      </w:r>
      <w:r w:rsidR="0052410C">
        <w:rPr>
          <w:bCs/>
          <w:iCs/>
          <w:sz w:val="22"/>
          <w:szCs w:val="22"/>
        </w:rPr>
        <w:t xml:space="preserve"> For example, </w:t>
      </w:r>
      <w:r w:rsidR="00B12103">
        <w:rPr>
          <w:bCs/>
          <w:iCs/>
          <w:sz w:val="22"/>
          <w:szCs w:val="22"/>
        </w:rPr>
        <w:t xml:space="preserve">the starting symbols of </w:t>
      </w:r>
      <w:r w:rsidR="00F256AD">
        <w:rPr>
          <w:bCs/>
          <w:iCs/>
          <w:sz w:val="22"/>
          <w:szCs w:val="22"/>
        </w:rPr>
        <w:t xml:space="preserve">each </w:t>
      </w:r>
      <w:r w:rsidR="00B12103">
        <w:rPr>
          <w:bCs/>
          <w:iCs/>
          <w:sz w:val="22"/>
          <w:szCs w:val="22"/>
        </w:rPr>
        <w:t xml:space="preserve">SSB for supporting higher SCS </w:t>
      </w:r>
      <w:r w:rsidR="00F256AD">
        <w:rPr>
          <w:bCs/>
          <w:iCs/>
          <w:sz w:val="22"/>
          <w:szCs w:val="22"/>
        </w:rPr>
        <w:t>480 KHz or 960 KHz</w:t>
      </w:r>
      <w:r w:rsidR="00632533">
        <w:rPr>
          <w:bCs/>
          <w:iCs/>
          <w:sz w:val="22"/>
          <w:szCs w:val="22"/>
        </w:rPr>
        <w:t xml:space="preserve"> can be further studied</w:t>
      </w:r>
      <w:r w:rsidR="00E61FE7">
        <w:rPr>
          <w:bCs/>
          <w:iCs/>
          <w:sz w:val="22"/>
          <w:szCs w:val="22"/>
        </w:rPr>
        <w:t>.</w:t>
      </w:r>
      <w:r w:rsidR="00F256AD">
        <w:rPr>
          <w:bCs/>
          <w:iCs/>
          <w:sz w:val="22"/>
          <w:szCs w:val="22"/>
        </w:rPr>
        <w:t xml:space="preserve"> </w:t>
      </w:r>
      <w:r w:rsidR="009C106D">
        <w:rPr>
          <w:bCs/>
          <w:iCs/>
          <w:sz w:val="22"/>
          <w:szCs w:val="22"/>
        </w:rPr>
        <w:t xml:space="preserve">  </w:t>
      </w:r>
    </w:p>
    <w:p w14:paraId="6825DFFB" w14:textId="7B0A06A4" w:rsidR="00B65DAB" w:rsidRPr="00037BB0" w:rsidRDefault="004C0FE3" w:rsidP="00675DE2">
      <w:pPr>
        <w:spacing w:after="0" w:line="288" w:lineRule="auto"/>
        <w:rPr>
          <w:bCs/>
          <w:iCs/>
          <w:sz w:val="22"/>
          <w:szCs w:val="22"/>
        </w:rPr>
      </w:pPr>
      <w:r w:rsidRPr="00037BB0">
        <w:rPr>
          <w:b/>
          <w:i/>
          <w:sz w:val="22"/>
          <w:szCs w:val="22"/>
          <w:u w:val="single"/>
        </w:rPr>
        <w:t>Proposal 1</w:t>
      </w:r>
      <w:r w:rsidR="003744CA" w:rsidRPr="00037BB0">
        <w:rPr>
          <w:b/>
          <w:i/>
          <w:sz w:val="22"/>
          <w:szCs w:val="22"/>
          <w:lang w:eastAsia="zh-CN"/>
        </w:rPr>
        <w:t>:</w:t>
      </w:r>
      <w:r w:rsidRPr="00037BB0">
        <w:rPr>
          <w:b/>
          <w:i/>
          <w:sz w:val="22"/>
          <w:szCs w:val="22"/>
          <w:lang w:eastAsia="zh-CN"/>
        </w:rPr>
        <w:t xml:space="preserve"> The support of </w:t>
      </w:r>
      <w:r w:rsidR="00611298">
        <w:rPr>
          <w:b/>
          <w:i/>
          <w:sz w:val="22"/>
          <w:szCs w:val="22"/>
          <w:lang w:eastAsia="zh-CN"/>
        </w:rPr>
        <w:t xml:space="preserve">non-initial </w:t>
      </w:r>
      <w:r w:rsidR="008E0503" w:rsidRPr="00037BB0">
        <w:rPr>
          <w:b/>
          <w:i/>
          <w:sz w:val="22"/>
          <w:szCs w:val="22"/>
          <w:lang w:eastAsia="zh-CN"/>
        </w:rPr>
        <w:t>SS</w:t>
      </w:r>
      <w:r w:rsidR="00370F25">
        <w:rPr>
          <w:b/>
          <w:i/>
          <w:sz w:val="22"/>
          <w:szCs w:val="22"/>
          <w:lang w:eastAsia="zh-CN"/>
        </w:rPr>
        <w:t>B</w:t>
      </w:r>
      <w:r w:rsidR="00564FED" w:rsidRPr="00037BB0">
        <w:rPr>
          <w:b/>
          <w:i/>
          <w:sz w:val="22"/>
          <w:szCs w:val="22"/>
          <w:lang w:eastAsia="zh-CN"/>
        </w:rPr>
        <w:t xml:space="preserve"> design for higher </w:t>
      </w:r>
      <w:r w:rsidRPr="00037BB0">
        <w:rPr>
          <w:b/>
          <w:i/>
          <w:sz w:val="22"/>
          <w:szCs w:val="22"/>
          <w:lang w:eastAsia="zh-CN"/>
        </w:rPr>
        <w:t xml:space="preserve">SCS like 480 KHz and </w:t>
      </w:r>
      <w:r w:rsidR="00123128">
        <w:rPr>
          <w:b/>
          <w:i/>
          <w:sz w:val="22"/>
          <w:szCs w:val="22"/>
          <w:lang w:eastAsia="zh-CN"/>
        </w:rPr>
        <w:t>960 KHz</w:t>
      </w:r>
      <w:r w:rsidR="00123128" w:rsidRPr="00037BB0">
        <w:rPr>
          <w:b/>
          <w:i/>
          <w:sz w:val="22"/>
          <w:szCs w:val="22"/>
          <w:lang w:eastAsia="zh-CN"/>
        </w:rPr>
        <w:t xml:space="preserve"> </w:t>
      </w:r>
      <w:r w:rsidR="00B12103">
        <w:rPr>
          <w:b/>
          <w:i/>
          <w:sz w:val="22"/>
          <w:szCs w:val="22"/>
          <w:lang w:eastAsia="zh-CN"/>
        </w:rPr>
        <w:t>can be based on Rel-15/16 SSB design as baseline to minimize the specification impact</w:t>
      </w:r>
      <w:r w:rsidRPr="00037BB0">
        <w:rPr>
          <w:bCs/>
          <w:i/>
          <w:sz w:val="22"/>
          <w:szCs w:val="22"/>
          <w:lang w:eastAsia="zh-CN"/>
        </w:rPr>
        <w:t>.</w:t>
      </w:r>
      <w:r w:rsidRPr="00037BB0">
        <w:rPr>
          <w:b/>
          <w:i/>
          <w:sz w:val="22"/>
          <w:szCs w:val="22"/>
          <w:lang w:eastAsia="zh-CN"/>
        </w:rPr>
        <w:t xml:space="preserve">  </w:t>
      </w:r>
    </w:p>
    <w:p w14:paraId="6E3ECAD3" w14:textId="73EB2150" w:rsidR="001D7E63" w:rsidRPr="005B290D" w:rsidRDefault="001D7E63" w:rsidP="005B290D">
      <w:pPr>
        <w:pStyle w:val="Heading2"/>
        <w:numPr>
          <w:ilvl w:val="1"/>
          <w:numId w:val="8"/>
        </w:numPr>
        <w:ind w:left="0" w:firstLine="0"/>
      </w:pPr>
      <w:r w:rsidRPr="005B290D">
        <w:t xml:space="preserve">SSB </w:t>
      </w:r>
      <w:r w:rsidR="004F55DD">
        <w:t>t</w:t>
      </w:r>
      <w:r w:rsidRPr="005B290D">
        <w:t xml:space="preserve">ransmission </w:t>
      </w:r>
      <w:r w:rsidR="004F55DD">
        <w:t>o</w:t>
      </w:r>
      <w:r w:rsidRPr="005B290D">
        <w:t>pportunities</w:t>
      </w:r>
      <w:r w:rsidR="004F55DD">
        <w:t xml:space="preserve"> for extending NR </w:t>
      </w:r>
      <w:r w:rsidR="00992E0D">
        <w:t xml:space="preserve">from 52.6 GHz </w:t>
      </w:r>
      <w:r w:rsidR="004F55DD">
        <w:t>to 71 GHz</w:t>
      </w:r>
      <w:r w:rsidRPr="005B290D">
        <w:t xml:space="preserve">    </w:t>
      </w:r>
    </w:p>
    <w:p w14:paraId="79F7EB32"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GHz, eight beams are generally considered not sufficient since narrower beams for beamforming needs to be used. </w:t>
      </w:r>
    </w:p>
    <w:p w14:paraId="3706E8C2" w14:textId="77777777" w:rsidR="001D7E63" w:rsidRPr="005B290D" w:rsidRDefault="001D7E63" w:rsidP="00675DE2">
      <w:pPr>
        <w:spacing w:line="288" w:lineRule="auto"/>
        <w:rPr>
          <w:bCs/>
          <w:iCs/>
          <w:sz w:val="22"/>
          <w:szCs w:val="22"/>
        </w:rPr>
      </w:pPr>
      <w:r w:rsidRPr="005B290D">
        <w:rPr>
          <w:bCs/>
          <w:iCs/>
          <w:sz w:val="22"/>
          <w:szCs w:val="22"/>
        </w:rPr>
        <w:lastRenderedPageBreak/>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 can be discussed when specifications are developed.</w:t>
      </w:r>
    </w:p>
    <w:p w14:paraId="1F1C1D3D"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It is assumed that at least 64 different SSB beams should be supported. In order to support 64 SSB beams for beamforming, we need to have more candidate SSB positions (larger than 64) in unlicensed spectrum for frequencies between 52.6 GHz and 71GHz.  </w:t>
      </w:r>
    </w:p>
    <w:p w14:paraId="149A80EF" w14:textId="47D0D7B3" w:rsidR="001D7E63" w:rsidRPr="00037BB0" w:rsidRDefault="001D7E63" w:rsidP="00675DE2">
      <w:pPr>
        <w:spacing w:line="288" w:lineRule="auto"/>
        <w:rPr>
          <w:b/>
          <w:i/>
          <w:sz w:val="22"/>
          <w:szCs w:val="22"/>
        </w:rPr>
      </w:pPr>
      <w:r w:rsidRPr="00037BB0">
        <w:rPr>
          <w:b/>
          <w:i/>
          <w:sz w:val="22"/>
          <w:szCs w:val="22"/>
          <w:u w:val="single"/>
        </w:rPr>
        <w:t>Proposal 2</w:t>
      </w:r>
      <w:r w:rsidRPr="00037BB0">
        <w:rPr>
          <w:b/>
          <w:i/>
          <w:sz w:val="22"/>
          <w:szCs w:val="22"/>
        </w:rPr>
        <w:t xml:space="preserve">: </w:t>
      </w:r>
      <w:r w:rsidRPr="00037BB0">
        <w:rPr>
          <w:b/>
          <w:i/>
          <w:iCs/>
          <w:sz w:val="22"/>
          <w:szCs w:val="22"/>
        </w:rPr>
        <w:t>Increasing the number of SSB candidate positions to above 64 to increase transmission opportunities to cope with LBT failure should be considered.</w:t>
      </w:r>
      <w:r w:rsidRPr="00037BB0">
        <w:rPr>
          <w:b/>
          <w:i/>
          <w:sz w:val="22"/>
          <w:szCs w:val="22"/>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054F1612" w:rsidR="00E07D25" w:rsidRPr="00E07D25" w:rsidRDefault="00E07D25" w:rsidP="00675DE2">
      <w:pPr>
        <w:spacing w:after="200" w:line="288" w:lineRule="auto"/>
        <w:rPr>
          <w:bCs/>
          <w:iCs/>
          <w:sz w:val="22"/>
          <w:szCs w:val="22"/>
          <w:lang w:val="en-US"/>
        </w:rPr>
      </w:pPr>
      <w:r w:rsidRPr="00E07D25">
        <w:rPr>
          <w:bCs/>
          <w:iCs/>
          <w:sz w:val="22"/>
          <w:szCs w:val="22"/>
          <w:lang w:val="en-US"/>
        </w:rPr>
        <w:t>For higher frequency for 52.6 GHz and above, one of solutions for enhancement of the coverage and link budget is using narrower beam with increased or higher antenna gain. Therefore, narrower SSB beam for the introduced higher SCS (e.g.</w:t>
      </w:r>
      <w:r w:rsidR="00B70CF1">
        <w:rPr>
          <w:bCs/>
          <w:iCs/>
          <w:sz w:val="22"/>
          <w:szCs w:val="22"/>
          <w:lang w:val="en-US"/>
        </w:rPr>
        <w:t>,</w:t>
      </w:r>
      <w:r w:rsidRPr="00E07D25">
        <w:rPr>
          <w:bCs/>
          <w:iCs/>
          <w:sz w:val="22"/>
          <w:szCs w:val="22"/>
          <w:lang w:val="en-US"/>
        </w:rPr>
        <w:t xml:space="preserve"> 960 KHz) may be expected for NR from 52.6 GHz and above. However, the use of narrower SSB beams under the assumption of not increasing number of SSBs may reduce the spatial coverage thus cover fewer UEs. Therefore, some enhancement may be considered to account for the loss </w:t>
      </w:r>
      <w:r w:rsidR="00360769">
        <w:rPr>
          <w:bCs/>
          <w:iCs/>
          <w:sz w:val="22"/>
          <w:szCs w:val="22"/>
          <w:lang w:val="en-US"/>
        </w:rPr>
        <w:t>of</w:t>
      </w:r>
      <w:r w:rsidR="00360769" w:rsidRPr="00E07D25">
        <w:rPr>
          <w:bCs/>
          <w:iCs/>
          <w:sz w:val="22"/>
          <w:szCs w:val="22"/>
          <w:lang w:val="en-US"/>
        </w:rPr>
        <w:t xml:space="preserve"> </w:t>
      </w:r>
      <w:r w:rsidRPr="00E07D25">
        <w:rPr>
          <w:bCs/>
          <w:iCs/>
          <w:sz w:val="22"/>
          <w:szCs w:val="22"/>
          <w:lang w:val="en-US"/>
        </w:rPr>
        <w:t>the beam</w:t>
      </w:r>
      <w:r w:rsidR="00360769">
        <w:rPr>
          <w:bCs/>
          <w:iCs/>
          <w:sz w:val="22"/>
          <w:szCs w:val="22"/>
          <w:lang w:val="en-US"/>
        </w:rPr>
        <w:t>width</w:t>
      </w:r>
      <w:r w:rsidR="00FC268E">
        <w:rPr>
          <w:bCs/>
          <w:iCs/>
          <w:sz w:val="22"/>
          <w:szCs w:val="22"/>
          <w:lang w:val="en-US"/>
        </w:rPr>
        <w:t xml:space="preserve"> </w:t>
      </w:r>
      <w:r w:rsidR="00360769">
        <w:rPr>
          <w:bCs/>
          <w:iCs/>
          <w:sz w:val="22"/>
          <w:szCs w:val="22"/>
          <w:lang w:val="en-US"/>
        </w:rPr>
        <w:t xml:space="preserve">or </w:t>
      </w:r>
      <w:r w:rsidRPr="00E07D25">
        <w:rPr>
          <w:bCs/>
          <w:iCs/>
          <w:sz w:val="22"/>
          <w:szCs w:val="22"/>
          <w:lang w:val="en-US"/>
        </w:rPr>
        <w:t xml:space="preserve">the resulting reduction in the coverage </w:t>
      </w:r>
      <w:r w:rsidR="00E807B9">
        <w:rPr>
          <w:bCs/>
          <w:iCs/>
          <w:sz w:val="22"/>
          <w:szCs w:val="22"/>
          <w:lang w:val="en-US"/>
        </w:rPr>
        <w:t>area</w:t>
      </w:r>
      <w:r w:rsidR="00E807B9" w:rsidRPr="00E07D25">
        <w:rPr>
          <w:bCs/>
          <w:iCs/>
          <w:sz w:val="22"/>
          <w:szCs w:val="22"/>
          <w:lang w:val="en-US"/>
        </w:rPr>
        <w:t xml:space="preserve"> </w:t>
      </w:r>
      <w:r w:rsidRPr="00E07D25">
        <w:rPr>
          <w:bCs/>
          <w:iCs/>
          <w:sz w:val="22"/>
          <w:szCs w:val="22"/>
          <w:lang w:val="en-US"/>
        </w:rPr>
        <w:t xml:space="preserve">of a wider beam, and the increase in the number of narrow beams to compensate for the </w:t>
      </w:r>
      <w:r w:rsidR="00E807B9">
        <w:rPr>
          <w:bCs/>
          <w:iCs/>
          <w:sz w:val="22"/>
          <w:szCs w:val="22"/>
          <w:lang w:val="en-US"/>
        </w:rPr>
        <w:t>loss</w:t>
      </w:r>
      <w:r w:rsidRPr="00E07D25">
        <w:rPr>
          <w:bCs/>
          <w:iCs/>
          <w:sz w:val="22"/>
          <w:szCs w:val="22"/>
          <w:lang w:val="en-US"/>
        </w:rPr>
        <w:t xml:space="preserve"> </w:t>
      </w:r>
      <w:r w:rsidR="00E807B9">
        <w:rPr>
          <w:bCs/>
          <w:iCs/>
          <w:sz w:val="22"/>
          <w:szCs w:val="22"/>
          <w:lang w:val="en-US"/>
        </w:rPr>
        <w:t>of</w:t>
      </w:r>
      <w:r w:rsidRPr="00E07D25">
        <w:rPr>
          <w:bCs/>
          <w:iCs/>
          <w:sz w:val="22"/>
          <w:szCs w:val="22"/>
          <w:lang w:val="en-US"/>
        </w:rPr>
        <w:t xml:space="preserve"> coverage.</w:t>
      </w:r>
    </w:p>
    <w:p w14:paraId="042758F6" w14:textId="2108C84A" w:rsidR="00F8389D" w:rsidRPr="00037BB0" w:rsidRDefault="00F8389D" w:rsidP="00675DE2">
      <w:pPr>
        <w:spacing w:after="0" w:line="288" w:lineRule="auto"/>
        <w:rPr>
          <w:b/>
          <w:i/>
          <w:sz w:val="22"/>
          <w:szCs w:val="22"/>
        </w:rPr>
      </w:pPr>
      <w:r w:rsidRPr="00037BB0">
        <w:rPr>
          <w:b/>
          <w:i/>
          <w:sz w:val="22"/>
          <w:szCs w:val="22"/>
          <w:u w:val="single"/>
        </w:rPr>
        <w:t xml:space="preserve">Proposal </w:t>
      </w:r>
      <w:r w:rsidR="00B1618C" w:rsidRPr="00037BB0">
        <w:rPr>
          <w:b/>
          <w:i/>
          <w:sz w:val="22"/>
          <w:szCs w:val="22"/>
          <w:u w:val="single"/>
        </w:rPr>
        <w:t>3</w:t>
      </w:r>
      <w:r w:rsidR="003744CA" w:rsidRPr="00037BB0">
        <w:rPr>
          <w:b/>
          <w:i/>
          <w:sz w:val="22"/>
          <w:szCs w:val="22"/>
          <w:lang w:eastAsia="zh-CN"/>
        </w:rPr>
        <w:t>:</w:t>
      </w:r>
      <w:r w:rsidRPr="00037BB0">
        <w:rPr>
          <w:b/>
          <w:i/>
          <w:sz w:val="22"/>
          <w:szCs w:val="22"/>
          <w:lang w:eastAsia="zh-CN"/>
        </w:rPr>
        <w:t xml:space="preserve"> SSB coverage enhancement should be studied for higher SCS.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31AC30E1" w14:textId="50B97C32" w:rsidR="00B1618C" w:rsidRPr="00124CCF" w:rsidRDefault="00B1618C" w:rsidP="00675DE2">
      <w:pPr>
        <w:spacing w:after="0" w:line="288" w:lineRule="auto"/>
        <w:rPr>
          <w:b/>
          <w:i/>
          <w:sz w:val="22"/>
          <w:szCs w:val="22"/>
          <w:lang w:eastAsia="zh-CN"/>
        </w:rPr>
      </w:pPr>
      <w:r w:rsidRPr="00124CCF">
        <w:rPr>
          <w:b/>
          <w:i/>
          <w:sz w:val="22"/>
          <w:szCs w:val="22"/>
          <w:u w:val="single"/>
        </w:rPr>
        <w:t>Proposal 1</w:t>
      </w:r>
      <w:r w:rsidRPr="00124CCF">
        <w:rPr>
          <w:b/>
          <w:i/>
          <w:sz w:val="22"/>
          <w:szCs w:val="22"/>
          <w:lang w:eastAsia="zh-CN"/>
        </w:rPr>
        <w:t xml:space="preserve">: </w:t>
      </w:r>
      <w:r w:rsidR="0040047B" w:rsidRPr="00037BB0">
        <w:rPr>
          <w:b/>
          <w:i/>
          <w:sz w:val="22"/>
          <w:szCs w:val="22"/>
          <w:lang w:eastAsia="zh-CN"/>
        </w:rPr>
        <w:t xml:space="preserve">The support of </w:t>
      </w:r>
      <w:r w:rsidR="0040047B">
        <w:rPr>
          <w:b/>
          <w:i/>
          <w:sz w:val="22"/>
          <w:szCs w:val="22"/>
          <w:lang w:eastAsia="zh-CN"/>
        </w:rPr>
        <w:t xml:space="preserve">non-initial </w:t>
      </w:r>
      <w:r w:rsidR="0040047B" w:rsidRPr="00037BB0">
        <w:rPr>
          <w:b/>
          <w:i/>
          <w:sz w:val="22"/>
          <w:szCs w:val="22"/>
          <w:lang w:eastAsia="zh-CN"/>
        </w:rPr>
        <w:t xml:space="preserve">SSB design for higher SCS 480 KHz and </w:t>
      </w:r>
      <w:r w:rsidR="00211081">
        <w:rPr>
          <w:b/>
          <w:i/>
          <w:sz w:val="22"/>
          <w:szCs w:val="22"/>
          <w:lang w:eastAsia="zh-CN"/>
        </w:rPr>
        <w:t>960 KHz</w:t>
      </w:r>
      <w:r w:rsidR="0040047B" w:rsidRPr="00037BB0">
        <w:rPr>
          <w:b/>
          <w:i/>
          <w:sz w:val="22"/>
          <w:szCs w:val="22"/>
          <w:lang w:eastAsia="zh-CN"/>
        </w:rPr>
        <w:t xml:space="preserve"> </w:t>
      </w:r>
      <w:r w:rsidR="0040047B">
        <w:rPr>
          <w:b/>
          <w:i/>
          <w:sz w:val="22"/>
          <w:szCs w:val="22"/>
          <w:lang w:eastAsia="zh-CN"/>
        </w:rPr>
        <w:t>can be based on Rel-15/16 SSB design as baseline to minimize the specification impact</w:t>
      </w:r>
      <w:r w:rsidRPr="00124CCF">
        <w:rPr>
          <w:bCs/>
          <w:i/>
          <w:sz w:val="22"/>
          <w:szCs w:val="22"/>
          <w:lang w:eastAsia="zh-CN"/>
        </w:rPr>
        <w:t>.</w:t>
      </w:r>
      <w:r w:rsidRPr="00124CCF">
        <w:rPr>
          <w:b/>
          <w:i/>
          <w:sz w:val="22"/>
          <w:szCs w:val="22"/>
          <w:lang w:eastAsia="zh-CN"/>
        </w:rPr>
        <w:t xml:space="preserve">  </w:t>
      </w:r>
    </w:p>
    <w:p w14:paraId="67A4AC19" w14:textId="371BBFB5" w:rsidR="00E15B2D" w:rsidRPr="00124CCF" w:rsidRDefault="00B1618C" w:rsidP="00675DE2">
      <w:pPr>
        <w:spacing w:line="288" w:lineRule="auto"/>
        <w:rPr>
          <w:i/>
          <w:sz w:val="22"/>
          <w:szCs w:val="22"/>
        </w:rPr>
      </w:pPr>
      <w:r w:rsidRPr="00124CCF">
        <w:rPr>
          <w:b/>
          <w:i/>
          <w:sz w:val="22"/>
          <w:szCs w:val="22"/>
          <w:u w:val="single"/>
        </w:rPr>
        <w:t>Proposal 2</w:t>
      </w:r>
      <w:r w:rsidRPr="00124CCF">
        <w:rPr>
          <w:b/>
          <w:i/>
          <w:sz w:val="22"/>
          <w:szCs w:val="22"/>
        </w:rPr>
        <w:t xml:space="preserve">: </w:t>
      </w:r>
      <w:r w:rsidRPr="00124CCF">
        <w:rPr>
          <w:b/>
          <w:bCs/>
          <w:i/>
          <w:iCs/>
          <w:sz w:val="22"/>
          <w:szCs w:val="22"/>
        </w:rPr>
        <w:t>Increasing the number of SSB candidate positions to above 64 to increase transmission opportunities to cope with LBT failure should be considered</w:t>
      </w:r>
      <w:r w:rsidRPr="00124CCF">
        <w:rPr>
          <w:i/>
          <w:iCs/>
          <w:sz w:val="22"/>
          <w:szCs w:val="22"/>
        </w:rPr>
        <w:t>.</w:t>
      </w:r>
      <w:r w:rsidRPr="00124CCF">
        <w:rPr>
          <w:i/>
          <w:sz w:val="22"/>
          <w:szCs w:val="22"/>
        </w:rPr>
        <w:t xml:space="preserve"> </w:t>
      </w:r>
    </w:p>
    <w:p w14:paraId="0AF0D31C" w14:textId="745017B6" w:rsidR="00B1618C" w:rsidRPr="00124CCF" w:rsidRDefault="00B1618C" w:rsidP="00675DE2">
      <w:pPr>
        <w:spacing w:after="0" w:line="288" w:lineRule="auto"/>
        <w:rPr>
          <w:b/>
          <w:i/>
          <w:sz w:val="22"/>
          <w:szCs w:val="22"/>
        </w:rPr>
      </w:pPr>
      <w:r w:rsidRPr="00124CCF">
        <w:rPr>
          <w:b/>
          <w:i/>
          <w:sz w:val="22"/>
          <w:szCs w:val="22"/>
          <w:u w:val="single"/>
        </w:rPr>
        <w:t>Proposal 3</w:t>
      </w:r>
      <w:r w:rsidRPr="00124CCF">
        <w:rPr>
          <w:b/>
          <w:i/>
          <w:sz w:val="22"/>
          <w:szCs w:val="22"/>
          <w:lang w:eastAsia="zh-CN"/>
        </w:rPr>
        <w:t xml:space="preserve">: SSB coverage enhancement should be studied for higher SCS.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227C138C" w:rsidR="00396F61" w:rsidRDefault="00396F61" w:rsidP="00396F61">
      <w:pPr>
        <w:pStyle w:val="iReference"/>
        <w:numPr>
          <w:ilvl w:val="0"/>
          <w:numId w:val="5"/>
        </w:numPr>
        <w:spacing w:after="120"/>
        <w:rPr>
          <w:rFonts w:ascii="Times New Roman" w:eastAsia="PMingLiU" w:hAnsi="Times New Roman" w:cs="Times New Roman"/>
          <w:color w:val="000000" w:themeColor="text1"/>
          <w:sz w:val="22"/>
        </w:rPr>
      </w:pPr>
      <w:bookmarkStart w:id="0" w:name="_Ref53644681"/>
      <w:bookmarkStart w:id="1" w:name="_Ref61518755"/>
      <w:bookmarkStart w:id="2" w:name="_Ref40398575"/>
      <w:r w:rsidRPr="00734421">
        <w:rPr>
          <w:rFonts w:ascii="Times New Roman" w:eastAsia="PMingLiU" w:hAnsi="Times New Roman" w:cs="Times New Roman"/>
          <w:color w:val="000000" w:themeColor="text1"/>
          <w:sz w:val="22"/>
        </w:rPr>
        <w:t>Chairman Notes, RAN1 #10</w:t>
      </w:r>
      <w:r w:rsidR="005748DF">
        <w:rPr>
          <w:rFonts w:ascii="Times New Roman" w:eastAsia="PMingLiU" w:hAnsi="Times New Roman" w:cs="Times New Roman"/>
          <w:color w:val="000000" w:themeColor="text1"/>
          <w:sz w:val="22"/>
        </w:rPr>
        <w:t>4</w:t>
      </w:r>
      <w:r w:rsidR="00EE667D">
        <w:rPr>
          <w:rFonts w:ascii="Times New Roman" w:eastAsia="PMingLiU" w:hAnsi="Times New Roman" w:cs="Times New Roman"/>
          <w:color w:val="000000" w:themeColor="text1"/>
          <w:sz w:val="22"/>
        </w:rPr>
        <w:t>b</w:t>
      </w:r>
      <w:r w:rsidR="00F3379A">
        <w:rPr>
          <w:rFonts w:ascii="Times New Roman" w:eastAsia="PMingLiU" w:hAnsi="Times New Roman" w:cs="Times New Roman"/>
          <w:color w:val="000000" w:themeColor="text1"/>
          <w:sz w:val="22"/>
        </w:rPr>
        <w:t>is</w:t>
      </w:r>
      <w:r w:rsidRPr="00734421">
        <w:rPr>
          <w:rFonts w:ascii="Times New Roman" w:eastAsia="PMingLiU" w:hAnsi="Times New Roman" w:cs="Times New Roman"/>
          <w:color w:val="000000" w:themeColor="text1"/>
          <w:sz w:val="22"/>
        </w:rPr>
        <w:t xml:space="preserve">-e, </w:t>
      </w:r>
      <w:bookmarkEnd w:id="0"/>
      <w:r w:rsidR="00EE667D">
        <w:rPr>
          <w:rFonts w:ascii="Times New Roman" w:eastAsia="PMingLiU" w:hAnsi="Times New Roman" w:cs="Times New Roman"/>
          <w:color w:val="000000" w:themeColor="text1"/>
          <w:sz w:val="22"/>
        </w:rPr>
        <w:t>April</w:t>
      </w:r>
      <w:r w:rsidR="003B4B9A" w:rsidRPr="003B4B9A">
        <w:rPr>
          <w:rFonts w:ascii="Times New Roman" w:eastAsia="PMingLiU" w:hAnsi="Times New Roman" w:cs="Times New Roman"/>
          <w:color w:val="000000" w:themeColor="text1"/>
          <w:sz w:val="22"/>
        </w:rPr>
        <w:t xml:space="preserve"> </w:t>
      </w:r>
      <w:r w:rsidR="002C52AB">
        <w:rPr>
          <w:rFonts w:ascii="Times New Roman" w:eastAsia="PMingLiU" w:hAnsi="Times New Roman" w:cs="Times New Roman"/>
          <w:color w:val="000000" w:themeColor="text1"/>
          <w:sz w:val="22"/>
        </w:rPr>
        <w:t>12</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xml:space="preserve"> – </w:t>
      </w:r>
      <w:r w:rsidR="00E87EA9">
        <w:rPr>
          <w:rFonts w:ascii="Times New Roman" w:eastAsia="PMingLiU" w:hAnsi="Times New Roman" w:cs="Times New Roman"/>
          <w:color w:val="000000" w:themeColor="text1"/>
          <w:sz w:val="22"/>
        </w:rPr>
        <w:t>April</w:t>
      </w:r>
      <w:r w:rsidR="003B4B9A" w:rsidRPr="003B4B9A">
        <w:rPr>
          <w:rFonts w:ascii="Times New Roman" w:eastAsia="PMingLiU" w:hAnsi="Times New Roman" w:cs="Times New Roman"/>
          <w:color w:val="000000" w:themeColor="text1"/>
          <w:sz w:val="22"/>
        </w:rPr>
        <w:t xml:space="preserve"> </w:t>
      </w:r>
      <w:r w:rsidR="00E87EA9">
        <w:rPr>
          <w:rFonts w:ascii="Times New Roman" w:eastAsia="PMingLiU" w:hAnsi="Times New Roman" w:cs="Times New Roman"/>
          <w:color w:val="000000" w:themeColor="text1"/>
          <w:sz w:val="22"/>
        </w:rPr>
        <w:t>2</w:t>
      </w:r>
      <w:r w:rsidR="004E2A56">
        <w:rPr>
          <w:rFonts w:ascii="Times New Roman" w:eastAsia="PMingLiU" w:hAnsi="Times New Roman" w:cs="Times New Roman"/>
          <w:color w:val="000000" w:themeColor="text1"/>
          <w:sz w:val="22"/>
        </w:rPr>
        <w:t>0</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202</w:t>
      </w:r>
      <w:bookmarkEnd w:id="1"/>
      <w:bookmarkEnd w:id="2"/>
      <w:r w:rsidR="00E44B3F">
        <w:rPr>
          <w:rFonts w:ascii="Times New Roman" w:eastAsia="PMingLiU" w:hAnsi="Times New Roman" w:cs="Times New Roman"/>
          <w:color w:val="000000" w:themeColor="text1"/>
          <w:sz w:val="22"/>
        </w:rPr>
        <w:t>1</w:t>
      </w:r>
      <w:r w:rsidR="00AE7E2F">
        <w:rPr>
          <w:rFonts w:ascii="Times New Roman" w:eastAsia="PMingLiU" w:hAnsi="Times New Roman" w:cs="Times New Roman"/>
          <w:color w:val="000000" w:themeColor="text1"/>
          <w:sz w:val="22"/>
        </w:rPr>
        <w:t>.</w:t>
      </w:r>
    </w:p>
    <w:p w14:paraId="19301CAE" w14:textId="70B84658" w:rsidR="006409A7" w:rsidRPr="006409A7" w:rsidRDefault="006409A7" w:rsidP="006409A7">
      <w:pPr>
        <w:pStyle w:val="iReference"/>
        <w:numPr>
          <w:ilvl w:val="0"/>
          <w:numId w:val="5"/>
        </w:numPr>
        <w:spacing w:after="120"/>
        <w:rPr>
          <w:rFonts w:ascii="Times New Roman" w:eastAsia="PMingLiU" w:hAnsi="Times New Roman" w:cs="Times New Roman"/>
          <w:color w:val="000000" w:themeColor="text1"/>
          <w:sz w:val="22"/>
        </w:rPr>
      </w:pPr>
      <w:bookmarkStart w:id="3" w:name="_Ref6854373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r w:rsidR="00AD7E78" w:rsidRPr="00AD7E78">
        <w:rPr>
          <w:rFonts w:ascii="Times New Roman" w:eastAsia="PMingLiU" w:hAnsi="Times New Roman" w:cs="Times New Roman"/>
          <w:color w:val="000000" w:themeColor="text1"/>
          <w:sz w:val="22"/>
        </w:rPr>
        <w:t>October 26</w:t>
      </w:r>
      <w:r w:rsidR="00AD7E78" w:rsidRPr="00AD7E78">
        <w:rPr>
          <w:rFonts w:ascii="Times New Roman" w:eastAsia="PMingLiU" w:hAnsi="Times New Roman" w:cs="Times New Roman"/>
          <w:color w:val="000000" w:themeColor="text1"/>
          <w:sz w:val="22"/>
          <w:vertAlign w:val="superscript"/>
        </w:rPr>
        <w:t>th</w:t>
      </w:r>
      <w:r w:rsidR="00AD7E78">
        <w:rPr>
          <w:rFonts w:ascii="Times New Roman" w:eastAsia="PMingLiU" w:hAnsi="Times New Roman" w:cs="Times New Roman"/>
          <w:color w:val="000000" w:themeColor="text1"/>
          <w:sz w:val="22"/>
        </w:rPr>
        <w:t xml:space="preserve"> </w:t>
      </w:r>
      <w:r w:rsidR="00AD7E78" w:rsidRPr="00AD7E78">
        <w:rPr>
          <w:rFonts w:ascii="Times New Roman" w:eastAsia="PMingLiU" w:hAnsi="Times New Roman" w:cs="Times New Roman"/>
          <w:color w:val="000000" w:themeColor="text1"/>
          <w:sz w:val="22"/>
        </w:rPr>
        <w:t xml:space="preserve"> – November 13</w:t>
      </w:r>
      <w:r w:rsidR="00AD7E78" w:rsidRPr="00AD7E78">
        <w:rPr>
          <w:rFonts w:ascii="Times New Roman" w:eastAsia="PMingLiU" w:hAnsi="Times New Roman" w:cs="Times New Roman"/>
          <w:color w:val="000000" w:themeColor="text1"/>
          <w:sz w:val="22"/>
          <w:vertAlign w:val="superscript"/>
        </w:rPr>
        <w:t>th</w:t>
      </w:r>
      <w:r w:rsidR="00AD7E78">
        <w:rPr>
          <w:rFonts w:ascii="Times New Roman" w:eastAsia="PMingLiU" w:hAnsi="Times New Roman" w:cs="Times New Roman"/>
          <w:color w:val="000000" w:themeColor="text1"/>
          <w:sz w:val="22"/>
        </w:rPr>
        <w:t xml:space="preserve"> </w:t>
      </w:r>
      <w:r w:rsidR="00AD7E78" w:rsidRPr="00AD7E78">
        <w:rPr>
          <w:rFonts w:ascii="Times New Roman" w:eastAsia="PMingLiU" w:hAnsi="Times New Roman" w:cs="Times New Roman"/>
          <w:color w:val="000000" w:themeColor="text1"/>
          <w:sz w:val="22"/>
        </w:rPr>
        <w:t>, 2020</w:t>
      </w:r>
      <w:r w:rsidR="00AD7E78">
        <w:rPr>
          <w:rFonts w:ascii="Times New Roman" w:eastAsia="PMingLiU" w:hAnsi="Times New Roman" w:cs="Times New Roman"/>
          <w:color w:val="000000" w:themeColor="text1"/>
          <w:sz w:val="22"/>
        </w:rPr>
        <w:t>.</w:t>
      </w:r>
      <w:bookmarkEnd w:id="3"/>
    </w:p>
    <w:p w14:paraId="68F14DEA" w14:textId="77777777" w:rsidR="002E7F9C" w:rsidRPr="002E7F9C" w:rsidRDefault="002E7F9C" w:rsidP="002E7F9C">
      <w:pPr>
        <w:jc w:val="center"/>
        <w:rPr>
          <w:lang w:val="en-US"/>
        </w:rPr>
      </w:pPr>
    </w:p>
    <w:sectPr w:rsidR="002E7F9C" w:rsidRPr="002E7F9C">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1CFF" w14:textId="77777777" w:rsidR="00F77986" w:rsidRDefault="00F77986">
      <w:r>
        <w:separator/>
      </w:r>
    </w:p>
  </w:endnote>
  <w:endnote w:type="continuationSeparator" w:id="0">
    <w:p w14:paraId="7B92A1F7" w14:textId="77777777" w:rsidR="00F77986" w:rsidRDefault="00F7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539A" w14:textId="77777777" w:rsidR="00F77986" w:rsidRDefault="00F77986">
      <w:r>
        <w:separator/>
      </w:r>
    </w:p>
  </w:footnote>
  <w:footnote w:type="continuationSeparator" w:id="0">
    <w:p w14:paraId="24919523" w14:textId="77777777" w:rsidR="00F77986" w:rsidRDefault="00F77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16"/>
  </w:num>
  <w:num w:numId="4">
    <w:abstractNumId w:val="5"/>
  </w:num>
  <w:num w:numId="5">
    <w:abstractNumId w:val="0"/>
  </w:num>
  <w:num w:numId="6">
    <w:abstractNumId w:val="11"/>
  </w:num>
  <w:num w:numId="7">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0"/>
  </w:num>
  <w:num w:numId="10">
    <w:abstractNumId w:val="18"/>
  </w:num>
  <w:num w:numId="11">
    <w:abstractNumId w:val="13"/>
  </w:num>
  <w:num w:numId="12">
    <w:abstractNumId w:val="6"/>
  </w:num>
  <w:num w:numId="13">
    <w:abstractNumId w:val="23"/>
  </w:num>
  <w:num w:numId="14">
    <w:abstractNumId w:val="32"/>
  </w:num>
  <w:num w:numId="15">
    <w:abstractNumId w:val="10"/>
  </w:num>
  <w:num w:numId="16">
    <w:abstractNumId w:val="27"/>
  </w:num>
  <w:num w:numId="17">
    <w:abstractNumId w:val="20"/>
  </w:num>
  <w:num w:numId="18">
    <w:abstractNumId w:val="11"/>
  </w:num>
  <w:num w:numId="19">
    <w:abstractNumId w:val="25"/>
  </w:num>
  <w:num w:numId="20">
    <w:abstractNumId w:val="17"/>
  </w:num>
  <w:num w:numId="21">
    <w:abstractNumId w:val="9"/>
  </w:num>
  <w:num w:numId="22">
    <w:abstractNumId w:val="31"/>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1"/>
  </w:num>
  <w:num w:numId="27">
    <w:abstractNumId w:val="14"/>
  </w:num>
  <w:num w:numId="28">
    <w:abstractNumId w:val="11"/>
  </w:num>
  <w:num w:numId="29">
    <w:abstractNumId w:val="28"/>
  </w:num>
  <w:num w:numId="30">
    <w:abstractNumId w:val="26"/>
  </w:num>
  <w:num w:numId="31">
    <w:abstractNumId w:val="21"/>
  </w:num>
  <w:num w:numId="32">
    <w:abstractNumId w:val="8"/>
  </w:num>
  <w:num w:numId="33">
    <w:abstractNumId w:val="29"/>
  </w:num>
  <w:num w:numId="34">
    <w:abstractNumId w:val="22"/>
  </w:num>
  <w:num w:numId="35">
    <w:abstractNumId w:val="3"/>
  </w:num>
  <w:num w:numId="3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D9E"/>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2055C"/>
    <w:rsid w:val="00020FEA"/>
    <w:rsid w:val="00021047"/>
    <w:rsid w:val="0002195D"/>
    <w:rsid w:val="00022E5D"/>
    <w:rsid w:val="000232DF"/>
    <w:rsid w:val="0002347A"/>
    <w:rsid w:val="00023A30"/>
    <w:rsid w:val="00023E37"/>
    <w:rsid w:val="00024B1D"/>
    <w:rsid w:val="00025F13"/>
    <w:rsid w:val="00026407"/>
    <w:rsid w:val="00026C8E"/>
    <w:rsid w:val="00027FA4"/>
    <w:rsid w:val="0003002D"/>
    <w:rsid w:val="0003025B"/>
    <w:rsid w:val="000314E8"/>
    <w:rsid w:val="000319FD"/>
    <w:rsid w:val="00032BAB"/>
    <w:rsid w:val="0003358B"/>
    <w:rsid w:val="0003567F"/>
    <w:rsid w:val="00036338"/>
    <w:rsid w:val="000368AD"/>
    <w:rsid w:val="00036C24"/>
    <w:rsid w:val="0003758B"/>
    <w:rsid w:val="00037BB0"/>
    <w:rsid w:val="00037ED1"/>
    <w:rsid w:val="0004009F"/>
    <w:rsid w:val="00040139"/>
    <w:rsid w:val="00040434"/>
    <w:rsid w:val="00040B6B"/>
    <w:rsid w:val="00040EED"/>
    <w:rsid w:val="000411F7"/>
    <w:rsid w:val="0004279E"/>
    <w:rsid w:val="0004388B"/>
    <w:rsid w:val="00044018"/>
    <w:rsid w:val="00044D87"/>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DF5"/>
    <w:rsid w:val="00065F7D"/>
    <w:rsid w:val="0006613F"/>
    <w:rsid w:val="000674FE"/>
    <w:rsid w:val="00067786"/>
    <w:rsid w:val="00071B8E"/>
    <w:rsid w:val="00072DCE"/>
    <w:rsid w:val="00072FE2"/>
    <w:rsid w:val="000735F4"/>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7103"/>
    <w:rsid w:val="000C74BD"/>
    <w:rsid w:val="000D00F4"/>
    <w:rsid w:val="000D0BAC"/>
    <w:rsid w:val="000D24DC"/>
    <w:rsid w:val="000D27A6"/>
    <w:rsid w:val="000D33EC"/>
    <w:rsid w:val="000D37D3"/>
    <w:rsid w:val="000D3A03"/>
    <w:rsid w:val="000D4D17"/>
    <w:rsid w:val="000D4FA7"/>
    <w:rsid w:val="000D53B6"/>
    <w:rsid w:val="000D54D4"/>
    <w:rsid w:val="000D5684"/>
    <w:rsid w:val="000D6374"/>
    <w:rsid w:val="000D6537"/>
    <w:rsid w:val="000D6FAC"/>
    <w:rsid w:val="000D6FF5"/>
    <w:rsid w:val="000D7019"/>
    <w:rsid w:val="000D76D6"/>
    <w:rsid w:val="000E0359"/>
    <w:rsid w:val="000E071E"/>
    <w:rsid w:val="000E0B16"/>
    <w:rsid w:val="000E2AD1"/>
    <w:rsid w:val="000E317A"/>
    <w:rsid w:val="000E32F9"/>
    <w:rsid w:val="000E35EC"/>
    <w:rsid w:val="000E5029"/>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23128"/>
    <w:rsid w:val="00124CCF"/>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6B9B"/>
    <w:rsid w:val="00151707"/>
    <w:rsid w:val="00153720"/>
    <w:rsid w:val="00153B57"/>
    <w:rsid w:val="00153DEA"/>
    <w:rsid w:val="00154D00"/>
    <w:rsid w:val="00154FA2"/>
    <w:rsid w:val="001554D1"/>
    <w:rsid w:val="0015653D"/>
    <w:rsid w:val="001578D3"/>
    <w:rsid w:val="00160964"/>
    <w:rsid w:val="00160FAE"/>
    <w:rsid w:val="001628B0"/>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6EBA"/>
    <w:rsid w:val="00187149"/>
    <w:rsid w:val="00187541"/>
    <w:rsid w:val="00192E6B"/>
    <w:rsid w:val="00192E93"/>
    <w:rsid w:val="00193586"/>
    <w:rsid w:val="00193789"/>
    <w:rsid w:val="00194D88"/>
    <w:rsid w:val="00197BBF"/>
    <w:rsid w:val="00197D68"/>
    <w:rsid w:val="001A211F"/>
    <w:rsid w:val="001A269E"/>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BF3"/>
    <w:rsid w:val="001B2C52"/>
    <w:rsid w:val="001B327F"/>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AF5"/>
    <w:rsid w:val="00206607"/>
    <w:rsid w:val="00206B36"/>
    <w:rsid w:val="00206FA1"/>
    <w:rsid w:val="002073C1"/>
    <w:rsid w:val="00207759"/>
    <w:rsid w:val="00207C18"/>
    <w:rsid w:val="00210B69"/>
    <w:rsid w:val="00211081"/>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2B5"/>
    <w:rsid w:val="00223447"/>
    <w:rsid w:val="00223FB6"/>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5F4D"/>
    <w:rsid w:val="002462A5"/>
    <w:rsid w:val="00246FB2"/>
    <w:rsid w:val="0024709A"/>
    <w:rsid w:val="002508D4"/>
    <w:rsid w:val="002508F1"/>
    <w:rsid w:val="00252218"/>
    <w:rsid w:val="002525D0"/>
    <w:rsid w:val="00252AFD"/>
    <w:rsid w:val="0025363F"/>
    <w:rsid w:val="00253D48"/>
    <w:rsid w:val="0025464A"/>
    <w:rsid w:val="00254E36"/>
    <w:rsid w:val="00255E38"/>
    <w:rsid w:val="002609A6"/>
    <w:rsid w:val="002609D4"/>
    <w:rsid w:val="00263E95"/>
    <w:rsid w:val="00263F48"/>
    <w:rsid w:val="002658B8"/>
    <w:rsid w:val="00265D30"/>
    <w:rsid w:val="00266C98"/>
    <w:rsid w:val="00267C3C"/>
    <w:rsid w:val="00271D9E"/>
    <w:rsid w:val="002751FF"/>
    <w:rsid w:val="0027793D"/>
    <w:rsid w:val="00282603"/>
    <w:rsid w:val="00282C2A"/>
    <w:rsid w:val="00282D0C"/>
    <w:rsid w:val="0028444B"/>
    <w:rsid w:val="002854E1"/>
    <w:rsid w:val="00287644"/>
    <w:rsid w:val="00287B4C"/>
    <w:rsid w:val="00290285"/>
    <w:rsid w:val="002909ED"/>
    <w:rsid w:val="00290AD0"/>
    <w:rsid w:val="0029175A"/>
    <w:rsid w:val="00292914"/>
    <w:rsid w:val="0029303E"/>
    <w:rsid w:val="00293892"/>
    <w:rsid w:val="00295B8A"/>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2AB"/>
    <w:rsid w:val="002C534A"/>
    <w:rsid w:val="002C59CA"/>
    <w:rsid w:val="002C5D06"/>
    <w:rsid w:val="002C62AB"/>
    <w:rsid w:val="002D0FA4"/>
    <w:rsid w:val="002D1C40"/>
    <w:rsid w:val="002D1F24"/>
    <w:rsid w:val="002D2246"/>
    <w:rsid w:val="002D2C58"/>
    <w:rsid w:val="002D32BE"/>
    <w:rsid w:val="002D3A62"/>
    <w:rsid w:val="002D40B7"/>
    <w:rsid w:val="002D40BC"/>
    <w:rsid w:val="002D49E1"/>
    <w:rsid w:val="002D5422"/>
    <w:rsid w:val="002D6A02"/>
    <w:rsid w:val="002D7A7B"/>
    <w:rsid w:val="002E0922"/>
    <w:rsid w:val="002E159C"/>
    <w:rsid w:val="002E166E"/>
    <w:rsid w:val="002E1AEC"/>
    <w:rsid w:val="002E224B"/>
    <w:rsid w:val="002E22DD"/>
    <w:rsid w:val="002E538E"/>
    <w:rsid w:val="002E6506"/>
    <w:rsid w:val="002E7F9C"/>
    <w:rsid w:val="002F0597"/>
    <w:rsid w:val="002F0CBF"/>
    <w:rsid w:val="002F0E12"/>
    <w:rsid w:val="002F1A47"/>
    <w:rsid w:val="002F2971"/>
    <w:rsid w:val="002F30E9"/>
    <w:rsid w:val="002F4A9B"/>
    <w:rsid w:val="002F5622"/>
    <w:rsid w:val="002F6C35"/>
    <w:rsid w:val="002F6C65"/>
    <w:rsid w:val="002F71FE"/>
    <w:rsid w:val="00300759"/>
    <w:rsid w:val="00300E4B"/>
    <w:rsid w:val="003028D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7CC"/>
    <w:rsid w:val="0034495B"/>
    <w:rsid w:val="003452BE"/>
    <w:rsid w:val="00345C43"/>
    <w:rsid w:val="0034698C"/>
    <w:rsid w:val="00347F93"/>
    <w:rsid w:val="00350B4E"/>
    <w:rsid w:val="00352982"/>
    <w:rsid w:val="003539A6"/>
    <w:rsid w:val="00353C2B"/>
    <w:rsid w:val="003542ED"/>
    <w:rsid w:val="00355BAA"/>
    <w:rsid w:val="0035643E"/>
    <w:rsid w:val="003567E2"/>
    <w:rsid w:val="003602F1"/>
    <w:rsid w:val="003604AA"/>
    <w:rsid w:val="00360769"/>
    <w:rsid w:val="00362324"/>
    <w:rsid w:val="00362DB1"/>
    <w:rsid w:val="0036490E"/>
    <w:rsid w:val="00364E43"/>
    <w:rsid w:val="00365288"/>
    <w:rsid w:val="0036593F"/>
    <w:rsid w:val="00365A3F"/>
    <w:rsid w:val="0036657A"/>
    <w:rsid w:val="00366F3D"/>
    <w:rsid w:val="003673C1"/>
    <w:rsid w:val="003675C4"/>
    <w:rsid w:val="00367631"/>
    <w:rsid w:val="00370F25"/>
    <w:rsid w:val="00371DDE"/>
    <w:rsid w:val="003722E4"/>
    <w:rsid w:val="00372E07"/>
    <w:rsid w:val="00373031"/>
    <w:rsid w:val="0037327C"/>
    <w:rsid w:val="0037356B"/>
    <w:rsid w:val="003741FD"/>
    <w:rsid w:val="003744CA"/>
    <w:rsid w:val="0037504A"/>
    <w:rsid w:val="00375387"/>
    <w:rsid w:val="00376092"/>
    <w:rsid w:val="00376391"/>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45F3"/>
    <w:rsid w:val="003B4B9A"/>
    <w:rsid w:val="003B58AC"/>
    <w:rsid w:val="003B7FEE"/>
    <w:rsid w:val="003C00D0"/>
    <w:rsid w:val="003C04ED"/>
    <w:rsid w:val="003C08F3"/>
    <w:rsid w:val="003C1332"/>
    <w:rsid w:val="003C2E9F"/>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5FF8"/>
    <w:rsid w:val="003D62D4"/>
    <w:rsid w:val="003D6F37"/>
    <w:rsid w:val="003D77C4"/>
    <w:rsid w:val="003E179C"/>
    <w:rsid w:val="003E1C7C"/>
    <w:rsid w:val="003E1E9B"/>
    <w:rsid w:val="003E202B"/>
    <w:rsid w:val="003E2843"/>
    <w:rsid w:val="003E2908"/>
    <w:rsid w:val="003E2ECE"/>
    <w:rsid w:val="003E30D3"/>
    <w:rsid w:val="003E3C09"/>
    <w:rsid w:val="003E3DA1"/>
    <w:rsid w:val="003E4F17"/>
    <w:rsid w:val="003E54D6"/>
    <w:rsid w:val="003E6639"/>
    <w:rsid w:val="003F128E"/>
    <w:rsid w:val="003F24AF"/>
    <w:rsid w:val="003F2578"/>
    <w:rsid w:val="003F482D"/>
    <w:rsid w:val="003F4847"/>
    <w:rsid w:val="003F4EE2"/>
    <w:rsid w:val="003F53FC"/>
    <w:rsid w:val="003F7E31"/>
    <w:rsid w:val="003F7FB6"/>
    <w:rsid w:val="0040047B"/>
    <w:rsid w:val="00400D86"/>
    <w:rsid w:val="00401AD7"/>
    <w:rsid w:val="004039A0"/>
    <w:rsid w:val="00403ABA"/>
    <w:rsid w:val="004042B9"/>
    <w:rsid w:val="0040480E"/>
    <w:rsid w:val="004050C6"/>
    <w:rsid w:val="00406117"/>
    <w:rsid w:val="00406C1F"/>
    <w:rsid w:val="00407A02"/>
    <w:rsid w:val="00407A8D"/>
    <w:rsid w:val="00410F6A"/>
    <w:rsid w:val="0041160F"/>
    <w:rsid w:val="00411664"/>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76F"/>
    <w:rsid w:val="00432A62"/>
    <w:rsid w:val="00433889"/>
    <w:rsid w:val="00434876"/>
    <w:rsid w:val="00435296"/>
    <w:rsid w:val="004355B5"/>
    <w:rsid w:val="00435874"/>
    <w:rsid w:val="0043616E"/>
    <w:rsid w:val="00437B4F"/>
    <w:rsid w:val="004409D8"/>
    <w:rsid w:val="004417C6"/>
    <w:rsid w:val="00443953"/>
    <w:rsid w:val="004446C7"/>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A51"/>
    <w:rsid w:val="00463E45"/>
    <w:rsid w:val="00464181"/>
    <w:rsid w:val="00464453"/>
    <w:rsid w:val="00464625"/>
    <w:rsid w:val="00464ED5"/>
    <w:rsid w:val="00465197"/>
    <w:rsid w:val="00465C5B"/>
    <w:rsid w:val="00466DEE"/>
    <w:rsid w:val="00467491"/>
    <w:rsid w:val="0047077B"/>
    <w:rsid w:val="00470A82"/>
    <w:rsid w:val="00471324"/>
    <w:rsid w:val="004717EA"/>
    <w:rsid w:val="00472066"/>
    <w:rsid w:val="00472114"/>
    <w:rsid w:val="0047360C"/>
    <w:rsid w:val="00473BFD"/>
    <w:rsid w:val="00474D20"/>
    <w:rsid w:val="004753D4"/>
    <w:rsid w:val="0047658A"/>
    <w:rsid w:val="00476CAD"/>
    <w:rsid w:val="004778AF"/>
    <w:rsid w:val="00480134"/>
    <w:rsid w:val="00481910"/>
    <w:rsid w:val="00483033"/>
    <w:rsid w:val="00483A74"/>
    <w:rsid w:val="00483C91"/>
    <w:rsid w:val="00483E94"/>
    <w:rsid w:val="00484D84"/>
    <w:rsid w:val="00484E4D"/>
    <w:rsid w:val="00485C27"/>
    <w:rsid w:val="00487D4D"/>
    <w:rsid w:val="004904DB"/>
    <w:rsid w:val="004907C9"/>
    <w:rsid w:val="00490C89"/>
    <w:rsid w:val="00490F40"/>
    <w:rsid w:val="00491E32"/>
    <w:rsid w:val="004927DB"/>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73A"/>
    <w:rsid w:val="004B5C52"/>
    <w:rsid w:val="004C01CC"/>
    <w:rsid w:val="004C0FE3"/>
    <w:rsid w:val="004C2487"/>
    <w:rsid w:val="004C27A4"/>
    <w:rsid w:val="004C2D3E"/>
    <w:rsid w:val="004C2EF2"/>
    <w:rsid w:val="004C301F"/>
    <w:rsid w:val="004C3143"/>
    <w:rsid w:val="004C357A"/>
    <w:rsid w:val="004C38CC"/>
    <w:rsid w:val="004C52B0"/>
    <w:rsid w:val="004C5D73"/>
    <w:rsid w:val="004C61EC"/>
    <w:rsid w:val="004C6554"/>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A56"/>
    <w:rsid w:val="004E2EEE"/>
    <w:rsid w:val="004E3319"/>
    <w:rsid w:val="004E437D"/>
    <w:rsid w:val="004E51E0"/>
    <w:rsid w:val="004E5D0A"/>
    <w:rsid w:val="004E622E"/>
    <w:rsid w:val="004F0320"/>
    <w:rsid w:val="004F0A3F"/>
    <w:rsid w:val="004F1E7D"/>
    <w:rsid w:val="004F2178"/>
    <w:rsid w:val="004F245C"/>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415F"/>
    <w:rsid w:val="0051600E"/>
    <w:rsid w:val="005172DB"/>
    <w:rsid w:val="00517C14"/>
    <w:rsid w:val="005213B5"/>
    <w:rsid w:val="00521D95"/>
    <w:rsid w:val="00522058"/>
    <w:rsid w:val="0052410C"/>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7A1"/>
    <w:rsid w:val="00557B02"/>
    <w:rsid w:val="005604C0"/>
    <w:rsid w:val="0056242D"/>
    <w:rsid w:val="0056274F"/>
    <w:rsid w:val="0056293B"/>
    <w:rsid w:val="00562AA7"/>
    <w:rsid w:val="00563A34"/>
    <w:rsid w:val="00564FED"/>
    <w:rsid w:val="005658B2"/>
    <w:rsid w:val="0056610C"/>
    <w:rsid w:val="00566B53"/>
    <w:rsid w:val="00566F0C"/>
    <w:rsid w:val="005720CB"/>
    <w:rsid w:val="005748DF"/>
    <w:rsid w:val="00574AA0"/>
    <w:rsid w:val="005751C2"/>
    <w:rsid w:val="00575CA3"/>
    <w:rsid w:val="00575F20"/>
    <w:rsid w:val="005817CB"/>
    <w:rsid w:val="00582BAC"/>
    <w:rsid w:val="005835ED"/>
    <w:rsid w:val="005838CA"/>
    <w:rsid w:val="005853F0"/>
    <w:rsid w:val="00585553"/>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EFA"/>
    <w:rsid w:val="006045F6"/>
    <w:rsid w:val="00607022"/>
    <w:rsid w:val="00607A65"/>
    <w:rsid w:val="00611298"/>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522B"/>
    <w:rsid w:val="00626063"/>
    <w:rsid w:val="00630F3A"/>
    <w:rsid w:val="00631159"/>
    <w:rsid w:val="00631498"/>
    <w:rsid w:val="00632533"/>
    <w:rsid w:val="00632AE7"/>
    <w:rsid w:val="00632B2E"/>
    <w:rsid w:val="00632C84"/>
    <w:rsid w:val="0063400B"/>
    <w:rsid w:val="00634154"/>
    <w:rsid w:val="00636040"/>
    <w:rsid w:val="00637A30"/>
    <w:rsid w:val="006409A7"/>
    <w:rsid w:val="00641689"/>
    <w:rsid w:val="00641A9E"/>
    <w:rsid w:val="00642135"/>
    <w:rsid w:val="00642AE4"/>
    <w:rsid w:val="0064312F"/>
    <w:rsid w:val="0064318F"/>
    <w:rsid w:val="006443B8"/>
    <w:rsid w:val="00644645"/>
    <w:rsid w:val="00645760"/>
    <w:rsid w:val="00645A3D"/>
    <w:rsid w:val="0064615E"/>
    <w:rsid w:val="0064726F"/>
    <w:rsid w:val="00650127"/>
    <w:rsid w:val="006502D5"/>
    <w:rsid w:val="00652082"/>
    <w:rsid w:val="00652DF7"/>
    <w:rsid w:val="006535EC"/>
    <w:rsid w:val="00653728"/>
    <w:rsid w:val="00654A39"/>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31BD"/>
    <w:rsid w:val="006733DB"/>
    <w:rsid w:val="00673860"/>
    <w:rsid w:val="00673874"/>
    <w:rsid w:val="0067438E"/>
    <w:rsid w:val="00675062"/>
    <w:rsid w:val="006758DE"/>
    <w:rsid w:val="00675DE2"/>
    <w:rsid w:val="00677A39"/>
    <w:rsid w:val="00677CE4"/>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4365"/>
    <w:rsid w:val="00695505"/>
    <w:rsid w:val="006960DD"/>
    <w:rsid w:val="006966E3"/>
    <w:rsid w:val="00696DD3"/>
    <w:rsid w:val="00696E0E"/>
    <w:rsid w:val="006970CE"/>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5F86"/>
    <w:rsid w:val="006D6A7B"/>
    <w:rsid w:val="006D6CAD"/>
    <w:rsid w:val="006D7746"/>
    <w:rsid w:val="006D7F8A"/>
    <w:rsid w:val="006E01B4"/>
    <w:rsid w:val="006E088F"/>
    <w:rsid w:val="006E112C"/>
    <w:rsid w:val="006E180B"/>
    <w:rsid w:val="006E1F1F"/>
    <w:rsid w:val="006E26DF"/>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ACF"/>
    <w:rsid w:val="006F4EEB"/>
    <w:rsid w:val="006F55A6"/>
    <w:rsid w:val="006F5C8A"/>
    <w:rsid w:val="006F6936"/>
    <w:rsid w:val="006F73F9"/>
    <w:rsid w:val="00700369"/>
    <w:rsid w:val="00700FCA"/>
    <w:rsid w:val="00701BD7"/>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E31"/>
    <w:rsid w:val="007142B5"/>
    <w:rsid w:val="00714AF3"/>
    <w:rsid w:val="00714FFA"/>
    <w:rsid w:val="007150A9"/>
    <w:rsid w:val="00715BAA"/>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BD8"/>
    <w:rsid w:val="007324F6"/>
    <w:rsid w:val="0073268E"/>
    <w:rsid w:val="0073360D"/>
    <w:rsid w:val="007337E4"/>
    <w:rsid w:val="00733D0B"/>
    <w:rsid w:val="00734854"/>
    <w:rsid w:val="00736583"/>
    <w:rsid w:val="007371AC"/>
    <w:rsid w:val="007408F3"/>
    <w:rsid w:val="00743D03"/>
    <w:rsid w:val="00744896"/>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16A0"/>
    <w:rsid w:val="00781914"/>
    <w:rsid w:val="0078228A"/>
    <w:rsid w:val="007822D8"/>
    <w:rsid w:val="00782581"/>
    <w:rsid w:val="00782F4B"/>
    <w:rsid w:val="00784F8E"/>
    <w:rsid w:val="00785599"/>
    <w:rsid w:val="00785E20"/>
    <w:rsid w:val="007872DB"/>
    <w:rsid w:val="00790C82"/>
    <w:rsid w:val="00790FF4"/>
    <w:rsid w:val="0079200B"/>
    <w:rsid w:val="00793084"/>
    <w:rsid w:val="00793E15"/>
    <w:rsid w:val="00794234"/>
    <w:rsid w:val="007946DF"/>
    <w:rsid w:val="0079497C"/>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A33"/>
    <w:rsid w:val="00822CFA"/>
    <w:rsid w:val="0082301B"/>
    <w:rsid w:val="00823A1F"/>
    <w:rsid w:val="00824139"/>
    <w:rsid w:val="00824346"/>
    <w:rsid w:val="00824394"/>
    <w:rsid w:val="008243D3"/>
    <w:rsid w:val="008248C8"/>
    <w:rsid w:val="00824F63"/>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B97"/>
    <w:rsid w:val="00842CF6"/>
    <w:rsid w:val="00844138"/>
    <w:rsid w:val="008441C6"/>
    <w:rsid w:val="00844C43"/>
    <w:rsid w:val="0084524A"/>
    <w:rsid w:val="0084570F"/>
    <w:rsid w:val="00846502"/>
    <w:rsid w:val="00846EFC"/>
    <w:rsid w:val="00847425"/>
    <w:rsid w:val="00847E1F"/>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225"/>
    <w:rsid w:val="00877320"/>
    <w:rsid w:val="00880D5E"/>
    <w:rsid w:val="008818BC"/>
    <w:rsid w:val="00882704"/>
    <w:rsid w:val="00884C45"/>
    <w:rsid w:val="00884DE8"/>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257"/>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1AD2"/>
    <w:rsid w:val="008E2EC7"/>
    <w:rsid w:val="008E4BDE"/>
    <w:rsid w:val="008E5000"/>
    <w:rsid w:val="008E780F"/>
    <w:rsid w:val="008F0914"/>
    <w:rsid w:val="008F2885"/>
    <w:rsid w:val="008F3A78"/>
    <w:rsid w:val="008F3D09"/>
    <w:rsid w:val="008F479D"/>
    <w:rsid w:val="008F5155"/>
    <w:rsid w:val="008F726F"/>
    <w:rsid w:val="00901559"/>
    <w:rsid w:val="00902273"/>
    <w:rsid w:val="00902C40"/>
    <w:rsid w:val="00903F25"/>
    <w:rsid w:val="009044C2"/>
    <w:rsid w:val="00904CBF"/>
    <w:rsid w:val="009051FF"/>
    <w:rsid w:val="0090534B"/>
    <w:rsid w:val="00906382"/>
    <w:rsid w:val="0090678E"/>
    <w:rsid w:val="009072FB"/>
    <w:rsid w:val="00907E74"/>
    <w:rsid w:val="00907F22"/>
    <w:rsid w:val="00910C93"/>
    <w:rsid w:val="0091257B"/>
    <w:rsid w:val="0091303F"/>
    <w:rsid w:val="00913A06"/>
    <w:rsid w:val="00913B5E"/>
    <w:rsid w:val="00914FD3"/>
    <w:rsid w:val="0091515D"/>
    <w:rsid w:val="00916F2F"/>
    <w:rsid w:val="009173A1"/>
    <w:rsid w:val="00921E27"/>
    <w:rsid w:val="009239B7"/>
    <w:rsid w:val="00923BF1"/>
    <w:rsid w:val="0092438A"/>
    <w:rsid w:val="0092464E"/>
    <w:rsid w:val="009263DD"/>
    <w:rsid w:val="009269E6"/>
    <w:rsid w:val="0092797B"/>
    <w:rsid w:val="00927EE8"/>
    <w:rsid w:val="00932371"/>
    <w:rsid w:val="00933174"/>
    <w:rsid w:val="00933CF0"/>
    <w:rsid w:val="00934799"/>
    <w:rsid w:val="009404A5"/>
    <w:rsid w:val="00940ED3"/>
    <w:rsid w:val="00941A99"/>
    <w:rsid w:val="00943039"/>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523"/>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E58"/>
    <w:rsid w:val="00983260"/>
    <w:rsid w:val="0098375F"/>
    <w:rsid w:val="009837CA"/>
    <w:rsid w:val="00983D81"/>
    <w:rsid w:val="00983F31"/>
    <w:rsid w:val="00984E9D"/>
    <w:rsid w:val="0098566A"/>
    <w:rsid w:val="00985E91"/>
    <w:rsid w:val="0098675C"/>
    <w:rsid w:val="009867B5"/>
    <w:rsid w:val="009867EF"/>
    <w:rsid w:val="00990F6C"/>
    <w:rsid w:val="0099147E"/>
    <w:rsid w:val="00991831"/>
    <w:rsid w:val="00992E0D"/>
    <w:rsid w:val="0099359E"/>
    <w:rsid w:val="00995AA0"/>
    <w:rsid w:val="009962C7"/>
    <w:rsid w:val="00997BB4"/>
    <w:rsid w:val="009A04D0"/>
    <w:rsid w:val="009A2629"/>
    <w:rsid w:val="009A3767"/>
    <w:rsid w:val="009A376A"/>
    <w:rsid w:val="009A3A8B"/>
    <w:rsid w:val="009A484E"/>
    <w:rsid w:val="009A4F65"/>
    <w:rsid w:val="009A7352"/>
    <w:rsid w:val="009A74F0"/>
    <w:rsid w:val="009B0766"/>
    <w:rsid w:val="009B20B2"/>
    <w:rsid w:val="009B2E97"/>
    <w:rsid w:val="009B5287"/>
    <w:rsid w:val="009B5E4B"/>
    <w:rsid w:val="009B6706"/>
    <w:rsid w:val="009B67D0"/>
    <w:rsid w:val="009B75D2"/>
    <w:rsid w:val="009B7CA0"/>
    <w:rsid w:val="009C06E9"/>
    <w:rsid w:val="009C0999"/>
    <w:rsid w:val="009C106D"/>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BB4"/>
    <w:rsid w:val="009D161F"/>
    <w:rsid w:val="009D1ACC"/>
    <w:rsid w:val="009D2888"/>
    <w:rsid w:val="009D3381"/>
    <w:rsid w:val="009D3675"/>
    <w:rsid w:val="009D3EDA"/>
    <w:rsid w:val="009D5313"/>
    <w:rsid w:val="009D5348"/>
    <w:rsid w:val="009D535C"/>
    <w:rsid w:val="009D5368"/>
    <w:rsid w:val="009D7B86"/>
    <w:rsid w:val="009E07E7"/>
    <w:rsid w:val="009E1249"/>
    <w:rsid w:val="009E3137"/>
    <w:rsid w:val="009E3EE0"/>
    <w:rsid w:val="009E4DA6"/>
    <w:rsid w:val="009E7DE2"/>
    <w:rsid w:val="009F0E95"/>
    <w:rsid w:val="009F122C"/>
    <w:rsid w:val="009F193B"/>
    <w:rsid w:val="009F2A36"/>
    <w:rsid w:val="009F6834"/>
    <w:rsid w:val="009F7814"/>
    <w:rsid w:val="00A002BB"/>
    <w:rsid w:val="00A00857"/>
    <w:rsid w:val="00A0087F"/>
    <w:rsid w:val="00A01A1D"/>
    <w:rsid w:val="00A01BD7"/>
    <w:rsid w:val="00A05985"/>
    <w:rsid w:val="00A07508"/>
    <w:rsid w:val="00A0760C"/>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52EB8"/>
    <w:rsid w:val="00A5344D"/>
    <w:rsid w:val="00A534E4"/>
    <w:rsid w:val="00A5553A"/>
    <w:rsid w:val="00A55592"/>
    <w:rsid w:val="00A574EC"/>
    <w:rsid w:val="00A57ACE"/>
    <w:rsid w:val="00A603A5"/>
    <w:rsid w:val="00A61012"/>
    <w:rsid w:val="00A62A4B"/>
    <w:rsid w:val="00A62BD3"/>
    <w:rsid w:val="00A650EE"/>
    <w:rsid w:val="00A6578E"/>
    <w:rsid w:val="00A67031"/>
    <w:rsid w:val="00A67A22"/>
    <w:rsid w:val="00A701AD"/>
    <w:rsid w:val="00A70498"/>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5C91"/>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0748"/>
    <w:rsid w:val="00AB342A"/>
    <w:rsid w:val="00AB36E6"/>
    <w:rsid w:val="00AB3716"/>
    <w:rsid w:val="00AB381E"/>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D0390"/>
    <w:rsid w:val="00AD2246"/>
    <w:rsid w:val="00AD4CEF"/>
    <w:rsid w:val="00AD7594"/>
    <w:rsid w:val="00AD7D90"/>
    <w:rsid w:val="00AD7E78"/>
    <w:rsid w:val="00AE0210"/>
    <w:rsid w:val="00AE0C3F"/>
    <w:rsid w:val="00AE1547"/>
    <w:rsid w:val="00AE4A3B"/>
    <w:rsid w:val="00AE4BB8"/>
    <w:rsid w:val="00AE4F40"/>
    <w:rsid w:val="00AE6877"/>
    <w:rsid w:val="00AE7854"/>
    <w:rsid w:val="00AE7922"/>
    <w:rsid w:val="00AE7E2F"/>
    <w:rsid w:val="00AF03AB"/>
    <w:rsid w:val="00AF042E"/>
    <w:rsid w:val="00AF08E7"/>
    <w:rsid w:val="00AF101D"/>
    <w:rsid w:val="00AF18A3"/>
    <w:rsid w:val="00AF2338"/>
    <w:rsid w:val="00AF355F"/>
    <w:rsid w:val="00AF57D4"/>
    <w:rsid w:val="00B02FC9"/>
    <w:rsid w:val="00B03D00"/>
    <w:rsid w:val="00B0429F"/>
    <w:rsid w:val="00B04D17"/>
    <w:rsid w:val="00B05456"/>
    <w:rsid w:val="00B05B02"/>
    <w:rsid w:val="00B05E0A"/>
    <w:rsid w:val="00B06381"/>
    <w:rsid w:val="00B06612"/>
    <w:rsid w:val="00B06C94"/>
    <w:rsid w:val="00B075B1"/>
    <w:rsid w:val="00B10966"/>
    <w:rsid w:val="00B11E2E"/>
    <w:rsid w:val="00B11ED8"/>
    <w:rsid w:val="00B12103"/>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400E"/>
    <w:rsid w:val="00B34988"/>
    <w:rsid w:val="00B34A2B"/>
    <w:rsid w:val="00B35366"/>
    <w:rsid w:val="00B408C0"/>
    <w:rsid w:val="00B40D72"/>
    <w:rsid w:val="00B41368"/>
    <w:rsid w:val="00B4328E"/>
    <w:rsid w:val="00B476AE"/>
    <w:rsid w:val="00B53816"/>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5D7A"/>
    <w:rsid w:val="00B65DAB"/>
    <w:rsid w:val="00B65E0E"/>
    <w:rsid w:val="00B66DDA"/>
    <w:rsid w:val="00B67BB0"/>
    <w:rsid w:val="00B704F3"/>
    <w:rsid w:val="00B70CF1"/>
    <w:rsid w:val="00B70E4D"/>
    <w:rsid w:val="00B71076"/>
    <w:rsid w:val="00B73A1F"/>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A59"/>
    <w:rsid w:val="00BB7DA0"/>
    <w:rsid w:val="00BC1306"/>
    <w:rsid w:val="00BC180D"/>
    <w:rsid w:val="00BC3261"/>
    <w:rsid w:val="00BC3640"/>
    <w:rsid w:val="00BC4177"/>
    <w:rsid w:val="00BC457E"/>
    <w:rsid w:val="00BC466C"/>
    <w:rsid w:val="00BC62A2"/>
    <w:rsid w:val="00BC7E15"/>
    <w:rsid w:val="00BC7F60"/>
    <w:rsid w:val="00BD0425"/>
    <w:rsid w:val="00BD095A"/>
    <w:rsid w:val="00BD1B82"/>
    <w:rsid w:val="00BD484E"/>
    <w:rsid w:val="00BD4B11"/>
    <w:rsid w:val="00BD4B6B"/>
    <w:rsid w:val="00BD5E42"/>
    <w:rsid w:val="00BD7766"/>
    <w:rsid w:val="00BE042F"/>
    <w:rsid w:val="00BE169E"/>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C00954"/>
    <w:rsid w:val="00C00997"/>
    <w:rsid w:val="00C00F6E"/>
    <w:rsid w:val="00C01BD3"/>
    <w:rsid w:val="00C0332E"/>
    <w:rsid w:val="00C0353B"/>
    <w:rsid w:val="00C03D0C"/>
    <w:rsid w:val="00C04065"/>
    <w:rsid w:val="00C04987"/>
    <w:rsid w:val="00C065C2"/>
    <w:rsid w:val="00C06848"/>
    <w:rsid w:val="00C0711F"/>
    <w:rsid w:val="00C07221"/>
    <w:rsid w:val="00C07CC6"/>
    <w:rsid w:val="00C10941"/>
    <w:rsid w:val="00C10E48"/>
    <w:rsid w:val="00C10E76"/>
    <w:rsid w:val="00C10F01"/>
    <w:rsid w:val="00C11C6A"/>
    <w:rsid w:val="00C1443B"/>
    <w:rsid w:val="00C1461F"/>
    <w:rsid w:val="00C16834"/>
    <w:rsid w:val="00C16939"/>
    <w:rsid w:val="00C16E9D"/>
    <w:rsid w:val="00C21227"/>
    <w:rsid w:val="00C2140B"/>
    <w:rsid w:val="00C224A2"/>
    <w:rsid w:val="00C22598"/>
    <w:rsid w:val="00C23138"/>
    <w:rsid w:val="00C24531"/>
    <w:rsid w:val="00C24915"/>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3214"/>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B53"/>
    <w:rsid w:val="00CA52D7"/>
    <w:rsid w:val="00CA6525"/>
    <w:rsid w:val="00CA7D84"/>
    <w:rsid w:val="00CB1B6A"/>
    <w:rsid w:val="00CB2537"/>
    <w:rsid w:val="00CB31C3"/>
    <w:rsid w:val="00CB32AF"/>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1247"/>
    <w:rsid w:val="00CE2F52"/>
    <w:rsid w:val="00CE4683"/>
    <w:rsid w:val="00CE54BF"/>
    <w:rsid w:val="00CE58D7"/>
    <w:rsid w:val="00CE5C01"/>
    <w:rsid w:val="00CE638A"/>
    <w:rsid w:val="00CE674B"/>
    <w:rsid w:val="00CF1A2E"/>
    <w:rsid w:val="00CF1A45"/>
    <w:rsid w:val="00CF2C9C"/>
    <w:rsid w:val="00CF3C35"/>
    <w:rsid w:val="00CF4BCD"/>
    <w:rsid w:val="00CF4F30"/>
    <w:rsid w:val="00D00C61"/>
    <w:rsid w:val="00D0127D"/>
    <w:rsid w:val="00D03252"/>
    <w:rsid w:val="00D043C8"/>
    <w:rsid w:val="00D04C7A"/>
    <w:rsid w:val="00D06481"/>
    <w:rsid w:val="00D0663A"/>
    <w:rsid w:val="00D067A6"/>
    <w:rsid w:val="00D075D6"/>
    <w:rsid w:val="00D07700"/>
    <w:rsid w:val="00D10EEE"/>
    <w:rsid w:val="00D111C4"/>
    <w:rsid w:val="00D1310F"/>
    <w:rsid w:val="00D14AEB"/>
    <w:rsid w:val="00D16161"/>
    <w:rsid w:val="00D16954"/>
    <w:rsid w:val="00D16F81"/>
    <w:rsid w:val="00D17983"/>
    <w:rsid w:val="00D17998"/>
    <w:rsid w:val="00D20405"/>
    <w:rsid w:val="00D224B7"/>
    <w:rsid w:val="00D23D86"/>
    <w:rsid w:val="00D23F89"/>
    <w:rsid w:val="00D24175"/>
    <w:rsid w:val="00D24531"/>
    <w:rsid w:val="00D24AA1"/>
    <w:rsid w:val="00D251CB"/>
    <w:rsid w:val="00D25C18"/>
    <w:rsid w:val="00D26F3E"/>
    <w:rsid w:val="00D3004C"/>
    <w:rsid w:val="00D303B9"/>
    <w:rsid w:val="00D303E5"/>
    <w:rsid w:val="00D316F8"/>
    <w:rsid w:val="00D326C2"/>
    <w:rsid w:val="00D329B6"/>
    <w:rsid w:val="00D33E5A"/>
    <w:rsid w:val="00D347C6"/>
    <w:rsid w:val="00D34A40"/>
    <w:rsid w:val="00D35BED"/>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8E6"/>
    <w:rsid w:val="00D52F12"/>
    <w:rsid w:val="00D5356F"/>
    <w:rsid w:val="00D538EC"/>
    <w:rsid w:val="00D53CA3"/>
    <w:rsid w:val="00D540D7"/>
    <w:rsid w:val="00D54E7D"/>
    <w:rsid w:val="00D56AFB"/>
    <w:rsid w:val="00D57B11"/>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D2"/>
    <w:rsid w:val="00D849E4"/>
    <w:rsid w:val="00D84FF1"/>
    <w:rsid w:val="00D850AE"/>
    <w:rsid w:val="00D861FD"/>
    <w:rsid w:val="00D867D1"/>
    <w:rsid w:val="00D86BCC"/>
    <w:rsid w:val="00D87EC1"/>
    <w:rsid w:val="00D90ABB"/>
    <w:rsid w:val="00D91BA1"/>
    <w:rsid w:val="00D91E14"/>
    <w:rsid w:val="00D92C9C"/>
    <w:rsid w:val="00D93587"/>
    <w:rsid w:val="00D93B8B"/>
    <w:rsid w:val="00D93BDE"/>
    <w:rsid w:val="00D94035"/>
    <w:rsid w:val="00D940BE"/>
    <w:rsid w:val="00D94330"/>
    <w:rsid w:val="00D944F4"/>
    <w:rsid w:val="00D945E5"/>
    <w:rsid w:val="00D966A8"/>
    <w:rsid w:val="00D975CC"/>
    <w:rsid w:val="00D975DA"/>
    <w:rsid w:val="00D97B52"/>
    <w:rsid w:val="00DA0058"/>
    <w:rsid w:val="00DA04FD"/>
    <w:rsid w:val="00DA0DD7"/>
    <w:rsid w:val="00DA1039"/>
    <w:rsid w:val="00DA19E6"/>
    <w:rsid w:val="00DA1A7E"/>
    <w:rsid w:val="00DA21AE"/>
    <w:rsid w:val="00DA2364"/>
    <w:rsid w:val="00DA3170"/>
    <w:rsid w:val="00DA5563"/>
    <w:rsid w:val="00DA75A3"/>
    <w:rsid w:val="00DA768F"/>
    <w:rsid w:val="00DA7BFB"/>
    <w:rsid w:val="00DB11A2"/>
    <w:rsid w:val="00DB15E0"/>
    <w:rsid w:val="00DB3188"/>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77CA"/>
    <w:rsid w:val="00DD0557"/>
    <w:rsid w:val="00DD0667"/>
    <w:rsid w:val="00DD066A"/>
    <w:rsid w:val="00DD13F2"/>
    <w:rsid w:val="00DD3943"/>
    <w:rsid w:val="00DD5802"/>
    <w:rsid w:val="00DD59AF"/>
    <w:rsid w:val="00DD63B9"/>
    <w:rsid w:val="00DD6477"/>
    <w:rsid w:val="00DE1688"/>
    <w:rsid w:val="00DE1E71"/>
    <w:rsid w:val="00DE31A2"/>
    <w:rsid w:val="00DE4067"/>
    <w:rsid w:val="00DF0255"/>
    <w:rsid w:val="00DF0795"/>
    <w:rsid w:val="00DF4B0D"/>
    <w:rsid w:val="00DF4CCD"/>
    <w:rsid w:val="00DF5729"/>
    <w:rsid w:val="00DF5DB9"/>
    <w:rsid w:val="00DF622C"/>
    <w:rsid w:val="00DF70C8"/>
    <w:rsid w:val="00DF74C1"/>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5DB4"/>
    <w:rsid w:val="00E1785C"/>
    <w:rsid w:val="00E200E0"/>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7AB4"/>
    <w:rsid w:val="00E37F0F"/>
    <w:rsid w:val="00E40934"/>
    <w:rsid w:val="00E41515"/>
    <w:rsid w:val="00E424DE"/>
    <w:rsid w:val="00E42B3A"/>
    <w:rsid w:val="00E42D5D"/>
    <w:rsid w:val="00E436A1"/>
    <w:rsid w:val="00E44652"/>
    <w:rsid w:val="00E44B3F"/>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1FE7"/>
    <w:rsid w:val="00E6379F"/>
    <w:rsid w:val="00E63B07"/>
    <w:rsid w:val="00E643F4"/>
    <w:rsid w:val="00E6471F"/>
    <w:rsid w:val="00E654BD"/>
    <w:rsid w:val="00E679D9"/>
    <w:rsid w:val="00E67C2B"/>
    <w:rsid w:val="00E70127"/>
    <w:rsid w:val="00E734E3"/>
    <w:rsid w:val="00E73593"/>
    <w:rsid w:val="00E74E37"/>
    <w:rsid w:val="00E76A2B"/>
    <w:rsid w:val="00E77F74"/>
    <w:rsid w:val="00E8017A"/>
    <w:rsid w:val="00E8030D"/>
    <w:rsid w:val="00E80512"/>
    <w:rsid w:val="00E80548"/>
    <w:rsid w:val="00E807B9"/>
    <w:rsid w:val="00E81CA1"/>
    <w:rsid w:val="00E8262A"/>
    <w:rsid w:val="00E8564B"/>
    <w:rsid w:val="00E85748"/>
    <w:rsid w:val="00E857A9"/>
    <w:rsid w:val="00E85B93"/>
    <w:rsid w:val="00E86203"/>
    <w:rsid w:val="00E862A9"/>
    <w:rsid w:val="00E87E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CA8"/>
    <w:rsid w:val="00EA50F2"/>
    <w:rsid w:val="00EA5108"/>
    <w:rsid w:val="00EA5CA4"/>
    <w:rsid w:val="00EA6B3F"/>
    <w:rsid w:val="00EB04AC"/>
    <w:rsid w:val="00EB16FB"/>
    <w:rsid w:val="00EB1829"/>
    <w:rsid w:val="00EB18E4"/>
    <w:rsid w:val="00EB1ACC"/>
    <w:rsid w:val="00EB236F"/>
    <w:rsid w:val="00EB3452"/>
    <w:rsid w:val="00EB411E"/>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E08FB"/>
    <w:rsid w:val="00EE2295"/>
    <w:rsid w:val="00EE2920"/>
    <w:rsid w:val="00EE2933"/>
    <w:rsid w:val="00EE3204"/>
    <w:rsid w:val="00EE348F"/>
    <w:rsid w:val="00EE3859"/>
    <w:rsid w:val="00EE3E0D"/>
    <w:rsid w:val="00EE4538"/>
    <w:rsid w:val="00EE4C1D"/>
    <w:rsid w:val="00EE5624"/>
    <w:rsid w:val="00EE5BAC"/>
    <w:rsid w:val="00EE667D"/>
    <w:rsid w:val="00EE66A7"/>
    <w:rsid w:val="00EE7426"/>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4065"/>
    <w:rsid w:val="00F04350"/>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6AD"/>
    <w:rsid w:val="00F25FE4"/>
    <w:rsid w:val="00F26C01"/>
    <w:rsid w:val="00F277D8"/>
    <w:rsid w:val="00F27F9A"/>
    <w:rsid w:val="00F3018D"/>
    <w:rsid w:val="00F315C6"/>
    <w:rsid w:val="00F316FB"/>
    <w:rsid w:val="00F31E3D"/>
    <w:rsid w:val="00F32F70"/>
    <w:rsid w:val="00F3379A"/>
    <w:rsid w:val="00F33AB2"/>
    <w:rsid w:val="00F343A6"/>
    <w:rsid w:val="00F34A34"/>
    <w:rsid w:val="00F35761"/>
    <w:rsid w:val="00F35A4E"/>
    <w:rsid w:val="00F35F53"/>
    <w:rsid w:val="00F35FDC"/>
    <w:rsid w:val="00F37834"/>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77986"/>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652A"/>
    <w:rsid w:val="00FB6D28"/>
    <w:rsid w:val="00FB6FAE"/>
    <w:rsid w:val="00FB71E8"/>
    <w:rsid w:val="00FB7B29"/>
    <w:rsid w:val="00FC0AF0"/>
    <w:rsid w:val="00FC0EEB"/>
    <w:rsid w:val="00FC1337"/>
    <w:rsid w:val="00FC1D72"/>
    <w:rsid w:val="00FC268E"/>
    <w:rsid w:val="00FC73F7"/>
    <w:rsid w:val="00FD08F4"/>
    <w:rsid w:val="00FD1BAE"/>
    <w:rsid w:val="00FD1CB0"/>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6622</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2021-05-12T00:52:00Z</dcterms:created>
  <dcterms:modified xsi:type="dcterms:W3CDTF">2021-05-12T00:52:00Z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