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1BEA6ADC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434CA3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CA38BC">
        <w:rPr>
          <w:rFonts w:ascii="Arial" w:hAnsi="Arial" w:cs="Arial"/>
          <w:bCs/>
          <w:sz w:val="28"/>
          <w:szCs w:val="28"/>
        </w:rPr>
        <w:t>0</w:t>
      </w:r>
      <w:r w:rsidR="00950A0E">
        <w:rPr>
          <w:rFonts w:ascii="Arial" w:hAnsi="Arial" w:cs="Arial"/>
          <w:bCs/>
          <w:sz w:val="28"/>
          <w:szCs w:val="28"/>
        </w:rPr>
        <w:t>5124</w:t>
      </w:r>
    </w:p>
    <w:p w14:paraId="3ED772E9" w14:textId="5C47485E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1FE5C708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5320E9">
        <w:rPr>
          <w:sz w:val="22"/>
          <w:szCs w:val="22"/>
        </w:rPr>
        <w:t>10</w:t>
      </w:r>
      <w:r w:rsidR="002E78A1">
        <w:rPr>
          <w:sz w:val="22"/>
          <w:szCs w:val="22"/>
        </w:rPr>
        <w:t>.</w:t>
      </w:r>
      <w:r w:rsidR="008E5FA7">
        <w:rPr>
          <w:sz w:val="22"/>
          <w:szCs w:val="22"/>
        </w:rPr>
        <w:t>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0D10EF91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032DA" w:rsidRPr="002032DA">
        <w:rPr>
          <w:sz w:val="22"/>
          <w:szCs w:val="22"/>
        </w:rPr>
        <w:t xml:space="preserve">Enhanced resource multiplexing within </w:t>
      </w:r>
      <w:r w:rsidR="000709CA">
        <w:rPr>
          <w:sz w:val="22"/>
          <w:szCs w:val="22"/>
        </w:rPr>
        <w:t>an</w:t>
      </w:r>
      <w:r w:rsidR="002032DA" w:rsidRPr="002032DA">
        <w:rPr>
          <w:sz w:val="22"/>
          <w:szCs w:val="22"/>
        </w:rPr>
        <w:t xml:space="preserve"> IAB node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2D4E62AF" w:rsidR="005B1FBD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</w:p>
    <w:p w14:paraId="1644A205" w14:textId="73EB46A9" w:rsidR="00D12C2E" w:rsidRPr="00D12C2E" w:rsidRDefault="00CA2885" w:rsidP="00D12C2E">
      <w:pPr>
        <w:pStyle w:val="Heading1"/>
      </w:pPr>
      <w:r>
        <w:t xml:space="preserve">SDM Resource </w:t>
      </w:r>
      <w:r w:rsidR="00F001D5">
        <w:t>Multiplexing</w:t>
      </w:r>
      <w:r>
        <w:t xml:space="preserve"> within an IAB-node</w:t>
      </w:r>
    </w:p>
    <w:p w14:paraId="6208681D" w14:textId="3B66826B" w:rsidR="00D12C2E" w:rsidRDefault="0091063F" w:rsidP="00D12C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within an IAB node</w:t>
      </w:r>
      <w:r>
        <w:rPr>
          <w:sz w:val="20"/>
          <w:szCs w:val="20"/>
        </w:rPr>
        <w:t xml:space="preserve"> is being discussed. In that regard, it was agreed i</w:t>
      </w:r>
      <w:r w:rsidR="00D12C2E" w:rsidRPr="00F838FC">
        <w:rPr>
          <w:sz w:val="20"/>
          <w:szCs w:val="20"/>
        </w:rPr>
        <w:t>n RAN</w:t>
      </w:r>
      <w:r w:rsidR="00D12C2E">
        <w:rPr>
          <w:sz w:val="20"/>
          <w:szCs w:val="20"/>
        </w:rPr>
        <w:t>1</w:t>
      </w:r>
      <w:r w:rsidR="00D12C2E" w:rsidRPr="00F838FC">
        <w:rPr>
          <w:sz w:val="20"/>
          <w:szCs w:val="20"/>
        </w:rPr>
        <w:t>#</w:t>
      </w:r>
      <w:r w:rsidR="00D12C2E">
        <w:rPr>
          <w:sz w:val="20"/>
          <w:szCs w:val="20"/>
        </w:rPr>
        <w:t>104-e</w:t>
      </w:r>
      <w:r>
        <w:rPr>
          <w:sz w:val="20"/>
          <w:szCs w:val="20"/>
        </w:rPr>
        <w:t xml:space="preserve"> that </w:t>
      </w:r>
      <w:r w:rsidR="00D12C2E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="00D12C2E">
        <w:rPr>
          <w:sz w:val="20"/>
          <w:szCs w:val="20"/>
        </w:rPr>
        <w:t>]:</w:t>
      </w:r>
    </w:p>
    <w:p w14:paraId="1B855367" w14:textId="77777777" w:rsidR="00D12C2E" w:rsidRPr="009D5CD1" w:rsidRDefault="00D12C2E" w:rsidP="00D12C2E">
      <w:pPr>
        <w:jc w:val="both"/>
        <w:rPr>
          <w:b/>
          <w:bCs/>
          <w:sz w:val="20"/>
          <w:szCs w:val="20"/>
        </w:rPr>
      </w:pPr>
    </w:p>
    <w:p w14:paraId="64DD471F" w14:textId="77777777" w:rsidR="00D12C2E" w:rsidRPr="009D5CD1" w:rsidRDefault="00D12C2E" w:rsidP="00D12C2E">
      <w:pPr>
        <w:jc w:val="both"/>
        <w:rPr>
          <w:b/>
          <w:bCs/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9D5CD1">
        <w:rPr>
          <w:sz w:val="20"/>
          <w:szCs w:val="20"/>
        </w:rPr>
        <w:t>Further study whether/how to manage resources in the spatial domain. Candidate solutions are:</w:t>
      </w:r>
    </w:p>
    <w:p w14:paraId="17FE4CA7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Dynamic signaling between parent and child nodes for using/restricting/sharing antenna panels/beams</w:t>
      </w:r>
    </w:p>
    <w:p w14:paraId="11CF54B9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Beam management / multi-panel enhancements for simultaneous operations</w:t>
      </w:r>
    </w:p>
    <w:p w14:paraId="59F1FD92" w14:textId="77777777" w:rsidR="00D12C2E" w:rsidRPr="009D5CD1" w:rsidRDefault="00D12C2E" w:rsidP="00D12C2E">
      <w:pPr>
        <w:numPr>
          <w:ilvl w:val="0"/>
          <w:numId w:val="21"/>
        </w:numPr>
        <w:jc w:val="both"/>
        <w:rPr>
          <w:sz w:val="20"/>
          <w:szCs w:val="20"/>
        </w:rPr>
      </w:pPr>
      <w:r w:rsidRPr="009D5CD1">
        <w:rPr>
          <w:sz w:val="20"/>
          <w:szCs w:val="20"/>
        </w:rPr>
        <w:t>Extension of H/S/NA resource indication to the spatial domain</w:t>
      </w:r>
    </w:p>
    <w:p w14:paraId="6D3656F8" w14:textId="143E8EF7" w:rsidR="00D015E7" w:rsidRDefault="00D015E7" w:rsidP="004658F3">
      <w:pPr>
        <w:jc w:val="both"/>
        <w:rPr>
          <w:sz w:val="20"/>
          <w:szCs w:val="20"/>
        </w:rPr>
      </w:pPr>
    </w:p>
    <w:p w14:paraId="3EFF4FFB" w14:textId="26655681" w:rsidR="00D67025" w:rsidRDefault="00D67025" w:rsidP="004658F3">
      <w:pPr>
        <w:jc w:val="both"/>
        <w:rPr>
          <w:sz w:val="20"/>
          <w:szCs w:val="20"/>
        </w:rPr>
      </w:pPr>
      <w:r>
        <w:rPr>
          <w:sz w:val="20"/>
          <w:szCs w:val="20"/>
        </w:rPr>
        <w:t>And then in RAN1#104b-e, it was agreed that [3]:</w:t>
      </w:r>
    </w:p>
    <w:p w14:paraId="5C566B96" w14:textId="34200029" w:rsidR="00D67025" w:rsidRPr="00D67025" w:rsidRDefault="00D67025" w:rsidP="00D67025">
      <w:pPr>
        <w:jc w:val="both"/>
        <w:rPr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D67025">
        <w:rPr>
          <w:sz w:val="20"/>
          <w:szCs w:val="20"/>
        </w:rPr>
        <w:t>Adaptation of an IAB-node’s multiplexing operation is supported. The adaptation may be based on multiple factors, for example (not necessary to support all of the following):</w:t>
      </w:r>
    </w:p>
    <w:p w14:paraId="7A6A5007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 xml:space="preserve">Resource type (D/U/F) at the IAB-DU and IAB-MT </w:t>
      </w:r>
    </w:p>
    <w:p w14:paraId="5B8D0405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Specific sets of time/frequency resources</w:t>
      </w:r>
    </w:p>
    <w:p w14:paraId="4BE007D0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Certain conditions being met (e.g. supported timing modes, power control enhancements (if supported), etc.)</w:t>
      </w:r>
    </w:p>
    <w:p w14:paraId="6C9881CA" w14:textId="77777777" w:rsidR="00D67025" w:rsidRPr="00D67025" w:rsidRDefault="00D67025" w:rsidP="00D67025">
      <w:p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FFS:  Mechanisms for informing/coordination the change in multiplexing operation(s) between child and parent nodes (including whether the adaptation is dynamic or semi-static)</w:t>
      </w:r>
    </w:p>
    <w:p w14:paraId="31B80A4F" w14:textId="77777777" w:rsidR="00D67025" w:rsidRPr="00D67025" w:rsidRDefault="00D67025" w:rsidP="00D67025">
      <w:p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FFS: Need for explicit linkage between indicated multiplexing operations and other features/enhancements – e.g. number of required guard symbols, supported timing modes, and power control enhancements (if supported)</w:t>
      </w:r>
    </w:p>
    <w:p w14:paraId="18B46A15" w14:textId="77777777" w:rsidR="00D67025" w:rsidRDefault="00D67025" w:rsidP="004658F3">
      <w:pPr>
        <w:jc w:val="both"/>
        <w:rPr>
          <w:sz w:val="20"/>
          <w:szCs w:val="20"/>
        </w:rPr>
      </w:pPr>
    </w:p>
    <w:p w14:paraId="6658B00C" w14:textId="1FF9ABB7" w:rsidR="00D015E7" w:rsidRDefault="004D377B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4658F3" w:rsidRPr="004658F3">
        <w:rPr>
          <w:sz w:val="20"/>
          <w:szCs w:val="20"/>
        </w:rPr>
        <w:t xml:space="preserve">a successful </w:t>
      </w:r>
      <w:r w:rsidR="00526915">
        <w:rPr>
          <w:sz w:val="20"/>
          <w:szCs w:val="20"/>
        </w:rPr>
        <w:t>simultaneous operation in SDM</w:t>
      </w:r>
      <w:r w:rsidR="00D67025">
        <w:rPr>
          <w:sz w:val="20"/>
          <w:szCs w:val="20"/>
        </w:rPr>
        <w:t xml:space="preserve"> or FDM</w:t>
      </w:r>
      <w:r w:rsidR="00526915">
        <w:rPr>
          <w:sz w:val="20"/>
          <w:szCs w:val="20"/>
        </w:rPr>
        <w:t xml:space="preserve"> multiplexing mode within</w:t>
      </w:r>
      <w:r w:rsidR="004658F3">
        <w:rPr>
          <w:sz w:val="20"/>
          <w:szCs w:val="20"/>
        </w:rPr>
        <w:t xml:space="preserve"> IAB-DU and IAB-MT</w:t>
      </w:r>
      <w:r w:rsidR="004658F3" w:rsidRPr="004658F3">
        <w:rPr>
          <w:sz w:val="20"/>
          <w:szCs w:val="20"/>
        </w:rPr>
        <w:t xml:space="preserve">, parent </w:t>
      </w:r>
      <w:r w:rsidR="004658F3">
        <w:rPr>
          <w:sz w:val="20"/>
          <w:szCs w:val="20"/>
        </w:rPr>
        <w:t xml:space="preserve">node </w:t>
      </w:r>
      <w:r w:rsidR="004658F3" w:rsidRPr="004658F3">
        <w:rPr>
          <w:sz w:val="20"/>
          <w:szCs w:val="20"/>
        </w:rPr>
        <w:t xml:space="preserve">IAB-DU and IAB-DU should be aware of the desired </w:t>
      </w:r>
      <w:r w:rsidR="004658F3">
        <w:rPr>
          <w:sz w:val="20"/>
          <w:szCs w:val="20"/>
        </w:rPr>
        <w:t xml:space="preserve">(or used) parameters in the other side like </w:t>
      </w:r>
      <w:r w:rsidR="004658F3" w:rsidRPr="004658F3">
        <w:rPr>
          <w:sz w:val="20"/>
          <w:szCs w:val="20"/>
        </w:rPr>
        <w:t>beam/panel</w:t>
      </w:r>
      <w:r w:rsidR="004658F3">
        <w:rPr>
          <w:sz w:val="20"/>
          <w:szCs w:val="20"/>
        </w:rPr>
        <w:t>, SLIV, transmit power, DMRS ports</w:t>
      </w:r>
      <w:r w:rsidR="00D67025">
        <w:rPr>
          <w:sz w:val="20"/>
          <w:szCs w:val="20"/>
        </w:rPr>
        <w:t>, FDRAs, etc</w:t>
      </w:r>
      <w:r w:rsidR="004658F3" w:rsidRPr="004658F3">
        <w:rPr>
          <w:sz w:val="20"/>
          <w:szCs w:val="20"/>
        </w:rPr>
        <w:t xml:space="preserve">. </w:t>
      </w:r>
      <w:r w:rsidR="00526915">
        <w:rPr>
          <w:sz w:val="20"/>
          <w:szCs w:val="20"/>
        </w:rPr>
        <w:t>For example,</w:t>
      </w:r>
      <w:r w:rsidR="004658F3" w:rsidRPr="004658F3">
        <w:rPr>
          <w:sz w:val="20"/>
          <w:szCs w:val="20"/>
        </w:rPr>
        <w:t xml:space="preserve"> </w:t>
      </w:r>
      <w:r w:rsidR="00526915">
        <w:rPr>
          <w:sz w:val="20"/>
          <w:szCs w:val="20"/>
        </w:rPr>
        <w:t>i</w:t>
      </w:r>
      <w:r w:rsidR="004658F3" w:rsidRPr="004658F3">
        <w:rPr>
          <w:sz w:val="20"/>
          <w:szCs w:val="20"/>
        </w:rPr>
        <w:t xml:space="preserve">f parent IAB-DU wishes to schedule a PDSCH to IAB-MT, ideally it should have some indication from IAB node about which panel/beam for PDSCH transmission is desired </w:t>
      </w:r>
      <w:r w:rsidR="00773D6E">
        <w:rPr>
          <w:sz w:val="20"/>
          <w:szCs w:val="20"/>
        </w:rPr>
        <w:t xml:space="preserve">once </w:t>
      </w:r>
      <w:r w:rsidR="00773D6E">
        <w:rPr>
          <w:sz w:val="20"/>
          <w:szCs w:val="20"/>
        </w:rPr>
        <w:lastRenderedPageBreak/>
        <w:t>the</w:t>
      </w:r>
      <w:r w:rsidR="004658F3" w:rsidRPr="004658F3">
        <w:rPr>
          <w:sz w:val="20"/>
          <w:szCs w:val="20"/>
        </w:rPr>
        <w:t xml:space="preserve"> IAB-DU </w:t>
      </w:r>
      <w:r w:rsidR="00773D6E">
        <w:rPr>
          <w:sz w:val="20"/>
          <w:szCs w:val="20"/>
        </w:rPr>
        <w:t xml:space="preserve">is </w:t>
      </w:r>
      <w:r w:rsidR="004658F3" w:rsidRPr="004658F3">
        <w:rPr>
          <w:sz w:val="20"/>
          <w:szCs w:val="20"/>
        </w:rPr>
        <w:t xml:space="preserve">simultaneously receiving from </w:t>
      </w:r>
      <w:r w:rsidR="00773D6E">
        <w:rPr>
          <w:sz w:val="20"/>
          <w:szCs w:val="20"/>
        </w:rPr>
        <w:t>child IAB-MT (or UE), as shown in Fig. 1</w:t>
      </w:r>
      <w:r w:rsidR="00526915">
        <w:rPr>
          <w:sz w:val="20"/>
          <w:szCs w:val="20"/>
        </w:rPr>
        <w:t xml:space="preserve">. </w:t>
      </w:r>
      <w:r w:rsidR="00D015E7" w:rsidRPr="00F001D5">
        <w:rPr>
          <w:sz w:val="20"/>
          <w:szCs w:val="20"/>
        </w:rPr>
        <w:t>Alternatively, parent IAB-DU will indicate to the IAB node about the panel/beam to receive L</w:t>
      </w:r>
      <w:r w:rsidR="00D015E7" w:rsidRPr="00F001D5">
        <w:rPr>
          <w:sz w:val="20"/>
          <w:szCs w:val="20"/>
          <w:vertAlign w:val="subscript"/>
        </w:rPr>
        <w:t>p,DL</w:t>
      </w:r>
      <w:r w:rsidR="00D015E7">
        <w:rPr>
          <w:sz w:val="20"/>
          <w:szCs w:val="20"/>
        </w:rPr>
        <w:t>. Next</w:t>
      </w:r>
      <w:r w:rsidR="00D015E7" w:rsidRPr="00F001D5">
        <w:rPr>
          <w:sz w:val="20"/>
          <w:szCs w:val="20"/>
        </w:rPr>
        <w:t>, IAB-DU in IAB-node will choose the reception beam/panel for L</w:t>
      </w:r>
      <w:r w:rsidR="00D015E7" w:rsidRPr="00F001D5">
        <w:rPr>
          <w:sz w:val="20"/>
          <w:szCs w:val="20"/>
          <w:vertAlign w:val="subscript"/>
        </w:rPr>
        <w:t>A,UL</w:t>
      </w:r>
      <w:r w:rsidR="00D015E7" w:rsidRPr="00F001D5">
        <w:rPr>
          <w:sz w:val="20"/>
          <w:szCs w:val="20"/>
        </w:rPr>
        <w:t xml:space="preserve"> / L</w:t>
      </w:r>
      <w:r w:rsidR="00D015E7" w:rsidRPr="00F001D5">
        <w:rPr>
          <w:sz w:val="20"/>
          <w:szCs w:val="20"/>
          <w:vertAlign w:val="subscript"/>
        </w:rPr>
        <w:t xml:space="preserve">c,UL </w:t>
      </w:r>
      <w:r w:rsidR="00D015E7" w:rsidRPr="00F001D5">
        <w:rPr>
          <w:sz w:val="20"/>
          <w:szCs w:val="20"/>
        </w:rPr>
        <w:t>links, with minimum impact on L</w:t>
      </w:r>
      <w:r w:rsidR="00D015E7" w:rsidRPr="00F001D5">
        <w:rPr>
          <w:sz w:val="20"/>
          <w:szCs w:val="20"/>
          <w:vertAlign w:val="subscript"/>
        </w:rPr>
        <w:t xml:space="preserve">p,DL </w:t>
      </w:r>
      <w:r w:rsidR="00D015E7" w:rsidRPr="00F001D5">
        <w:rPr>
          <w:sz w:val="20"/>
          <w:szCs w:val="20"/>
        </w:rPr>
        <w:t>and will consequently indicate to its child IAB and/or access UE about their transmit beam/panel, e.g. through SRI for PUSCH</w:t>
      </w:r>
      <w:r w:rsidR="00526915">
        <w:rPr>
          <w:sz w:val="20"/>
          <w:szCs w:val="20"/>
        </w:rPr>
        <w:t xml:space="preserve">. </w:t>
      </w:r>
      <w:r w:rsidR="00D015E7">
        <w:rPr>
          <w:sz w:val="20"/>
          <w:szCs w:val="20"/>
        </w:rPr>
        <w:t>T</w:t>
      </w:r>
      <w:r w:rsidR="00D015E7" w:rsidRPr="00D015E7">
        <w:rPr>
          <w:sz w:val="20"/>
          <w:szCs w:val="20"/>
        </w:rPr>
        <w:t xml:space="preserve">he choice between the above options can be based on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 xml:space="preserve">communication link and/or </w:t>
      </w:r>
      <w:r w:rsidR="00D015E7">
        <w:rPr>
          <w:sz w:val="20"/>
          <w:szCs w:val="20"/>
        </w:rPr>
        <w:t xml:space="preserve">data </w:t>
      </w:r>
      <w:r w:rsidR="00D015E7" w:rsidRPr="00D015E7">
        <w:rPr>
          <w:sz w:val="20"/>
          <w:szCs w:val="20"/>
        </w:rPr>
        <w:t>priority</w:t>
      </w:r>
      <w:r w:rsidR="00D015E7">
        <w:rPr>
          <w:sz w:val="20"/>
          <w:szCs w:val="20"/>
        </w:rPr>
        <w:t xml:space="preserve">, </w:t>
      </w:r>
      <w:r w:rsidR="00D015E7" w:rsidRPr="00D015E7">
        <w:rPr>
          <w:sz w:val="20"/>
          <w:szCs w:val="20"/>
        </w:rPr>
        <w:t>e.g. if IAB-DU schedules a UE (on access link L</w:t>
      </w:r>
      <w:r w:rsidR="00D015E7" w:rsidRPr="00D015E7">
        <w:rPr>
          <w:sz w:val="20"/>
          <w:szCs w:val="20"/>
          <w:vertAlign w:val="subscript"/>
        </w:rPr>
        <w:t>A,UL</w:t>
      </w:r>
      <w:r w:rsidR="00D015E7" w:rsidRPr="00D015E7">
        <w:rPr>
          <w:sz w:val="20"/>
          <w:szCs w:val="20"/>
        </w:rPr>
        <w:t>)</w:t>
      </w:r>
      <w:r w:rsidR="00D015E7">
        <w:rPr>
          <w:sz w:val="20"/>
          <w:szCs w:val="20"/>
        </w:rPr>
        <w:t xml:space="preserve"> with URLLC traffic</w:t>
      </w:r>
      <w:r w:rsidR="00D015E7" w:rsidRPr="00D015E7">
        <w:rPr>
          <w:sz w:val="20"/>
          <w:szCs w:val="20"/>
        </w:rPr>
        <w:t>, it will be IAB-DU that controls the flow</w:t>
      </w:r>
      <w:r w:rsidR="00D015E7">
        <w:rPr>
          <w:sz w:val="20"/>
          <w:szCs w:val="20"/>
        </w:rPr>
        <w:t>. Alternatively, i</w:t>
      </w:r>
      <w:r w:rsidR="00D015E7" w:rsidRPr="00D015E7">
        <w:rPr>
          <w:sz w:val="20"/>
          <w:szCs w:val="20"/>
        </w:rPr>
        <w:t>f traffic on L</w:t>
      </w:r>
      <w:r w:rsidR="00D015E7" w:rsidRPr="00D015E7">
        <w:rPr>
          <w:sz w:val="20"/>
          <w:szCs w:val="20"/>
          <w:vertAlign w:val="subscript"/>
        </w:rPr>
        <w:t xml:space="preserve">p,DL </w:t>
      </w:r>
      <w:r w:rsidR="00D015E7" w:rsidRPr="00D015E7">
        <w:rPr>
          <w:sz w:val="20"/>
          <w:szCs w:val="20"/>
        </w:rPr>
        <w:t>is higher priority than traffic on L</w:t>
      </w:r>
      <w:r w:rsidR="00D015E7" w:rsidRPr="00D015E7">
        <w:rPr>
          <w:sz w:val="20"/>
          <w:szCs w:val="20"/>
          <w:vertAlign w:val="subscript"/>
        </w:rPr>
        <w:t>c,UL</w:t>
      </w:r>
      <w:r w:rsidR="00D015E7" w:rsidRPr="00D015E7">
        <w:rPr>
          <w:sz w:val="20"/>
          <w:szCs w:val="20"/>
        </w:rPr>
        <w:t xml:space="preserve">, it will be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>parent IAB-DU that controls the flow</w:t>
      </w:r>
      <w:r w:rsidR="00D015E7">
        <w:rPr>
          <w:sz w:val="20"/>
          <w:szCs w:val="20"/>
        </w:rPr>
        <w:t>.</w:t>
      </w:r>
      <w:r w:rsidR="000143DE">
        <w:rPr>
          <w:sz w:val="20"/>
          <w:szCs w:val="20"/>
        </w:rPr>
        <w:t xml:space="preserve"> Based on the above discussions, we have the following proposals:</w:t>
      </w:r>
    </w:p>
    <w:p w14:paraId="2BF5B4C9" w14:textId="77777777" w:rsidR="007313F2" w:rsidRPr="009D5CD1" w:rsidRDefault="007313F2" w:rsidP="004658F3">
      <w:pPr>
        <w:jc w:val="both"/>
        <w:rPr>
          <w:sz w:val="20"/>
          <w:szCs w:val="20"/>
        </w:rPr>
      </w:pPr>
    </w:p>
    <w:p w14:paraId="285BDE79" w14:textId="2CF36F35" w:rsidR="00D12C2E" w:rsidRDefault="00D12C2E" w:rsidP="00D12C2E">
      <w:pPr>
        <w:jc w:val="both"/>
        <w:rPr>
          <w:sz w:val="20"/>
          <w:szCs w:val="20"/>
        </w:rPr>
      </w:pPr>
    </w:p>
    <w:p w14:paraId="11FE1DA6" w14:textId="0C255020" w:rsidR="007313F2" w:rsidRDefault="007313F2" w:rsidP="007313F2">
      <w:pPr>
        <w:jc w:val="center"/>
        <w:rPr>
          <w:sz w:val="20"/>
          <w:szCs w:val="20"/>
        </w:rPr>
      </w:pPr>
      <w:r w:rsidRPr="007313F2">
        <w:rPr>
          <w:noProof/>
          <w:sz w:val="20"/>
          <w:szCs w:val="20"/>
        </w:rPr>
        <w:drawing>
          <wp:inline distT="0" distB="0" distL="0" distR="0" wp14:anchorId="12C6A4ED" wp14:editId="6BAA74AF">
            <wp:extent cx="2005302" cy="1595255"/>
            <wp:effectExtent l="0" t="0" r="1905" b="508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4088" cy="161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68179" w14:textId="001F5EAB" w:rsidR="007313F2" w:rsidRDefault="007313F2" w:rsidP="007313F2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reception within an IAB-node.</w:t>
      </w:r>
    </w:p>
    <w:p w14:paraId="0E7F8B95" w14:textId="658FE9BD" w:rsidR="007313F2" w:rsidRDefault="007313F2" w:rsidP="00D12C2E">
      <w:pPr>
        <w:jc w:val="both"/>
        <w:rPr>
          <w:sz w:val="20"/>
          <w:szCs w:val="20"/>
        </w:rPr>
      </w:pPr>
    </w:p>
    <w:p w14:paraId="773A76BB" w14:textId="77777777" w:rsidR="000143DE" w:rsidRDefault="000143DE" w:rsidP="00D12C2E">
      <w:pPr>
        <w:jc w:val="both"/>
        <w:rPr>
          <w:sz w:val="20"/>
          <w:szCs w:val="20"/>
        </w:rPr>
      </w:pPr>
    </w:p>
    <w:p w14:paraId="794C3ED7" w14:textId="483D519D" w:rsidR="00F001D5" w:rsidRDefault="00F001D5" w:rsidP="00D015E7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 w:rsidR="00D015E7">
        <w:rPr>
          <w:sz w:val="20"/>
          <w:szCs w:val="20"/>
        </w:rPr>
        <w:t>For simultaneous operation, either parent IAB-DU or IAB-DU can initiate and control the flow.</w:t>
      </w:r>
    </w:p>
    <w:p w14:paraId="2FA7A8E5" w14:textId="77777777" w:rsidR="00D015E7" w:rsidRDefault="00D015E7" w:rsidP="00D015E7">
      <w:pPr>
        <w:jc w:val="both"/>
        <w:rPr>
          <w:b/>
          <w:bCs/>
          <w:sz w:val="20"/>
          <w:szCs w:val="20"/>
        </w:rPr>
      </w:pPr>
    </w:p>
    <w:p w14:paraId="0D219B40" w14:textId="577D6124" w:rsidR="00D015E7" w:rsidRPr="00D015E7" w:rsidRDefault="00D015E7" w:rsidP="00D015E7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7F29523C" w14:textId="7464EA2B" w:rsidR="000143DE" w:rsidRDefault="003C2966" w:rsidP="000143DE">
      <w:pPr>
        <w:jc w:val="both"/>
        <w:rPr>
          <w:sz w:val="20"/>
          <w:szCs w:val="20"/>
        </w:rPr>
      </w:pPr>
      <w:r>
        <w:rPr>
          <w:sz w:val="20"/>
          <w:szCs w:val="20"/>
        </w:rPr>
        <w:t>Regardless of whether IAB-node or IAB-parent controls resource coordination for SDM</w:t>
      </w:r>
      <w:r w:rsidR="00D67025">
        <w:rPr>
          <w:sz w:val="20"/>
          <w:szCs w:val="20"/>
        </w:rPr>
        <w:t xml:space="preserve"> or FDM</w:t>
      </w:r>
      <w:r>
        <w:rPr>
          <w:sz w:val="20"/>
          <w:szCs w:val="20"/>
        </w:rPr>
        <w:t xml:space="preserve"> multiplexing, it should be discussed how to indicate the beam management/coordination parameters. Whether the indication is dynamic or not also depends on the status of communication links, e.g.  </w:t>
      </w:r>
      <w:r w:rsidRPr="003C2966">
        <w:rPr>
          <w:sz w:val="20"/>
          <w:szCs w:val="20"/>
        </w:rPr>
        <w:t>for semi-static/periodic transmissions from parent IAB-DU, like periodic CSI-RS, SSB, SPS-PDSCH</w:t>
      </w:r>
      <w:r>
        <w:rPr>
          <w:sz w:val="20"/>
          <w:szCs w:val="20"/>
        </w:rPr>
        <w:t>, a semi-static beam indication from parent IAB-node is sufficient. While for a dynamic PUSCH scheduling on access link, a quick dynamic beam indication is preferred.</w:t>
      </w:r>
    </w:p>
    <w:p w14:paraId="66D15E3F" w14:textId="77777777" w:rsidR="003C2966" w:rsidRPr="003C2966" w:rsidRDefault="003C2966" w:rsidP="000143DE">
      <w:pPr>
        <w:jc w:val="both"/>
        <w:rPr>
          <w:sz w:val="20"/>
          <w:szCs w:val="20"/>
        </w:rPr>
      </w:pPr>
    </w:p>
    <w:p w14:paraId="6D46510D" w14:textId="1E23057E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>: For the case of parent IAB-DU indicating IAB node about the receiving beams/panels for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can be dynamic and/or semi-static:</w:t>
      </w:r>
    </w:p>
    <w:p w14:paraId="5B20F6A1" w14:textId="77777777" w:rsid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Dynamic e.g. through TCI index in DCI for scheduling PDSCH L</w:t>
      </w:r>
      <w:r w:rsidRPr="003C2966">
        <w:rPr>
          <w:sz w:val="20"/>
          <w:szCs w:val="20"/>
          <w:vertAlign w:val="subscript"/>
        </w:rPr>
        <w:t xml:space="preserve">p,DL </w:t>
      </w:r>
      <w:r w:rsidRPr="003C2966">
        <w:rPr>
          <w:sz w:val="20"/>
          <w:szCs w:val="20"/>
        </w:rPr>
        <w:t xml:space="preserve"> </w:t>
      </w:r>
    </w:p>
    <w:p w14:paraId="4BC23946" w14:textId="1F1690BE" w:rsidR="000143DE" w:rsidRP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e.g. through MAC-CE/RRC to IAB-MT or through F1 interface to IAB-DU </w:t>
      </w:r>
    </w:p>
    <w:p w14:paraId="751C0DFD" w14:textId="77777777" w:rsidR="000143DE" w:rsidRPr="000143DE" w:rsidRDefault="000143DE" w:rsidP="000143DE">
      <w:pPr>
        <w:jc w:val="both"/>
        <w:rPr>
          <w:sz w:val="20"/>
          <w:szCs w:val="20"/>
        </w:rPr>
      </w:pPr>
    </w:p>
    <w:p w14:paraId="31743203" w14:textId="64959A27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>: For the case of IAB indicating desired reception beams/panels on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D1F8E18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UCI transmission from IAB-MT to parent DU </w:t>
      </w:r>
    </w:p>
    <w:p w14:paraId="6547252F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Semi-static, e.g. through MAC-CE from IAB-MT or through F1 interface from IAB-DU</w:t>
      </w:r>
    </w:p>
    <w:p w14:paraId="2F03D969" w14:textId="57D6C4C2" w:rsidR="000143DE" w:rsidRP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Alternatively, IAB-MT performs SR or initiates PRACH to indicate desired receiving beam on L</w:t>
      </w:r>
      <w:r w:rsidRPr="003C2966">
        <w:rPr>
          <w:sz w:val="20"/>
          <w:szCs w:val="20"/>
          <w:vertAlign w:val="subscript"/>
        </w:rPr>
        <w:t>p,DL</w:t>
      </w:r>
    </w:p>
    <w:p w14:paraId="38705D10" w14:textId="77777777" w:rsidR="000143DE" w:rsidRDefault="000143DE" w:rsidP="00D015E7">
      <w:pPr>
        <w:jc w:val="both"/>
        <w:rPr>
          <w:sz w:val="20"/>
          <w:szCs w:val="20"/>
        </w:rPr>
      </w:pPr>
    </w:p>
    <w:p w14:paraId="4B72CBE3" w14:textId="77777777" w:rsidR="00A21ECE" w:rsidRDefault="00A21ECE" w:rsidP="00D015E7">
      <w:pPr>
        <w:jc w:val="both"/>
        <w:rPr>
          <w:sz w:val="20"/>
          <w:szCs w:val="20"/>
        </w:rPr>
      </w:pPr>
    </w:p>
    <w:p w14:paraId="7D2B7585" w14:textId="543FD1B4" w:rsidR="00A21ECE" w:rsidRDefault="00A21ECE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>To achieve a better resource efficiency under SDM</w:t>
      </w:r>
      <w:r w:rsidR="00D67025">
        <w:rPr>
          <w:sz w:val="20"/>
          <w:szCs w:val="20"/>
        </w:rPr>
        <w:t xml:space="preserve"> (or FDM)</w:t>
      </w:r>
      <w:r>
        <w:rPr>
          <w:sz w:val="20"/>
          <w:szCs w:val="20"/>
        </w:rPr>
        <w:t xml:space="preserve"> multiplexing with simultaneous reception within an IAB node, a conditional indication from parent IAB-DU may be deployed, where IAB-node has the chance to provide feedback on allocation by parent IAB-DU, and possibly provide desired set of parameters. </w:t>
      </w:r>
      <w:r w:rsidR="003C345C">
        <w:rPr>
          <w:sz w:val="20"/>
          <w:szCs w:val="20"/>
        </w:rPr>
        <w:t>Figure 2 shows an example of the procedure.</w:t>
      </w:r>
      <w:r w:rsidR="00D4606C">
        <w:rPr>
          <w:sz w:val="20"/>
          <w:szCs w:val="20"/>
        </w:rPr>
        <w:t xml:space="preserve"> Here we note that, at least in some scenarios, better utilization of SDM resource multiplexing is achieved if PDSCH allocation crosses the slot border, since otherwise tighter slot/symbol alignment is required, which is not always possible/desirable. Based on this discussion, we make the following proposals:  </w:t>
      </w:r>
    </w:p>
    <w:p w14:paraId="7FEE1E71" w14:textId="1E7DE4D4" w:rsidR="00A21ECE" w:rsidRDefault="00A21ECE" w:rsidP="00D015E7">
      <w:pPr>
        <w:jc w:val="both"/>
        <w:rPr>
          <w:sz w:val="20"/>
          <w:szCs w:val="20"/>
        </w:rPr>
      </w:pPr>
    </w:p>
    <w:p w14:paraId="4F0D8188" w14:textId="0D4B65C9" w:rsidR="00A21ECE" w:rsidRDefault="00A21ECE" w:rsidP="00A21ECE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>: To achieve a simultaneous reception within an IAB node, i.e.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76909672" w14:textId="77777777" w:rsid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</w:t>
      </w:r>
    </w:p>
    <w:p w14:paraId="05C7CD68" w14:textId="7C87889B" w:rsidR="00A21ECE" w:rsidRP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Tx power, etc), for example, on PUCCH indicated by DL DCI from parent IAB-DU</w:t>
      </w:r>
    </w:p>
    <w:p w14:paraId="5D1FD2F7" w14:textId="3EACFCFF" w:rsidR="00A21ECE" w:rsidRDefault="00A21ECE" w:rsidP="00A21ECE">
      <w:pPr>
        <w:jc w:val="both"/>
        <w:rPr>
          <w:sz w:val="20"/>
          <w:szCs w:val="20"/>
        </w:rPr>
      </w:pPr>
    </w:p>
    <w:p w14:paraId="01DB3B22" w14:textId="2F6E89F6" w:rsidR="00D4606C" w:rsidRDefault="00D4606C" w:rsidP="00D4606C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>To utilize SDM resource multiplexing, support PDSCH allocation for IAB-MT with crossing the slot border</w:t>
      </w:r>
      <w:r w:rsidR="000E19E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0D72A2C6" w14:textId="77777777" w:rsidR="00D4606C" w:rsidRPr="00A21ECE" w:rsidRDefault="00D4606C" w:rsidP="00A21ECE">
      <w:pPr>
        <w:jc w:val="both"/>
        <w:rPr>
          <w:sz w:val="20"/>
          <w:szCs w:val="20"/>
        </w:rPr>
      </w:pPr>
    </w:p>
    <w:p w14:paraId="04612966" w14:textId="79451221" w:rsidR="00A21ECE" w:rsidRDefault="00D4606C" w:rsidP="00D4606C">
      <w:pPr>
        <w:jc w:val="center"/>
        <w:rPr>
          <w:sz w:val="20"/>
          <w:szCs w:val="20"/>
        </w:rPr>
      </w:pPr>
      <w:r w:rsidRPr="00D4606C">
        <w:rPr>
          <w:noProof/>
          <w:sz w:val="20"/>
          <w:szCs w:val="20"/>
        </w:rPr>
        <w:drawing>
          <wp:inline distT="0" distB="0" distL="0" distR="0" wp14:anchorId="69D56A0E" wp14:editId="13310CBB">
            <wp:extent cx="4276516" cy="2235200"/>
            <wp:effectExtent l="0" t="0" r="0" b="0"/>
            <wp:docPr id="3" name="Picture 3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272" cy="224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70E6D" w14:textId="77777777" w:rsidR="00D4606C" w:rsidRDefault="00A21ECE" w:rsidP="00D4606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26DAF4" w14:textId="2F5CB90A" w:rsidR="00D4606C" w:rsidRDefault="00D4606C" w:rsidP="00D4606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>: Two-step scheduling for simultaneous Rx.</w:t>
      </w:r>
    </w:p>
    <w:p w14:paraId="052A60F1" w14:textId="27AA7153" w:rsidR="00D4606C" w:rsidRPr="00F001D5" w:rsidRDefault="00D4606C" w:rsidP="00D015E7">
      <w:pPr>
        <w:jc w:val="both"/>
        <w:rPr>
          <w:sz w:val="20"/>
          <w:szCs w:val="20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4D5365AF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2FD9F128" w14:textId="13337586" w:rsidR="0079242B" w:rsidRDefault="0079242B" w:rsidP="0079242B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>
        <w:rPr>
          <w:sz w:val="20"/>
          <w:szCs w:val="20"/>
        </w:rPr>
        <w:t>For simultaneous operation, either parent IAB-DU or IAB-DU can initiate and control the flow.</w:t>
      </w:r>
    </w:p>
    <w:p w14:paraId="57055197" w14:textId="77777777" w:rsidR="0079242B" w:rsidRDefault="0079242B" w:rsidP="0079242B">
      <w:pPr>
        <w:jc w:val="both"/>
        <w:rPr>
          <w:b/>
          <w:bCs/>
          <w:sz w:val="20"/>
          <w:szCs w:val="20"/>
        </w:rPr>
      </w:pPr>
    </w:p>
    <w:p w14:paraId="0217E154" w14:textId="77777777" w:rsidR="0079242B" w:rsidRPr="00D015E7" w:rsidRDefault="0079242B" w:rsidP="0079242B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450747D8" w14:textId="77777777" w:rsidR="0079242B" w:rsidRPr="003C2966" w:rsidRDefault="0079242B" w:rsidP="0079242B">
      <w:pPr>
        <w:jc w:val="both"/>
        <w:rPr>
          <w:sz w:val="20"/>
          <w:szCs w:val="20"/>
        </w:rPr>
      </w:pPr>
    </w:p>
    <w:p w14:paraId="435C0AF3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>: For the case of parent IAB-DU indicating IAB node about the receiving beams/panels for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can be dynamic and/or semi-static:</w:t>
      </w:r>
    </w:p>
    <w:p w14:paraId="3D1CF22E" w14:textId="77777777" w:rsidR="0079242B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Dynamic e.g. through TCI index in DCI for scheduling PDSCH L</w:t>
      </w:r>
      <w:r w:rsidRPr="003C2966">
        <w:rPr>
          <w:sz w:val="20"/>
          <w:szCs w:val="20"/>
          <w:vertAlign w:val="subscript"/>
        </w:rPr>
        <w:t xml:space="preserve">p,DL </w:t>
      </w:r>
      <w:r w:rsidRPr="003C2966">
        <w:rPr>
          <w:sz w:val="20"/>
          <w:szCs w:val="20"/>
        </w:rPr>
        <w:t xml:space="preserve"> </w:t>
      </w:r>
    </w:p>
    <w:p w14:paraId="1A83A9C0" w14:textId="77777777" w:rsidR="0079242B" w:rsidRPr="003C2966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e.g. through MAC-CE/RRC to IAB-MT or through F1 interface to IAB-DU </w:t>
      </w:r>
    </w:p>
    <w:p w14:paraId="4813F8D3" w14:textId="77777777" w:rsidR="0079242B" w:rsidRPr="000143DE" w:rsidRDefault="0079242B" w:rsidP="0079242B">
      <w:pPr>
        <w:jc w:val="both"/>
        <w:rPr>
          <w:sz w:val="20"/>
          <w:szCs w:val="20"/>
        </w:rPr>
      </w:pPr>
    </w:p>
    <w:p w14:paraId="413D9AD5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>: For the case of IAB indicating desired reception beams/panels on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369B198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UCI transmission from IAB-MT to parent DU </w:t>
      </w:r>
    </w:p>
    <w:p w14:paraId="38CF1AB7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Semi-static, e.g. through MAC-CE from IAB-MT or through F1 interface from IAB-DU</w:t>
      </w:r>
    </w:p>
    <w:p w14:paraId="7C40BA1D" w14:textId="77777777" w:rsidR="0079242B" w:rsidRPr="003C2966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Alternatively, IAB-MT performs SR or initiates PRACH to indicate desired receiving beam on L</w:t>
      </w:r>
      <w:r w:rsidRPr="003C2966">
        <w:rPr>
          <w:sz w:val="20"/>
          <w:szCs w:val="20"/>
          <w:vertAlign w:val="subscript"/>
        </w:rPr>
        <w:t>p,DL</w:t>
      </w:r>
    </w:p>
    <w:p w14:paraId="7A34CC47" w14:textId="77777777" w:rsidR="0079242B" w:rsidRDefault="0079242B" w:rsidP="0079242B">
      <w:pPr>
        <w:jc w:val="both"/>
        <w:rPr>
          <w:sz w:val="20"/>
          <w:szCs w:val="20"/>
        </w:rPr>
      </w:pPr>
    </w:p>
    <w:p w14:paraId="568DB714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>: To achieve a simultaneous reception within an IAB node, i.e.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15B55AB4" w14:textId="77777777" w:rsidR="0079242B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</w:t>
      </w:r>
    </w:p>
    <w:p w14:paraId="69655619" w14:textId="77777777" w:rsidR="0079242B" w:rsidRPr="00A21ECE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Tx power, etc), for example, on PUCCH indicated by DL DCI from parent IAB-DU</w:t>
      </w:r>
    </w:p>
    <w:p w14:paraId="6FA4EB73" w14:textId="77777777" w:rsidR="0079242B" w:rsidRDefault="0079242B" w:rsidP="0079242B">
      <w:pPr>
        <w:jc w:val="both"/>
        <w:rPr>
          <w:sz w:val="20"/>
          <w:szCs w:val="20"/>
        </w:rPr>
      </w:pPr>
    </w:p>
    <w:p w14:paraId="24E989F9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utilize SDM resource multiplexing, support PDSCH allocation for IAB-MT with crossing the slot border. </w:t>
      </w:r>
    </w:p>
    <w:p w14:paraId="71EF8D6E" w14:textId="77777777" w:rsidR="00945309" w:rsidRPr="00450183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04E49CEC" w14:textId="670A45B8" w:rsidR="0091063F" w:rsidRPr="00410281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226A2EFE" w14:textId="307BE62C" w:rsidR="0091063F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1C39EA8C" w14:textId="048C9B46" w:rsidR="00D67025" w:rsidRPr="00D67025" w:rsidRDefault="00D67025" w:rsidP="00D67025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4b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6255D" w14:textId="77777777" w:rsidR="00050EFB" w:rsidRDefault="00050EFB">
      <w:r>
        <w:separator/>
      </w:r>
    </w:p>
  </w:endnote>
  <w:endnote w:type="continuationSeparator" w:id="0">
    <w:p w14:paraId="3314D23F" w14:textId="77777777" w:rsidR="00050EFB" w:rsidRDefault="00050EFB">
      <w:r>
        <w:continuationSeparator/>
      </w:r>
    </w:p>
  </w:endnote>
  <w:endnote w:type="continuationNotice" w:id="1">
    <w:p w14:paraId="6A66CC51" w14:textId="77777777" w:rsidR="00050EFB" w:rsidRDefault="00050E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4C67B" w14:textId="77777777" w:rsidR="00050EFB" w:rsidRDefault="00050EFB">
      <w:r>
        <w:separator/>
      </w:r>
    </w:p>
  </w:footnote>
  <w:footnote w:type="continuationSeparator" w:id="0">
    <w:p w14:paraId="5B16D853" w14:textId="77777777" w:rsidR="00050EFB" w:rsidRDefault="00050EFB">
      <w:r>
        <w:continuationSeparator/>
      </w:r>
    </w:p>
  </w:footnote>
  <w:footnote w:type="continuationNotice" w:id="1">
    <w:p w14:paraId="3E9D1F13" w14:textId="77777777" w:rsidR="00050EFB" w:rsidRDefault="00050E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2B1A8B"/>
    <w:multiLevelType w:val="hybridMultilevel"/>
    <w:tmpl w:val="018E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4"/>
  </w:num>
  <w:num w:numId="5">
    <w:abstractNumId w:val="7"/>
  </w:num>
  <w:num w:numId="6">
    <w:abstractNumId w:val="17"/>
  </w:num>
  <w:num w:numId="7">
    <w:abstractNumId w:val="24"/>
  </w:num>
  <w:num w:numId="8">
    <w:abstractNumId w:val="8"/>
  </w:num>
  <w:num w:numId="9">
    <w:abstractNumId w:val="20"/>
  </w:num>
  <w:num w:numId="10">
    <w:abstractNumId w:val="26"/>
  </w:num>
  <w:num w:numId="11">
    <w:abstractNumId w:val="12"/>
  </w:num>
  <w:num w:numId="12">
    <w:abstractNumId w:val="10"/>
  </w:num>
  <w:num w:numId="13">
    <w:abstractNumId w:val="3"/>
  </w:num>
  <w:num w:numId="14">
    <w:abstractNumId w:val="27"/>
  </w:num>
  <w:num w:numId="15">
    <w:abstractNumId w:val="11"/>
  </w:num>
  <w:num w:numId="16">
    <w:abstractNumId w:val="4"/>
  </w:num>
  <w:num w:numId="17">
    <w:abstractNumId w:val="22"/>
  </w:num>
  <w:num w:numId="18">
    <w:abstractNumId w:val="0"/>
  </w:num>
  <w:num w:numId="19">
    <w:abstractNumId w:val="6"/>
  </w:num>
  <w:num w:numId="20">
    <w:abstractNumId w:val="18"/>
  </w:num>
  <w:num w:numId="21">
    <w:abstractNumId w:val="9"/>
  </w:num>
  <w:num w:numId="22">
    <w:abstractNumId w:val="28"/>
  </w:num>
  <w:num w:numId="23">
    <w:abstractNumId w:val="16"/>
  </w:num>
  <w:num w:numId="24">
    <w:abstractNumId w:val="25"/>
  </w:num>
  <w:num w:numId="25">
    <w:abstractNumId w:val="1"/>
  </w:num>
  <w:num w:numId="26">
    <w:abstractNumId w:val="15"/>
  </w:num>
  <w:num w:numId="27">
    <w:abstractNumId w:val="21"/>
  </w:num>
  <w:num w:numId="28">
    <w:abstractNumId w:val="23"/>
  </w:num>
  <w:num w:numId="29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0EFB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67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A0E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091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25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7C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41B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460</TotalTime>
  <Pages>3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8877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120</cp:revision>
  <cp:lastPrinted>2019-05-08T01:41:00Z</cp:lastPrinted>
  <dcterms:created xsi:type="dcterms:W3CDTF">2020-08-07T04:23:00Z</dcterms:created>
  <dcterms:modified xsi:type="dcterms:W3CDTF">2021-05-10T23:43:00Z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