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07A06E" w14:textId="16D70177" w:rsidR="001427FE" w:rsidRPr="008604CA" w:rsidRDefault="001427FE" w:rsidP="001427FE">
      <w:pPr>
        <w:pStyle w:val="a4"/>
        <w:tabs>
          <w:tab w:val="left" w:pos="1800"/>
        </w:tabs>
        <w:ind w:left="1800" w:hanging="1800"/>
        <w:rPr>
          <w:rFonts w:eastAsia="宋体"/>
          <w:sz w:val="22"/>
          <w:lang w:eastAsia="zh-CN"/>
        </w:rPr>
      </w:pPr>
      <w:r w:rsidRPr="008604CA">
        <w:rPr>
          <w:rFonts w:eastAsia="宋体"/>
          <w:sz w:val="22"/>
          <w:lang w:eastAsia="zh-CN"/>
        </w:rPr>
        <w:t>3GPP TSG RAN WG1 #105-e</w:t>
      </w:r>
      <w:r w:rsidRPr="008604CA">
        <w:rPr>
          <w:rFonts w:eastAsia="宋体"/>
          <w:sz w:val="22"/>
          <w:lang w:eastAsia="zh-CN"/>
        </w:rPr>
        <w:tab/>
      </w:r>
      <w:r w:rsidRPr="008604CA">
        <w:rPr>
          <w:rFonts w:eastAsia="宋体"/>
          <w:sz w:val="22"/>
          <w:lang w:eastAsia="zh-CN"/>
        </w:rPr>
        <w:tab/>
      </w:r>
      <w:r w:rsidR="00ED4CAC" w:rsidRPr="00ED4CAC">
        <w:rPr>
          <w:rFonts w:eastAsia="宋体"/>
          <w:sz w:val="22"/>
          <w:lang w:eastAsia="zh-CN"/>
        </w:rPr>
        <w:t>R1-2104746</w:t>
      </w:r>
    </w:p>
    <w:p w14:paraId="20A26F5C" w14:textId="77777777" w:rsidR="001427FE" w:rsidRDefault="001427FE" w:rsidP="001427FE">
      <w:pPr>
        <w:pStyle w:val="a4"/>
        <w:tabs>
          <w:tab w:val="left" w:pos="1800"/>
        </w:tabs>
        <w:ind w:left="1800" w:hanging="1800"/>
        <w:rPr>
          <w:rFonts w:eastAsia="宋体"/>
          <w:sz w:val="22"/>
          <w:lang w:eastAsia="zh-CN"/>
        </w:rPr>
      </w:pPr>
      <w:r w:rsidRPr="008604CA">
        <w:rPr>
          <w:rFonts w:eastAsia="宋体"/>
          <w:sz w:val="22"/>
          <w:lang w:eastAsia="zh-CN"/>
        </w:rPr>
        <w:t>e-Meeting, May 10th – 27th, 2021</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104185E2"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B74E5B">
        <w:rPr>
          <w:sz w:val="22"/>
        </w:rPr>
        <w:t>Evaluation Methodology for XR on NR</w:t>
      </w:r>
    </w:p>
    <w:p w14:paraId="4D626EB5" w14:textId="221274AC"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F5BBA">
        <w:rPr>
          <w:rFonts w:eastAsia="宋体"/>
          <w:sz w:val="22"/>
          <w:lang w:eastAsia="zh-CN"/>
        </w:rPr>
        <w:t>8</w:t>
      </w:r>
      <w:r>
        <w:rPr>
          <w:rFonts w:eastAsia="宋体"/>
          <w:sz w:val="22"/>
          <w:lang w:eastAsia="zh-CN"/>
        </w:rPr>
        <w:t>.</w:t>
      </w:r>
      <w:r w:rsidR="00B74E5B">
        <w:rPr>
          <w:rFonts w:eastAsia="宋体"/>
          <w:sz w:val="22"/>
          <w:lang w:eastAsia="zh-CN"/>
        </w:rPr>
        <w:t>14</w:t>
      </w:r>
      <w:r>
        <w:rPr>
          <w:rFonts w:eastAsia="宋体"/>
          <w:sz w:val="22"/>
          <w:lang w:eastAsia="zh-CN"/>
        </w:rPr>
        <w:t>.</w:t>
      </w:r>
      <w:r w:rsidR="003C265D">
        <w:rPr>
          <w:rFonts w:eastAsia="宋体"/>
          <w:sz w:val="22"/>
          <w:lang w:eastAsia="zh-CN"/>
        </w:rPr>
        <w:t>2</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3D73222" w14:textId="2A4BC090" w:rsidR="00DC485D" w:rsidRDefault="001E53C3" w:rsidP="00497AFF">
      <w:pPr>
        <w:pStyle w:val="00Text"/>
      </w:pPr>
      <w:bookmarkStart w:id="0" w:name="_Hlk30969022"/>
      <w:r>
        <w:t>A study item of XR</w:t>
      </w:r>
      <w:r w:rsidR="00A713A7">
        <w:t xml:space="preserve"> and could game (CG)</w:t>
      </w:r>
      <w:r>
        <w:t xml:space="preserve"> evaluations for NR was approved in RAN#88e </w:t>
      </w:r>
      <w:r w:rsidR="00F52E35">
        <w:t>with the following objectives</w:t>
      </w:r>
      <w:r w:rsidR="003F779D">
        <w:t xml:space="preserve"> [1]</w:t>
      </w:r>
      <w:r w:rsidR="00F7099D">
        <w:t>:</w:t>
      </w:r>
    </w:p>
    <w:tbl>
      <w:tblPr>
        <w:tblStyle w:val="a6"/>
        <w:tblW w:w="0" w:type="auto"/>
        <w:tblLook w:val="04A0" w:firstRow="1" w:lastRow="0" w:firstColumn="1" w:lastColumn="0" w:noHBand="0" w:noVBand="1"/>
      </w:tblPr>
      <w:tblGrid>
        <w:gridCol w:w="9062"/>
      </w:tblGrid>
      <w:tr w:rsidR="002B3587" w14:paraId="36E25D9A" w14:textId="77777777" w:rsidTr="002B3587">
        <w:tc>
          <w:tcPr>
            <w:tcW w:w="9062" w:type="dxa"/>
          </w:tcPr>
          <w:p w14:paraId="0950FB27" w14:textId="77777777" w:rsidR="000B43C9" w:rsidRPr="009E1C6F" w:rsidRDefault="000B43C9" w:rsidP="00865274">
            <w:pPr>
              <w:pStyle w:val="af2"/>
              <w:numPr>
                <w:ilvl w:val="0"/>
                <w:numId w:val="6"/>
              </w:numPr>
              <w:overflowPunct/>
              <w:autoSpaceDE/>
              <w:autoSpaceDN/>
              <w:adjustRightInd/>
              <w:spacing w:after="0"/>
              <w:contextualSpacing w:val="0"/>
              <w:textAlignment w:val="auto"/>
              <w:rPr>
                <w:bCs/>
              </w:rPr>
            </w:pPr>
            <w:bookmarkStart w:id="1" w:name="_Hlk30969040"/>
            <w:bookmarkEnd w:id="0"/>
            <w:r>
              <w:rPr>
                <w:bCs/>
              </w:rPr>
              <w:t xml:space="preserve">Confirm </w:t>
            </w:r>
            <w:r w:rsidRPr="009E1C6F">
              <w:rPr>
                <w:bCs/>
              </w:rPr>
              <w:t xml:space="preserve">XR </w:t>
            </w:r>
            <w:r>
              <w:rPr>
                <w:bCs/>
              </w:rPr>
              <w:t xml:space="preserve">and Cloud Gaming </w:t>
            </w:r>
            <w:r w:rsidRPr="009E1C6F">
              <w:rPr>
                <w:bCs/>
              </w:rPr>
              <w:t>applications of interest</w:t>
            </w:r>
          </w:p>
          <w:p w14:paraId="02BFC390" w14:textId="77777777" w:rsidR="000B43C9" w:rsidRDefault="000B43C9" w:rsidP="00865274">
            <w:pPr>
              <w:pStyle w:val="af2"/>
              <w:numPr>
                <w:ilvl w:val="0"/>
                <w:numId w:val="6"/>
              </w:numPr>
              <w:overflowPunct/>
              <w:autoSpaceDE/>
              <w:autoSpaceDN/>
              <w:adjustRightInd/>
              <w:spacing w:after="0"/>
              <w:contextualSpacing w:val="0"/>
              <w:textAlignment w:val="auto"/>
              <w:rPr>
                <w:bCs/>
              </w:rPr>
            </w:pPr>
            <w:r>
              <w:rPr>
                <w:bCs/>
              </w:rPr>
              <w:t xml:space="preserve">Identify the traffic </w:t>
            </w:r>
            <w:r w:rsidRPr="009E1C6F">
              <w:rPr>
                <w:bCs/>
              </w:rPr>
              <w:t xml:space="preserve">model for </w:t>
            </w:r>
            <w:r>
              <w:rPr>
                <w:bCs/>
              </w:rPr>
              <w:t>each application of interest</w:t>
            </w:r>
            <w:r w:rsidRPr="0032569A">
              <w:rPr>
                <w:bCs/>
              </w:rPr>
              <w:t xml:space="preserve"> </w:t>
            </w:r>
            <w:r>
              <w:rPr>
                <w:bCs/>
              </w:rPr>
              <w:t xml:space="preserve">taking outcome of SA WG4 work as input, including </w:t>
            </w:r>
            <w:r w:rsidRPr="00F47B5F">
              <w:rPr>
                <w:bCs/>
              </w:rPr>
              <w:t>considering different upper layer assumptions, e.g. rendering latency, codec compression capability etc.</w:t>
            </w:r>
          </w:p>
          <w:p w14:paraId="11BE2E3A" w14:textId="77777777" w:rsidR="000B43C9" w:rsidRDefault="000B43C9" w:rsidP="00865274">
            <w:pPr>
              <w:pStyle w:val="af2"/>
              <w:numPr>
                <w:ilvl w:val="0"/>
                <w:numId w:val="6"/>
              </w:numPr>
              <w:overflowPunct/>
              <w:autoSpaceDE/>
              <w:autoSpaceDN/>
              <w:adjustRightInd/>
              <w:spacing w:after="0"/>
              <w:contextualSpacing w:val="0"/>
              <w:textAlignment w:val="auto"/>
              <w:rPr>
                <w:bCs/>
              </w:rPr>
            </w:pPr>
            <w:r>
              <w:rPr>
                <w:bCs/>
              </w:rPr>
              <w:t>Identify evaluation methodology to assess XR and CG performance along with identification of KPIs of interest for relevant deployment scenarios</w:t>
            </w:r>
          </w:p>
          <w:p w14:paraId="32CE7EC7" w14:textId="5D0D020F" w:rsidR="002B3587" w:rsidRPr="000B43C9" w:rsidRDefault="000B43C9" w:rsidP="00865274">
            <w:pPr>
              <w:pStyle w:val="af2"/>
              <w:numPr>
                <w:ilvl w:val="0"/>
                <w:numId w:val="6"/>
              </w:numPr>
              <w:overflowPunct/>
              <w:autoSpaceDE/>
              <w:autoSpaceDN/>
              <w:adjustRightInd/>
              <w:spacing w:after="0"/>
              <w:contextualSpacing w:val="0"/>
              <w:textAlignment w:val="auto"/>
            </w:pPr>
            <w:r>
              <w:rPr>
                <w:bCs/>
              </w:rPr>
              <w:t xml:space="preserve">Once traffic model and evaluation methodologies are agreed, carry out performance evaluations towards characterization of identified KPIs </w:t>
            </w:r>
          </w:p>
        </w:tc>
      </w:tr>
    </w:tbl>
    <w:bookmarkEnd w:id="1"/>
    <w:p w14:paraId="4799CAAD" w14:textId="12ACB12F" w:rsidR="00CD004C" w:rsidRDefault="00F55815" w:rsidP="00497AFF">
      <w:pPr>
        <w:pStyle w:val="00Text"/>
      </w:pPr>
      <w:r>
        <w:t xml:space="preserve">One of the key tasks is to identify the evaluation methodology, which is </w:t>
      </w:r>
      <w:r w:rsidR="00DB44C4">
        <w:t>basis of XR</w:t>
      </w:r>
      <w:r w:rsidR="00A713A7">
        <w:t>/CG</w:t>
      </w:r>
      <w:r w:rsidR="00DB44C4">
        <w:t xml:space="preserve"> evaluations for NR. In RAN1#10</w:t>
      </w:r>
      <w:r w:rsidR="002962CD">
        <w:t>4</w:t>
      </w:r>
      <w:r w:rsidR="00173796">
        <w:t>bis-</w:t>
      </w:r>
      <w:r w:rsidR="00DB44C4">
        <w:t xml:space="preserve">e meeting, some </w:t>
      </w:r>
      <w:r w:rsidR="00E9013D">
        <w:t>pertinent</w:t>
      </w:r>
      <w:r w:rsidR="00DB44C4">
        <w:t xml:space="preserve"> agreements were made as below [2]</w:t>
      </w:r>
      <w:r w:rsidR="00F7099D">
        <w:t xml:space="preserve">: </w:t>
      </w:r>
    </w:p>
    <w:tbl>
      <w:tblPr>
        <w:tblStyle w:val="a6"/>
        <w:tblW w:w="0" w:type="auto"/>
        <w:tblLook w:val="04A0" w:firstRow="1" w:lastRow="0" w:firstColumn="1" w:lastColumn="0" w:noHBand="0" w:noVBand="1"/>
      </w:tblPr>
      <w:tblGrid>
        <w:gridCol w:w="9062"/>
      </w:tblGrid>
      <w:tr w:rsidR="00B44ECD" w14:paraId="04805497" w14:textId="77777777" w:rsidTr="00B44ECD">
        <w:tc>
          <w:tcPr>
            <w:tcW w:w="9062" w:type="dxa"/>
          </w:tcPr>
          <w:p w14:paraId="06161E36" w14:textId="77777777" w:rsidR="00173796" w:rsidRPr="00134297" w:rsidRDefault="00173796" w:rsidP="00173796">
            <w:pPr>
              <w:rPr>
                <w:lang w:eastAsia="x-none"/>
              </w:rPr>
            </w:pPr>
            <w:r w:rsidRPr="003C668C">
              <w:rPr>
                <w:highlight w:val="green"/>
                <w:lang w:eastAsia="x-none"/>
              </w:rPr>
              <w:t>Agreement:</w:t>
            </w:r>
            <w:r w:rsidRPr="00134297">
              <w:rPr>
                <w:lang w:eastAsia="x-none"/>
              </w:rPr>
              <w:t xml:space="preserve"> </w:t>
            </w:r>
          </w:p>
          <w:p w14:paraId="1991B1B2" w14:textId="77777777" w:rsidR="00173796" w:rsidRPr="00635E90" w:rsidRDefault="00173796" w:rsidP="00173796">
            <w:pPr>
              <w:rPr>
                <w:lang w:eastAsia="x-none"/>
              </w:rPr>
            </w:pPr>
            <w:r w:rsidRPr="00134297">
              <w:rPr>
                <w:lang w:eastAsia="x-none"/>
              </w:rPr>
              <w:t>Case 2, i.e. CDRX, is optionally evaluated for UE power consumption evaluation</w:t>
            </w:r>
          </w:p>
          <w:p w14:paraId="055AB65C" w14:textId="77777777" w:rsidR="00173796" w:rsidRDefault="00173796" w:rsidP="00173796">
            <w:pPr>
              <w:rPr>
                <w:highlight w:val="yellow"/>
                <w:lang w:eastAsia="x-none"/>
              </w:rPr>
            </w:pPr>
          </w:p>
          <w:p w14:paraId="04129FD9" w14:textId="77777777" w:rsidR="00173796" w:rsidRPr="00134297" w:rsidRDefault="00173796" w:rsidP="00173796">
            <w:pPr>
              <w:rPr>
                <w:lang w:eastAsia="x-none"/>
              </w:rPr>
            </w:pPr>
            <w:r w:rsidRPr="003C668C">
              <w:rPr>
                <w:highlight w:val="green"/>
                <w:lang w:eastAsia="x-none"/>
              </w:rPr>
              <w:t>Agreement:</w:t>
            </w:r>
          </w:p>
          <w:p w14:paraId="598AF2B1" w14:textId="77777777" w:rsidR="00173796" w:rsidRDefault="00173796" w:rsidP="00173796">
            <w:pPr>
              <w:rPr>
                <w:lang w:eastAsia="x-none"/>
              </w:rPr>
            </w:pPr>
            <w:r w:rsidRPr="00134297">
              <w:rPr>
                <w:lang w:eastAsia="x-none"/>
              </w:rPr>
              <w:t>For XR power consumption evaluation, CDRX parameters are reported by companies</w:t>
            </w:r>
          </w:p>
          <w:p w14:paraId="40CC9F7A" w14:textId="77777777" w:rsidR="00173796" w:rsidRDefault="00173796" w:rsidP="00173796">
            <w:pPr>
              <w:rPr>
                <w:lang w:eastAsia="x-none"/>
              </w:rPr>
            </w:pPr>
          </w:p>
          <w:p w14:paraId="050ED4D4" w14:textId="77777777" w:rsidR="00173796" w:rsidRDefault="00173796" w:rsidP="00173796">
            <w:pPr>
              <w:rPr>
                <w:lang w:eastAsia="x-none"/>
              </w:rPr>
            </w:pPr>
            <w:r w:rsidRPr="009F754F">
              <w:rPr>
                <w:highlight w:val="green"/>
                <w:lang w:eastAsia="x-none"/>
              </w:rPr>
              <w:t>Agreement:</w:t>
            </w:r>
          </w:p>
          <w:p w14:paraId="250783C3" w14:textId="77777777" w:rsidR="00173796" w:rsidRPr="007B7100" w:rsidRDefault="00173796" w:rsidP="00173796">
            <w:pPr>
              <w:rPr>
                <w:szCs w:val="20"/>
                <w:lang w:eastAsia="zh-CN"/>
              </w:rPr>
            </w:pPr>
            <w:r w:rsidRPr="007B7100">
              <w:rPr>
                <w:lang w:eastAsia="zh-CN"/>
              </w:rPr>
              <w:t xml:space="preserve">For UL UE power consumption evaluation, </w:t>
            </w:r>
            <w:r>
              <w:rPr>
                <w:lang w:eastAsia="zh-CN"/>
              </w:rPr>
              <w:t>the following is encouraged</w:t>
            </w:r>
          </w:p>
          <w:p w14:paraId="2C5692E7" w14:textId="77777777" w:rsidR="00173796" w:rsidRDefault="00173796" w:rsidP="00173796">
            <w:pPr>
              <w:numPr>
                <w:ilvl w:val="0"/>
                <w:numId w:val="36"/>
              </w:numPr>
              <w:rPr>
                <w:lang w:eastAsia="x-none"/>
              </w:rPr>
            </w:pPr>
            <w:r w:rsidRPr="007B7100">
              <w:rPr>
                <w:lang w:eastAsia="x-none"/>
              </w:rPr>
              <w:t xml:space="preserve">Linear interpolation method in linear scale for Tx power values other than 0 dBm and 23 dBm </w:t>
            </w:r>
          </w:p>
          <w:p w14:paraId="104E7133" w14:textId="77777777" w:rsidR="00173796" w:rsidRDefault="00173796" w:rsidP="00173796">
            <w:pPr>
              <w:numPr>
                <w:ilvl w:val="1"/>
                <w:numId w:val="36"/>
              </w:numPr>
              <w:rPr>
                <w:lang w:eastAsia="x-none"/>
              </w:rPr>
            </w:pPr>
            <w:r>
              <w:rPr>
                <w:lang w:eastAsia="x-none"/>
              </w:rPr>
              <w:t>Companies should indicate how they do linear interpolation method in linear scale considering step-wise linear average of UE power model</w:t>
            </w:r>
          </w:p>
          <w:p w14:paraId="2C597DBB" w14:textId="77777777" w:rsidR="00173796" w:rsidRDefault="00173796" w:rsidP="00173796">
            <w:pPr>
              <w:numPr>
                <w:ilvl w:val="1"/>
                <w:numId w:val="36"/>
              </w:numPr>
              <w:rPr>
                <w:lang w:eastAsia="x-none"/>
              </w:rPr>
            </w:pPr>
            <w:r>
              <w:rPr>
                <w:lang w:eastAsia="x-none"/>
              </w:rPr>
              <w:t>FFS: Further clarifications on linear interpolation method in linear scale considering step-wise linear average of UE power model</w:t>
            </w:r>
          </w:p>
          <w:p w14:paraId="00393E5D" w14:textId="77777777" w:rsidR="00173796" w:rsidRDefault="00173796" w:rsidP="00173796">
            <w:pPr>
              <w:numPr>
                <w:ilvl w:val="0"/>
                <w:numId w:val="36"/>
              </w:numPr>
              <w:rPr>
                <w:lang w:eastAsia="x-none"/>
              </w:rPr>
            </w:pPr>
            <w:r>
              <w:rPr>
                <w:lang w:eastAsia="x-none"/>
              </w:rPr>
              <w:t>Other methods that can be used for evaluation</w:t>
            </w:r>
            <w:r w:rsidRPr="007B7100">
              <w:rPr>
                <w:lang w:eastAsia="x-none"/>
              </w:rPr>
              <w:t xml:space="preserve">: Consider only two Tx power values as defined in TR 38.840 </w:t>
            </w:r>
          </w:p>
          <w:p w14:paraId="2F1A1794" w14:textId="77777777" w:rsidR="00173796" w:rsidRDefault="00173796" w:rsidP="00173796">
            <w:pPr>
              <w:numPr>
                <w:ilvl w:val="1"/>
                <w:numId w:val="36"/>
              </w:numPr>
              <w:rPr>
                <w:lang w:eastAsia="x-none"/>
              </w:rPr>
            </w:pPr>
            <w:r w:rsidRPr="007B7100">
              <w:t xml:space="preserve">Power number is given as A for X= [0, </w:t>
            </w:r>
            <w:proofErr w:type="gramStart"/>
            <w:r w:rsidRPr="007B7100">
              <w:t>M]dBm</w:t>
            </w:r>
            <w:proofErr w:type="gramEnd"/>
            <w:r w:rsidRPr="007B7100">
              <w:t xml:space="preserve"> and B for X =[M, 23]dBm, where A and B (defined in 38.840) correspond to power consumption numbers for a given uplink slot for 0dBm and 23dBm respectively. </w:t>
            </w:r>
          </w:p>
          <w:p w14:paraId="17075F89" w14:textId="77777777" w:rsidR="00173796" w:rsidRDefault="00173796" w:rsidP="00173796">
            <w:pPr>
              <w:numPr>
                <w:ilvl w:val="2"/>
                <w:numId w:val="36"/>
              </w:numPr>
              <w:rPr>
                <w:lang w:eastAsia="x-none"/>
              </w:rPr>
            </w:pPr>
            <w:r w:rsidRPr="007B7100">
              <w:t>M = [20]</w:t>
            </w:r>
          </w:p>
          <w:p w14:paraId="10E8D9AC" w14:textId="77777777" w:rsidR="00173796" w:rsidRPr="007B7100" w:rsidRDefault="00173796" w:rsidP="00173796">
            <w:pPr>
              <w:numPr>
                <w:ilvl w:val="2"/>
                <w:numId w:val="36"/>
              </w:numPr>
              <w:rPr>
                <w:lang w:eastAsia="x-none"/>
              </w:rPr>
            </w:pPr>
            <w:r w:rsidRPr="007B7100">
              <w:t>Other value(s) of M can be optionally evaluated</w:t>
            </w:r>
          </w:p>
          <w:p w14:paraId="4D3AF472" w14:textId="77777777" w:rsidR="00C102EE" w:rsidRDefault="00C102EE" w:rsidP="00173796">
            <w:pPr>
              <w:rPr>
                <w:highlight w:val="green"/>
                <w:lang w:eastAsia="x-none"/>
              </w:rPr>
            </w:pPr>
          </w:p>
          <w:p w14:paraId="45B2D352" w14:textId="24F7B080" w:rsidR="00173796" w:rsidRDefault="00173796" w:rsidP="00173796">
            <w:pPr>
              <w:rPr>
                <w:lang w:eastAsia="x-none"/>
              </w:rPr>
            </w:pPr>
            <w:r w:rsidRPr="005A23B7">
              <w:rPr>
                <w:highlight w:val="green"/>
                <w:lang w:eastAsia="x-none"/>
              </w:rPr>
              <w:t>Agreement:</w:t>
            </w:r>
            <w:r w:rsidRPr="005A23B7">
              <w:rPr>
                <w:lang w:eastAsia="x-none"/>
              </w:rPr>
              <w:t xml:space="preserve"> </w:t>
            </w:r>
          </w:p>
          <w:p w14:paraId="7861D50A" w14:textId="77777777" w:rsidR="00173796" w:rsidRPr="005A23B7" w:rsidRDefault="00173796" w:rsidP="00173796">
            <w:pPr>
              <w:rPr>
                <w:lang w:eastAsia="x-none"/>
              </w:rPr>
            </w:pPr>
            <w:r w:rsidRPr="005A23B7">
              <w:rPr>
                <w:lang w:eastAsia="x-none"/>
              </w:rPr>
              <w:t xml:space="preserve">For XR/CG capacity evaluation, when DL and UL performances are evaluated independently, the system capacity for DL capacity and UL capacity are reported respectively. </w:t>
            </w:r>
          </w:p>
          <w:p w14:paraId="5C36E22F" w14:textId="77777777" w:rsidR="00173796" w:rsidRPr="005A23B7" w:rsidRDefault="00173796" w:rsidP="00173796">
            <w:pPr>
              <w:numPr>
                <w:ilvl w:val="0"/>
                <w:numId w:val="37"/>
              </w:numPr>
              <w:rPr>
                <w:lang w:eastAsia="x-none"/>
              </w:rPr>
            </w:pPr>
            <w:r w:rsidRPr="005A23B7">
              <w:rPr>
                <w:lang w:eastAsia="x-none"/>
              </w:rPr>
              <w:t>FFS whether/how to determine the joint capacity for DL and UL after companies have submitted evaluation results</w:t>
            </w:r>
          </w:p>
          <w:p w14:paraId="40900129" w14:textId="77777777" w:rsidR="00173796" w:rsidRDefault="00173796" w:rsidP="00173796">
            <w:pPr>
              <w:rPr>
                <w:b/>
                <w:bCs/>
                <w:lang w:eastAsia="x-none"/>
              </w:rPr>
            </w:pPr>
          </w:p>
          <w:p w14:paraId="6F8964CC" w14:textId="77777777" w:rsidR="00173796" w:rsidRPr="005A23B7" w:rsidRDefault="00173796" w:rsidP="00173796">
            <w:pPr>
              <w:rPr>
                <w:u w:val="single"/>
                <w:lang w:eastAsia="x-none"/>
              </w:rPr>
            </w:pPr>
            <w:r w:rsidRPr="005A23B7">
              <w:rPr>
                <w:u w:val="single"/>
                <w:lang w:eastAsia="x-none"/>
              </w:rPr>
              <w:t>Conclusion:</w:t>
            </w:r>
          </w:p>
          <w:p w14:paraId="04ECDD53" w14:textId="77777777" w:rsidR="00173796" w:rsidRPr="005A23B7" w:rsidRDefault="00173796" w:rsidP="00173796">
            <w:pPr>
              <w:rPr>
                <w:b/>
                <w:bCs/>
                <w:lang w:eastAsia="x-none"/>
              </w:rPr>
            </w:pPr>
            <w:r w:rsidRPr="005A23B7">
              <w:rPr>
                <w:lang w:eastAsia="x-none"/>
              </w:rPr>
              <w:t xml:space="preserve">It is up to companies to choose either Option 1 (DDDSU) or Option 2 (DDDUU) for TDD configuration (as per previous agreements) and do the evaluation. </w:t>
            </w:r>
          </w:p>
          <w:p w14:paraId="4E8FAEAD" w14:textId="77777777" w:rsidR="00173796" w:rsidRDefault="00173796" w:rsidP="00173796">
            <w:pPr>
              <w:rPr>
                <w:b/>
                <w:bCs/>
                <w:lang w:eastAsia="x-none"/>
              </w:rPr>
            </w:pPr>
          </w:p>
          <w:p w14:paraId="792D0CB8" w14:textId="77777777" w:rsidR="00173796" w:rsidRPr="005A23B7" w:rsidRDefault="00173796" w:rsidP="00173796">
            <w:pPr>
              <w:rPr>
                <w:lang w:eastAsia="x-none"/>
              </w:rPr>
            </w:pPr>
            <w:r w:rsidRPr="005A23B7">
              <w:rPr>
                <w:highlight w:val="green"/>
                <w:lang w:eastAsia="x-none"/>
              </w:rPr>
              <w:t>Agreement:</w:t>
            </w:r>
          </w:p>
          <w:p w14:paraId="504DE1EF" w14:textId="77777777" w:rsidR="00173796" w:rsidRPr="005A23B7" w:rsidRDefault="00173796" w:rsidP="00173796">
            <w:pPr>
              <w:rPr>
                <w:lang w:eastAsia="x-none"/>
              </w:rPr>
            </w:pPr>
            <w:r w:rsidRPr="005A23B7">
              <w:rPr>
                <w:lang w:eastAsia="x-none"/>
              </w:rPr>
              <w:t>It is up to each company to report the following performance metrics optionally</w:t>
            </w:r>
          </w:p>
          <w:p w14:paraId="56E167AA" w14:textId="77777777" w:rsidR="00173796" w:rsidRPr="005A23B7" w:rsidRDefault="00173796" w:rsidP="00173796">
            <w:pPr>
              <w:numPr>
                <w:ilvl w:val="0"/>
                <w:numId w:val="37"/>
              </w:numPr>
              <w:rPr>
                <w:lang w:eastAsia="x-none"/>
              </w:rPr>
            </w:pPr>
            <w:r w:rsidRPr="005A23B7">
              <w:rPr>
                <w:lang w:eastAsia="x-none"/>
              </w:rPr>
              <w:lastRenderedPageBreak/>
              <w:t>Percentage of satisfied UEs</w:t>
            </w:r>
          </w:p>
          <w:p w14:paraId="2052B66F" w14:textId="77777777" w:rsidR="00173796" w:rsidRPr="005A23B7" w:rsidRDefault="00173796" w:rsidP="00173796">
            <w:pPr>
              <w:numPr>
                <w:ilvl w:val="0"/>
                <w:numId w:val="37"/>
              </w:numPr>
              <w:rPr>
                <w:lang w:eastAsia="x-none"/>
              </w:rPr>
            </w:pPr>
            <w:r w:rsidRPr="005A23B7">
              <w:rPr>
                <w:lang w:eastAsia="x-none"/>
              </w:rPr>
              <w:t xml:space="preserve">CDF of packet error ratio </w:t>
            </w:r>
          </w:p>
          <w:p w14:paraId="202D735A" w14:textId="77777777" w:rsidR="00173796" w:rsidRPr="005A23B7" w:rsidRDefault="00173796" w:rsidP="00173796">
            <w:pPr>
              <w:numPr>
                <w:ilvl w:val="0"/>
                <w:numId w:val="37"/>
              </w:numPr>
              <w:rPr>
                <w:lang w:eastAsia="x-none"/>
              </w:rPr>
            </w:pPr>
            <w:r w:rsidRPr="005A23B7">
              <w:rPr>
                <w:lang w:eastAsia="x-none"/>
              </w:rPr>
              <w:t>CDF of packet latency</w:t>
            </w:r>
          </w:p>
          <w:p w14:paraId="0AAF11ED" w14:textId="77777777" w:rsidR="00173796" w:rsidRPr="005A23B7" w:rsidRDefault="00173796" w:rsidP="00173796">
            <w:pPr>
              <w:numPr>
                <w:ilvl w:val="0"/>
                <w:numId w:val="37"/>
              </w:numPr>
              <w:rPr>
                <w:lang w:eastAsia="x-none"/>
              </w:rPr>
            </w:pPr>
            <w:r w:rsidRPr="005A23B7">
              <w:rPr>
                <w:lang w:eastAsia="x-none"/>
              </w:rPr>
              <w:t>CDF of user-perceived throughput</w:t>
            </w:r>
          </w:p>
          <w:p w14:paraId="794F567C" w14:textId="77777777" w:rsidR="00173796" w:rsidRPr="005A23B7" w:rsidRDefault="00173796" w:rsidP="00173796">
            <w:pPr>
              <w:numPr>
                <w:ilvl w:val="0"/>
                <w:numId w:val="37"/>
              </w:numPr>
              <w:rPr>
                <w:lang w:eastAsia="x-none"/>
              </w:rPr>
            </w:pPr>
            <w:r w:rsidRPr="005A23B7">
              <w:rPr>
                <w:lang w:eastAsia="x-none"/>
              </w:rPr>
              <w:t>Resource utilization</w:t>
            </w:r>
          </w:p>
          <w:p w14:paraId="73B5C562" w14:textId="77777777" w:rsidR="00173796" w:rsidRPr="005A23B7" w:rsidRDefault="00173796" w:rsidP="00173796">
            <w:pPr>
              <w:rPr>
                <w:lang w:eastAsia="x-none"/>
              </w:rPr>
            </w:pPr>
            <w:r w:rsidRPr="005A23B7">
              <w:rPr>
                <w:lang w:eastAsia="x-none"/>
              </w:rPr>
              <w:t>Note: it does not mean all the optional performance metrics will be captured in the TR. How to use these optional reported metrics and whether to capture in the TR can be separate discussion after there are substantial evaluation results.</w:t>
            </w:r>
          </w:p>
          <w:p w14:paraId="1F624800" w14:textId="77777777" w:rsidR="00173796" w:rsidRDefault="00173796" w:rsidP="00173796">
            <w:pPr>
              <w:rPr>
                <w:b/>
                <w:bCs/>
                <w:lang w:eastAsia="x-none"/>
              </w:rPr>
            </w:pPr>
          </w:p>
          <w:p w14:paraId="1870E42C" w14:textId="77777777" w:rsidR="00173796" w:rsidRPr="005A23B7" w:rsidRDefault="00173796" w:rsidP="00173796">
            <w:pPr>
              <w:rPr>
                <w:lang w:eastAsia="x-none"/>
              </w:rPr>
            </w:pPr>
            <w:r w:rsidRPr="005A23B7">
              <w:rPr>
                <w:highlight w:val="green"/>
                <w:lang w:eastAsia="x-none"/>
              </w:rPr>
              <w:t>Agreement:</w:t>
            </w:r>
            <w:r w:rsidRPr="005A23B7">
              <w:rPr>
                <w:lang w:eastAsia="x-none"/>
              </w:rPr>
              <w:t> </w:t>
            </w:r>
          </w:p>
          <w:p w14:paraId="3DEE19FE" w14:textId="77777777" w:rsidR="00173796" w:rsidRPr="005A23B7" w:rsidRDefault="00173796" w:rsidP="00173796">
            <w:pPr>
              <w:rPr>
                <w:lang w:eastAsia="x-none"/>
              </w:rPr>
            </w:pPr>
            <w:r w:rsidRPr="005A23B7">
              <w:rPr>
                <w:lang w:eastAsia="x-none"/>
              </w:rPr>
              <w:t>For XR power evaluation (including baseline and power saving schemes), companies report both Option 1 and Option 2 results for evaluating the power saving gain.</w:t>
            </w:r>
          </w:p>
          <w:p w14:paraId="7267ECFA" w14:textId="77777777" w:rsidR="00173796" w:rsidRPr="005A23B7" w:rsidRDefault="00173796" w:rsidP="00173796">
            <w:pPr>
              <w:numPr>
                <w:ilvl w:val="0"/>
                <w:numId w:val="37"/>
              </w:numPr>
              <w:rPr>
                <w:lang w:eastAsia="x-none"/>
              </w:rPr>
            </w:pPr>
            <w:r w:rsidRPr="005A23B7">
              <w:rPr>
                <w:lang w:eastAsia="x-none"/>
              </w:rPr>
              <w:t>Option 1: all UEs are considered</w:t>
            </w:r>
          </w:p>
          <w:p w14:paraId="17FB2C82" w14:textId="77777777" w:rsidR="00173796" w:rsidRPr="005A23B7" w:rsidRDefault="00173796" w:rsidP="00173796">
            <w:pPr>
              <w:numPr>
                <w:ilvl w:val="0"/>
                <w:numId w:val="37"/>
              </w:numPr>
              <w:rPr>
                <w:lang w:eastAsia="x-none"/>
              </w:rPr>
            </w:pPr>
            <w:r w:rsidRPr="005A23B7">
              <w:rPr>
                <w:lang w:eastAsia="x-none"/>
              </w:rPr>
              <w:t>Option 2: satisfied UEs only are considered</w:t>
            </w:r>
          </w:p>
          <w:p w14:paraId="54470E19" w14:textId="77777777" w:rsidR="00173796" w:rsidRPr="005A23B7" w:rsidRDefault="00173796" w:rsidP="00173796">
            <w:pPr>
              <w:rPr>
                <w:lang w:eastAsia="x-none"/>
              </w:rPr>
            </w:pPr>
          </w:p>
          <w:p w14:paraId="44F4A914" w14:textId="77777777" w:rsidR="00173796" w:rsidRPr="005A23B7" w:rsidRDefault="00173796" w:rsidP="00173796">
            <w:pPr>
              <w:rPr>
                <w:lang w:eastAsia="x-none"/>
              </w:rPr>
            </w:pPr>
            <w:r w:rsidRPr="005A23B7">
              <w:rPr>
                <w:highlight w:val="green"/>
                <w:lang w:eastAsia="x-none"/>
              </w:rPr>
              <w:t>Agreement:</w:t>
            </w:r>
            <w:r w:rsidRPr="005A23B7">
              <w:rPr>
                <w:lang w:eastAsia="x-none"/>
              </w:rPr>
              <w:t xml:space="preserve"> </w:t>
            </w:r>
          </w:p>
          <w:p w14:paraId="79072F7E" w14:textId="77777777" w:rsidR="00173796" w:rsidRPr="005A23B7" w:rsidRDefault="00173796" w:rsidP="00173796">
            <w:pPr>
              <w:rPr>
                <w:lang w:eastAsia="x-none"/>
              </w:rPr>
            </w:pPr>
            <w:r w:rsidRPr="005A23B7">
              <w:rPr>
                <w:lang w:eastAsia="x-none"/>
              </w:rPr>
              <w:t>For XR/CG power consumption evaluation, for DL and UL,</w:t>
            </w:r>
          </w:p>
          <w:p w14:paraId="23B5DCB3" w14:textId="77777777" w:rsidR="00173796" w:rsidRPr="005A23B7" w:rsidRDefault="00173796" w:rsidP="00173796">
            <w:pPr>
              <w:numPr>
                <w:ilvl w:val="0"/>
                <w:numId w:val="33"/>
              </w:numPr>
              <w:rPr>
                <w:lang w:eastAsia="x-none"/>
              </w:rPr>
            </w:pPr>
            <w:r w:rsidRPr="005A23B7">
              <w:rPr>
                <w:lang w:eastAsia="x-none"/>
              </w:rPr>
              <w:t>Option 1: DL and UL performances are evaluated independently. DL and UL power consumption results are collected separately.</w:t>
            </w:r>
          </w:p>
          <w:p w14:paraId="12E09679" w14:textId="77777777" w:rsidR="00173796" w:rsidRPr="005A23B7" w:rsidRDefault="00173796" w:rsidP="00173796">
            <w:pPr>
              <w:numPr>
                <w:ilvl w:val="0"/>
                <w:numId w:val="33"/>
              </w:numPr>
              <w:rPr>
                <w:lang w:eastAsia="x-none"/>
              </w:rPr>
            </w:pPr>
            <w:r w:rsidRPr="005A23B7">
              <w:rPr>
                <w:lang w:eastAsia="x-none"/>
              </w:rPr>
              <w:t>Option 3: DL and UL performances are evaluated together. DL and UL power consumption are counted to obtain the total power consumption</w:t>
            </w:r>
          </w:p>
          <w:p w14:paraId="4CF95275" w14:textId="77777777" w:rsidR="00173796" w:rsidRPr="005A23B7" w:rsidRDefault="00173796" w:rsidP="00173796">
            <w:pPr>
              <w:numPr>
                <w:ilvl w:val="0"/>
                <w:numId w:val="33"/>
              </w:numPr>
              <w:rPr>
                <w:lang w:eastAsia="x-none"/>
              </w:rPr>
            </w:pPr>
            <w:r w:rsidRPr="005A23B7">
              <w:rPr>
                <w:lang w:eastAsia="x-none"/>
              </w:rPr>
              <w:t>Companies to report the assumptions for power consumption evaluation</w:t>
            </w:r>
          </w:p>
          <w:p w14:paraId="13DD3CAE" w14:textId="77777777" w:rsidR="00173796" w:rsidRDefault="00173796" w:rsidP="00173796">
            <w:pPr>
              <w:rPr>
                <w:b/>
                <w:bCs/>
                <w:lang w:eastAsia="x-none"/>
              </w:rPr>
            </w:pPr>
          </w:p>
          <w:p w14:paraId="296DA173" w14:textId="77777777" w:rsidR="00173796" w:rsidRDefault="00173796" w:rsidP="00173796">
            <w:pPr>
              <w:rPr>
                <w:lang w:eastAsia="x-none"/>
              </w:rPr>
            </w:pPr>
            <w:r w:rsidRPr="005A23B7">
              <w:rPr>
                <w:highlight w:val="green"/>
                <w:lang w:eastAsia="x-none"/>
              </w:rPr>
              <w:t>Agreement:</w:t>
            </w:r>
            <w:r w:rsidRPr="005A23B7">
              <w:rPr>
                <w:lang w:eastAsia="x-none"/>
              </w:rPr>
              <w:t xml:space="preserve"> </w:t>
            </w:r>
          </w:p>
          <w:p w14:paraId="6DD78221" w14:textId="77777777" w:rsidR="00173796" w:rsidRPr="005A23B7" w:rsidRDefault="00173796" w:rsidP="00173796">
            <w:pPr>
              <w:rPr>
                <w:lang w:eastAsia="x-none"/>
              </w:rPr>
            </w:pPr>
            <w:r w:rsidRPr="005A23B7">
              <w:rPr>
                <w:lang w:eastAsia="x-none"/>
              </w:rPr>
              <w:t>For XR UE power consumption evaluation</w:t>
            </w:r>
          </w:p>
          <w:p w14:paraId="7FA82585" w14:textId="77777777" w:rsidR="00173796" w:rsidRPr="005A23B7" w:rsidRDefault="00173796" w:rsidP="00173796">
            <w:pPr>
              <w:numPr>
                <w:ilvl w:val="0"/>
                <w:numId w:val="33"/>
              </w:numPr>
              <w:rPr>
                <w:lang w:eastAsia="x-none"/>
              </w:rPr>
            </w:pPr>
            <w:r w:rsidRPr="005A23B7">
              <w:rPr>
                <w:lang w:eastAsia="x-none"/>
              </w:rPr>
              <w:t xml:space="preserve">The same number of UE per cell are used in baseline and power saving schemes, </w:t>
            </w:r>
          </w:p>
          <w:p w14:paraId="70B45121" w14:textId="77777777" w:rsidR="00173796" w:rsidRPr="005A23B7" w:rsidRDefault="00173796" w:rsidP="00173796">
            <w:pPr>
              <w:numPr>
                <w:ilvl w:val="1"/>
                <w:numId w:val="33"/>
              </w:numPr>
              <w:rPr>
                <w:lang w:eastAsia="x-none"/>
              </w:rPr>
            </w:pPr>
            <w:r w:rsidRPr="005A23B7">
              <w:rPr>
                <w:lang w:eastAsia="x-none"/>
              </w:rPr>
              <w:t>Note: the number of satisfied UEs is reported in the power evaluations (already agreed in RAN1 #104-e).</w:t>
            </w:r>
          </w:p>
          <w:p w14:paraId="50995BE5" w14:textId="77777777" w:rsidR="00173796" w:rsidRPr="005A23B7" w:rsidRDefault="00173796" w:rsidP="00173796">
            <w:pPr>
              <w:numPr>
                <w:ilvl w:val="0"/>
                <w:numId w:val="33"/>
              </w:numPr>
              <w:rPr>
                <w:lang w:eastAsia="x-none"/>
              </w:rPr>
            </w:pPr>
            <w:r w:rsidRPr="005A23B7">
              <w:rPr>
                <w:lang w:eastAsia="x-none"/>
              </w:rPr>
              <w:t xml:space="preserve">Max users/cell at which UE can meet the capacity KPI should be reported for baseline and for different UE PS techniques. </w:t>
            </w:r>
          </w:p>
          <w:p w14:paraId="2667323D" w14:textId="77777777" w:rsidR="00173796" w:rsidRPr="005A23B7" w:rsidRDefault="00173796" w:rsidP="00173796">
            <w:pPr>
              <w:numPr>
                <w:ilvl w:val="1"/>
                <w:numId w:val="33"/>
              </w:numPr>
              <w:rPr>
                <w:lang w:eastAsia="x-none"/>
              </w:rPr>
            </w:pPr>
            <w:r w:rsidRPr="005A23B7">
              <w:rPr>
                <w:lang w:eastAsia="x-none"/>
              </w:rPr>
              <w:t>Results for other cases (e.g. power savings gain for lightly loaded case) can also be reported optionally.</w:t>
            </w:r>
          </w:p>
          <w:p w14:paraId="5FFF2407" w14:textId="77777777" w:rsidR="00173796" w:rsidRPr="005A23B7" w:rsidRDefault="00173796" w:rsidP="00173796">
            <w:pPr>
              <w:numPr>
                <w:ilvl w:val="0"/>
                <w:numId w:val="33"/>
              </w:numPr>
              <w:rPr>
                <w:lang w:eastAsia="x-none"/>
              </w:rPr>
            </w:pPr>
            <w:r w:rsidRPr="005A23B7">
              <w:rPr>
                <w:lang w:eastAsia="x-none"/>
              </w:rPr>
              <w:t>The system capacity for each case (e.g. a given number of UE per cell) for evaluating power saving schemes is reported in power evaluation</w:t>
            </w:r>
          </w:p>
          <w:p w14:paraId="5A160086" w14:textId="77777777" w:rsidR="00173796" w:rsidRPr="005A23B7" w:rsidRDefault="00173796" w:rsidP="00173796">
            <w:pPr>
              <w:rPr>
                <w:b/>
                <w:bCs/>
                <w:lang w:eastAsia="x-none"/>
              </w:rPr>
            </w:pPr>
          </w:p>
          <w:p w14:paraId="191F08AC" w14:textId="77777777" w:rsidR="00173796" w:rsidRPr="005A23B7" w:rsidRDefault="00173796" w:rsidP="00173796">
            <w:pPr>
              <w:rPr>
                <w:u w:val="single"/>
                <w:lang w:eastAsia="x-none"/>
              </w:rPr>
            </w:pPr>
            <w:r w:rsidRPr="005A23B7">
              <w:rPr>
                <w:u w:val="single"/>
                <w:lang w:eastAsia="x-none"/>
              </w:rPr>
              <w:t xml:space="preserve">Conclusion: </w:t>
            </w:r>
          </w:p>
          <w:p w14:paraId="569C68DA" w14:textId="77777777" w:rsidR="00173796" w:rsidRDefault="00173796" w:rsidP="00173796">
            <w:pPr>
              <w:rPr>
                <w:lang w:eastAsia="x-none"/>
              </w:rPr>
            </w:pPr>
            <w:r w:rsidRPr="005A23B7">
              <w:rPr>
                <w:lang w:eastAsia="x-none"/>
              </w:rPr>
              <w:t xml:space="preserve">It is up to company to report either equal number of UEs per cell or unequal number of UEs per cell is assumed for capacity evaluation. </w:t>
            </w:r>
          </w:p>
          <w:p w14:paraId="496F6024" w14:textId="77777777" w:rsidR="00173796" w:rsidRPr="005A23B7" w:rsidRDefault="00173796" w:rsidP="00173796">
            <w:pPr>
              <w:numPr>
                <w:ilvl w:val="0"/>
                <w:numId w:val="33"/>
              </w:numPr>
              <w:rPr>
                <w:lang w:eastAsia="x-none"/>
              </w:rPr>
            </w:pPr>
            <w:r w:rsidRPr="005A23B7">
              <w:rPr>
                <w:lang w:eastAsia="x-none"/>
              </w:rPr>
              <w:t>Note: unequal number of UEs per cell means even average load per cell.</w:t>
            </w:r>
          </w:p>
          <w:p w14:paraId="50C822F6" w14:textId="77777777" w:rsidR="00173796" w:rsidRPr="005A23B7" w:rsidRDefault="00173796" w:rsidP="00173796">
            <w:pPr>
              <w:rPr>
                <w:lang w:eastAsia="x-none"/>
              </w:rPr>
            </w:pPr>
          </w:p>
          <w:p w14:paraId="28F22810" w14:textId="77777777" w:rsidR="00173796" w:rsidRPr="005A23B7" w:rsidRDefault="00173796" w:rsidP="00173796">
            <w:pPr>
              <w:rPr>
                <w:lang w:eastAsia="x-none"/>
              </w:rPr>
            </w:pPr>
            <w:r w:rsidRPr="00D16DB5">
              <w:rPr>
                <w:highlight w:val="green"/>
                <w:lang w:eastAsia="x-none"/>
              </w:rPr>
              <w:t>Agreement</w:t>
            </w:r>
            <w:r w:rsidRPr="005A23B7">
              <w:rPr>
                <w:highlight w:val="green"/>
                <w:lang w:eastAsia="x-none"/>
              </w:rPr>
              <w:t>:</w:t>
            </w:r>
          </w:p>
          <w:p w14:paraId="6CF7A87B" w14:textId="77777777" w:rsidR="00173796" w:rsidRPr="005A23B7" w:rsidRDefault="00173796" w:rsidP="00173796">
            <w:pPr>
              <w:rPr>
                <w:lang w:eastAsia="x-none"/>
              </w:rPr>
            </w:pPr>
            <w:r w:rsidRPr="005A23B7">
              <w:rPr>
                <w:lang w:eastAsia="x-none"/>
              </w:rPr>
              <w:t>For XR/CG capacity evaluation, a packet is considered as lost when it has exceeded the PDB, such that it will be added to the PER and the data of the packet is discarded.</w:t>
            </w:r>
          </w:p>
          <w:p w14:paraId="74075923" w14:textId="77777777" w:rsidR="00173796" w:rsidRPr="005A23B7" w:rsidRDefault="00173796" w:rsidP="00173796">
            <w:pPr>
              <w:numPr>
                <w:ilvl w:val="0"/>
                <w:numId w:val="38"/>
              </w:numPr>
              <w:rPr>
                <w:lang w:eastAsia="x-none"/>
              </w:rPr>
            </w:pPr>
            <w:r w:rsidRPr="005A23B7">
              <w:rPr>
                <w:lang w:eastAsia="x-none"/>
              </w:rPr>
              <w:t>It is up to company to report the details for the packet when it has exceeded the PDB, e.g.</w:t>
            </w:r>
          </w:p>
          <w:p w14:paraId="58F387A1" w14:textId="77777777" w:rsidR="00173796" w:rsidRPr="005A23B7" w:rsidRDefault="00173796" w:rsidP="00173796">
            <w:pPr>
              <w:numPr>
                <w:ilvl w:val="1"/>
                <w:numId w:val="38"/>
              </w:numPr>
              <w:rPr>
                <w:lang w:eastAsia="x-none"/>
              </w:rPr>
            </w:pPr>
            <w:r w:rsidRPr="005A23B7">
              <w:rPr>
                <w:lang w:eastAsia="x-none"/>
              </w:rPr>
              <w:t>Option 1: The packet exceeding the delay is still delivered to the other side</w:t>
            </w:r>
          </w:p>
          <w:p w14:paraId="11A70555" w14:textId="77777777" w:rsidR="00173796" w:rsidRPr="005A23B7" w:rsidRDefault="00173796" w:rsidP="00173796">
            <w:pPr>
              <w:numPr>
                <w:ilvl w:val="1"/>
                <w:numId w:val="38"/>
              </w:numPr>
              <w:rPr>
                <w:lang w:eastAsia="x-none"/>
              </w:rPr>
            </w:pPr>
            <w:r w:rsidRPr="005A23B7">
              <w:rPr>
                <w:lang w:eastAsia="x-none"/>
              </w:rPr>
              <w:t xml:space="preserve">Option 2: The packet (including the non-transmitted part) is discarded at the transmitter (at the </w:t>
            </w:r>
            <w:proofErr w:type="spellStart"/>
            <w:r w:rsidRPr="005A23B7">
              <w:rPr>
                <w:lang w:eastAsia="x-none"/>
              </w:rPr>
              <w:t>gNB</w:t>
            </w:r>
            <w:proofErr w:type="spellEnd"/>
            <w:r w:rsidRPr="005A23B7">
              <w:rPr>
                <w:lang w:eastAsia="x-none"/>
              </w:rPr>
              <w:t xml:space="preserve"> for DL packets and at the UE for UL packets)</w:t>
            </w:r>
          </w:p>
          <w:p w14:paraId="4F843930" w14:textId="77777777" w:rsidR="00173796" w:rsidRPr="005A23B7" w:rsidRDefault="00173796" w:rsidP="00173796">
            <w:pPr>
              <w:numPr>
                <w:ilvl w:val="1"/>
                <w:numId w:val="38"/>
              </w:numPr>
              <w:rPr>
                <w:lang w:eastAsia="x-none"/>
              </w:rPr>
            </w:pPr>
            <w:r w:rsidRPr="005A23B7">
              <w:rPr>
                <w:lang w:eastAsia="x-none"/>
              </w:rPr>
              <w:t>Other options are not precluded</w:t>
            </w:r>
          </w:p>
          <w:p w14:paraId="0CE33BF8" w14:textId="69C09101" w:rsidR="00B44ECD" w:rsidRPr="00173796" w:rsidRDefault="00173796" w:rsidP="00C102EE">
            <w:pPr>
              <w:numPr>
                <w:ilvl w:val="0"/>
                <w:numId w:val="38"/>
              </w:numPr>
              <w:rPr>
                <w:szCs w:val="20"/>
              </w:rPr>
            </w:pPr>
            <w:r w:rsidRPr="005A23B7">
              <w:rPr>
                <w:lang w:eastAsia="x-none"/>
              </w:rPr>
              <w:t>Note</w:t>
            </w:r>
            <w:r>
              <w:rPr>
                <w:lang w:eastAsia="x-none"/>
              </w:rPr>
              <w:t>:</w:t>
            </w:r>
            <w:r w:rsidRPr="005A23B7">
              <w:rPr>
                <w:lang w:eastAsia="x-none"/>
              </w:rPr>
              <w:t xml:space="preserve"> </w:t>
            </w:r>
            <w:r>
              <w:rPr>
                <w:lang w:eastAsia="x-none"/>
              </w:rPr>
              <w:t>T</w:t>
            </w:r>
            <w:r w:rsidRPr="005A23B7">
              <w:rPr>
                <w:lang w:eastAsia="x-none"/>
              </w:rPr>
              <w:t xml:space="preserve">his is for </w:t>
            </w:r>
            <w:r>
              <w:rPr>
                <w:lang w:eastAsia="x-none"/>
              </w:rPr>
              <w:t xml:space="preserve">the purpose of </w:t>
            </w:r>
            <w:r w:rsidRPr="005A23B7">
              <w:rPr>
                <w:lang w:eastAsia="x-none"/>
              </w:rPr>
              <w:t>evaluation</w:t>
            </w:r>
          </w:p>
        </w:tc>
      </w:tr>
    </w:tbl>
    <w:p w14:paraId="6EB79FBC" w14:textId="35C1ABC3" w:rsidR="002328B0" w:rsidRDefault="0011681C" w:rsidP="00497AFF">
      <w:pPr>
        <w:pStyle w:val="00Text"/>
      </w:pPr>
      <w:r>
        <w:lastRenderedPageBreak/>
        <w:t xml:space="preserve">In this </w:t>
      </w:r>
      <w:r w:rsidR="002328B0" w:rsidRPr="00497AFF">
        <w:t>contribution, we</w:t>
      </w:r>
      <w:r>
        <w:t xml:space="preserve"> </w:t>
      </w:r>
      <w:r w:rsidR="0096393E">
        <w:t xml:space="preserve">continue </w:t>
      </w:r>
      <w:r w:rsidR="00BF1B46">
        <w:t xml:space="preserve">to </w:t>
      </w:r>
      <w:r w:rsidR="0096393E">
        <w:t>discuss remaining issues of</w:t>
      </w:r>
      <w:r w:rsidR="009B639B">
        <w:t xml:space="preserve"> evaluation methodolog</w:t>
      </w:r>
      <w:r w:rsidR="00925CDD">
        <w:t>ies</w:t>
      </w:r>
      <w:r w:rsidR="00866937">
        <w:t xml:space="preserve"> and provide our </w:t>
      </w:r>
      <w:r w:rsidR="00746E2E">
        <w:t xml:space="preserve">views and </w:t>
      </w:r>
      <w:r w:rsidR="00866937">
        <w:t xml:space="preserve">preferences on the corresponding issues. </w:t>
      </w:r>
    </w:p>
    <w:p w14:paraId="61DA3ED2" w14:textId="612707CA" w:rsidR="00C80592" w:rsidRDefault="00431EDF" w:rsidP="00C80592">
      <w:pPr>
        <w:pStyle w:val="01"/>
        <w:numPr>
          <w:ilvl w:val="0"/>
          <w:numId w:val="1"/>
        </w:numPr>
        <w:ind w:left="562" w:hanging="562"/>
      </w:pPr>
      <w:r>
        <w:t>Discussion</w:t>
      </w:r>
      <w:r w:rsidR="00637D4A">
        <w:t xml:space="preserve"> on evaluation assumption</w:t>
      </w:r>
    </w:p>
    <w:p w14:paraId="39FD2456" w14:textId="2D64EF2F" w:rsidR="0069792F" w:rsidRDefault="000C7B84" w:rsidP="0080045E">
      <w:pPr>
        <w:pStyle w:val="00Text"/>
        <w:rPr>
          <w:lang w:eastAsia="x-none"/>
        </w:rPr>
      </w:pPr>
      <w:r>
        <w:t xml:space="preserve">There was </w:t>
      </w:r>
      <w:r w:rsidR="00365A0D">
        <w:t>lots of</w:t>
      </w:r>
      <w:r>
        <w:t xml:space="preserve"> discussion on the dependency of DL and UL evaluation</w:t>
      </w:r>
      <w:r w:rsidR="009E027E">
        <w:t xml:space="preserve"> in the last two RAN1 meetings</w:t>
      </w:r>
      <w:r>
        <w:t>. Some companies prefe</w:t>
      </w:r>
      <w:r w:rsidR="004318C1">
        <w:t>r</w:t>
      </w:r>
      <w:r>
        <w:t xml:space="preserve">red the joint evaluation of DL and UL traffic </w:t>
      </w:r>
      <w:r w:rsidR="0076242B">
        <w:t>with</w:t>
      </w:r>
      <w:r w:rsidR="004905A8">
        <w:t xml:space="preserve"> the consideration that joint evaluation</w:t>
      </w:r>
      <w:r>
        <w:t xml:space="preserve"> can better reflect </w:t>
      </w:r>
      <w:r w:rsidR="00D0433F">
        <w:t>the interaction of DL and UL</w:t>
      </w:r>
      <w:r w:rsidR="002F6E36">
        <w:t xml:space="preserve"> traffics</w:t>
      </w:r>
      <w:r w:rsidR="00D0433F">
        <w:t xml:space="preserve"> of </w:t>
      </w:r>
      <w:r>
        <w:t>the practical services. In contrast, most companies thought</w:t>
      </w:r>
      <w:r w:rsidR="00104726">
        <w:t xml:space="preserve"> that</w:t>
      </w:r>
      <w:r>
        <w:t xml:space="preserve"> it is sufficient </w:t>
      </w:r>
      <w:r w:rsidR="00104726">
        <w:t xml:space="preserve">to </w:t>
      </w:r>
      <w:r>
        <w:t>evaluate the performance</w:t>
      </w:r>
      <w:r w:rsidR="00104726">
        <w:t xml:space="preserve"> with separate DL/UL simulation</w:t>
      </w:r>
      <w:r w:rsidR="000D0B04">
        <w:t xml:space="preserve"> and joint simulation of DL and </w:t>
      </w:r>
      <w:r w:rsidR="000D0B04">
        <w:lastRenderedPageBreak/>
        <w:t xml:space="preserve">UL will </w:t>
      </w:r>
      <w:r w:rsidR="00104726">
        <w:t>cause</w:t>
      </w:r>
      <w:r w:rsidR="00414EC7">
        <w:t xml:space="preserve"> additional complexity</w:t>
      </w:r>
      <w:r w:rsidR="004C6D71">
        <w:t xml:space="preserve"> unnecessarily</w:t>
      </w:r>
      <w:r>
        <w:t xml:space="preserve">.  </w:t>
      </w:r>
      <w:r w:rsidR="00F610DB">
        <w:t xml:space="preserve">After lengthy discussion, it was agreed in RAN1#104e </w:t>
      </w:r>
      <w:r w:rsidR="00E11B27">
        <w:t>to use independent DL/UL evaluation as baseline for XR/CG capacity evaluation.</w:t>
      </w:r>
      <w:r w:rsidR="00E32EBB">
        <w:t xml:space="preserve"> </w:t>
      </w:r>
      <w:r w:rsidR="00ED79D3">
        <w:t>The further discussion in</w:t>
      </w:r>
      <w:r w:rsidR="00E32EBB">
        <w:t xml:space="preserve"> </w:t>
      </w:r>
      <w:r w:rsidR="00ED79D3">
        <w:t xml:space="preserve">RAN1#104bis-e </w:t>
      </w:r>
      <w:r w:rsidR="00A16ACA">
        <w:t xml:space="preserve">make additional agreement, but still </w:t>
      </w:r>
      <w:r w:rsidR="00ED79D3">
        <w:t xml:space="preserve">left an FFS part: </w:t>
      </w:r>
      <w:r w:rsidR="00ED79D3" w:rsidRPr="005A23B7">
        <w:rPr>
          <w:lang w:eastAsia="x-none"/>
        </w:rPr>
        <w:t>FFS whether/how to determine the joint capacity for DL and UL after companies have submitted evaluation results</w:t>
      </w:r>
      <w:r w:rsidR="00ED79D3">
        <w:rPr>
          <w:lang w:eastAsia="x-none"/>
        </w:rPr>
        <w:t xml:space="preserve">. </w:t>
      </w:r>
    </w:p>
    <w:tbl>
      <w:tblPr>
        <w:tblStyle w:val="a6"/>
        <w:tblW w:w="0" w:type="auto"/>
        <w:tblLook w:val="04A0" w:firstRow="1" w:lastRow="0" w:firstColumn="1" w:lastColumn="0" w:noHBand="0" w:noVBand="1"/>
      </w:tblPr>
      <w:tblGrid>
        <w:gridCol w:w="9062"/>
      </w:tblGrid>
      <w:tr w:rsidR="00607DA8" w14:paraId="595A4757" w14:textId="77777777" w:rsidTr="00607DA8">
        <w:tc>
          <w:tcPr>
            <w:tcW w:w="9062" w:type="dxa"/>
          </w:tcPr>
          <w:p w14:paraId="776FBCC1" w14:textId="77777777" w:rsidR="00607DA8" w:rsidRDefault="00607DA8" w:rsidP="00607DA8">
            <w:pPr>
              <w:rPr>
                <w:lang w:eastAsia="x-none"/>
              </w:rPr>
            </w:pPr>
            <w:r w:rsidRPr="005A23B7">
              <w:rPr>
                <w:highlight w:val="green"/>
                <w:lang w:eastAsia="x-none"/>
              </w:rPr>
              <w:t>Agreement:</w:t>
            </w:r>
            <w:r w:rsidRPr="005A23B7">
              <w:rPr>
                <w:lang w:eastAsia="x-none"/>
              </w:rPr>
              <w:t xml:space="preserve"> </w:t>
            </w:r>
          </w:p>
          <w:p w14:paraId="14A92463" w14:textId="77777777" w:rsidR="00607DA8" w:rsidRPr="005A23B7" w:rsidRDefault="00607DA8" w:rsidP="00607DA8">
            <w:pPr>
              <w:rPr>
                <w:lang w:eastAsia="x-none"/>
              </w:rPr>
            </w:pPr>
            <w:r w:rsidRPr="005A23B7">
              <w:rPr>
                <w:lang w:eastAsia="x-none"/>
              </w:rPr>
              <w:t xml:space="preserve">For XR/CG capacity evaluation, when DL and UL performances are evaluated independently, the system capacity for DL capacity and UL capacity are reported respectively. </w:t>
            </w:r>
          </w:p>
          <w:p w14:paraId="6A47A38D" w14:textId="018D6A6E" w:rsidR="00607DA8" w:rsidRDefault="00607DA8" w:rsidP="00607DA8">
            <w:pPr>
              <w:numPr>
                <w:ilvl w:val="0"/>
                <w:numId w:val="37"/>
              </w:numPr>
              <w:rPr>
                <w:lang w:eastAsia="x-none"/>
              </w:rPr>
            </w:pPr>
            <w:r w:rsidRPr="00607DA8">
              <w:rPr>
                <w:highlight w:val="yellow"/>
                <w:lang w:eastAsia="x-none"/>
              </w:rPr>
              <w:t>FFS whether/how to determine the joint capacity for DL and UL after companies have submitted evaluation results</w:t>
            </w:r>
          </w:p>
        </w:tc>
      </w:tr>
    </w:tbl>
    <w:p w14:paraId="74850629" w14:textId="619C7DC9" w:rsidR="002F29DB" w:rsidRDefault="00ED79D3" w:rsidP="0080045E">
      <w:pPr>
        <w:pStyle w:val="00Text"/>
        <w:rPr>
          <w:lang w:eastAsia="x-none"/>
        </w:rPr>
      </w:pPr>
      <w:r>
        <w:rPr>
          <w:lang w:eastAsia="x-none"/>
        </w:rPr>
        <w:t xml:space="preserve">From our understanding, if </w:t>
      </w:r>
      <w:r w:rsidRPr="005A23B7">
        <w:rPr>
          <w:lang w:eastAsia="x-none"/>
        </w:rPr>
        <w:t xml:space="preserve">DL and UL </w:t>
      </w:r>
      <w:r>
        <w:rPr>
          <w:lang w:eastAsia="x-none"/>
        </w:rPr>
        <w:t xml:space="preserve">capacity </w:t>
      </w:r>
      <w:r w:rsidRPr="005A23B7">
        <w:rPr>
          <w:lang w:eastAsia="x-none"/>
        </w:rPr>
        <w:t>performances are evaluated independently</w:t>
      </w:r>
      <w:r>
        <w:rPr>
          <w:lang w:eastAsia="x-none"/>
        </w:rPr>
        <w:t xml:space="preserve">, it is difficult to get the exact </w:t>
      </w:r>
      <w:r w:rsidR="002F29DB">
        <w:rPr>
          <w:lang w:eastAsia="x-none"/>
        </w:rPr>
        <w:t>joint capacity. Let’s assume N UEs</w:t>
      </w:r>
      <w:r w:rsidR="00B2002B">
        <w:rPr>
          <w:lang w:eastAsia="x-none"/>
        </w:rPr>
        <w:t xml:space="preserve"> </w:t>
      </w:r>
      <w:r w:rsidR="009A558F">
        <w:rPr>
          <w:lang w:eastAsia="x-none"/>
        </w:rPr>
        <w:t xml:space="preserve">of </w:t>
      </w:r>
      <w:r w:rsidR="00C102EE">
        <w:rPr>
          <w:lang w:eastAsia="x-none"/>
        </w:rPr>
        <w:t>M</w:t>
      </w:r>
      <w:r w:rsidR="009A558F">
        <w:rPr>
          <w:lang w:eastAsia="x-none"/>
        </w:rPr>
        <w:t xml:space="preserve"> Cells </w:t>
      </w:r>
      <w:r w:rsidR="002F29DB">
        <w:rPr>
          <w:lang w:eastAsia="x-none"/>
        </w:rPr>
        <w:t>in one drop of the simulation</w:t>
      </w:r>
    </w:p>
    <w:p w14:paraId="48C168D5" w14:textId="58BD668E" w:rsidR="00ED79D3" w:rsidRDefault="002F29DB" w:rsidP="002F29DB">
      <w:pPr>
        <w:pStyle w:val="00Text"/>
        <w:numPr>
          <w:ilvl w:val="0"/>
          <w:numId w:val="38"/>
        </w:numPr>
        <w:rPr>
          <w:lang w:eastAsia="x-none"/>
        </w:rPr>
      </w:pPr>
      <w:r>
        <w:rPr>
          <w:lang w:eastAsia="x-none"/>
        </w:rPr>
        <w:t xml:space="preserve">For DL, there are </w:t>
      </w:r>
      <w:proofErr w:type="spellStart"/>
      <w:r>
        <w:rPr>
          <w:lang w:eastAsia="x-none"/>
        </w:rPr>
        <w:t>K_dl</w:t>
      </w:r>
      <w:proofErr w:type="spellEnd"/>
      <w:r>
        <w:rPr>
          <w:lang w:eastAsia="x-none"/>
        </w:rPr>
        <w:t xml:space="preserve"> </w:t>
      </w:r>
      <w:r w:rsidR="00B2002B">
        <w:rPr>
          <w:lang w:eastAsia="x-none"/>
        </w:rPr>
        <w:t>un</w:t>
      </w:r>
      <w:r>
        <w:rPr>
          <w:lang w:eastAsia="x-none"/>
        </w:rPr>
        <w:t>satisfied UEs</w:t>
      </w:r>
      <w:r w:rsidR="00B2002B">
        <w:rPr>
          <w:lang w:eastAsia="x-none"/>
        </w:rPr>
        <w:t xml:space="preserve">, where Set K consisting of all these </w:t>
      </w:r>
      <w:proofErr w:type="spellStart"/>
      <w:r w:rsidR="00B2002B">
        <w:rPr>
          <w:lang w:eastAsia="x-none"/>
        </w:rPr>
        <w:t>K_dl</w:t>
      </w:r>
      <w:proofErr w:type="spellEnd"/>
      <w:r w:rsidR="00B2002B">
        <w:rPr>
          <w:lang w:eastAsia="x-none"/>
        </w:rPr>
        <w:t xml:space="preserve"> UEs</w:t>
      </w:r>
      <w:r>
        <w:rPr>
          <w:lang w:eastAsia="x-none"/>
        </w:rPr>
        <w:t>.</w:t>
      </w:r>
      <w:r w:rsidR="00B2002B">
        <w:rPr>
          <w:lang w:eastAsia="x-none"/>
        </w:rPr>
        <w:t xml:space="preserve"> </w:t>
      </w:r>
    </w:p>
    <w:p w14:paraId="32F7A0C6" w14:textId="7514374A" w:rsidR="00B2002B" w:rsidRDefault="00B2002B" w:rsidP="002F29DB">
      <w:pPr>
        <w:pStyle w:val="00Text"/>
        <w:numPr>
          <w:ilvl w:val="0"/>
          <w:numId w:val="38"/>
        </w:numPr>
        <w:rPr>
          <w:lang w:eastAsia="x-none"/>
        </w:rPr>
      </w:pPr>
      <w:r>
        <w:rPr>
          <w:lang w:eastAsia="x-none"/>
        </w:rPr>
        <w:t xml:space="preserve">For UL, there are </w:t>
      </w:r>
      <w:proofErr w:type="spellStart"/>
      <w:r>
        <w:rPr>
          <w:lang w:eastAsia="x-none"/>
        </w:rPr>
        <w:t>T_ul</w:t>
      </w:r>
      <w:proofErr w:type="spellEnd"/>
      <w:r>
        <w:rPr>
          <w:lang w:eastAsia="x-none"/>
        </w:rPr>
        <w:t xml:space="preserve"> unsatisfied UEs, where Set T consisting of all these </w:t>
      </w:r>
      <w:proofErr w:type="spellStart"/>
      <w:r>
        <w:rPr>
          <w:lang w:eastAsia="x-none"/>
        </w:rPr>
        <w:t>T_ul</w:t>
      </w:r>
      <w:proofErr w:type="spellEnd"/>
      <w:r>
        <w:rPr>
          <w:lang w:eastAsia="x-none"/>
        </w:rPr>
        <w:t xml:space="preserve"> UEs.</w:t>
      </w:r>
    </w:p>
    <w:p w14:paraId="73F359D6" w14:textId="77777777" w:rsidR="00B2002B" w:rsidRDefault="00B2002B" w:rsidP="0080045E">
      <w:pPr>
        <w:pStyle w:val="00Text"/>
      </w:pPr>
      <w:r>
        <w:t>Considering two extreme cases</w:t>
      </w:r>
    </w:p>
    <w:p w14:paraId="335AAF67" w14:textId="77777777" w:rsidR="00B2002B" w:rsidRDefault="00B2002B" w:rsidP="00B2002B">
      <w:pPr>
        <w:pStyle w:val="00Text"/>
        <w:numPr>
          <w:ilvl w:val="0"/>
          <w:numId w:val="38"/>
        </w:numPr>
      </w:pPr>
      <w:r>
        <w:t>Case 1: Set K is a subset of Set T, or Set K is the same as Set T, or Set K is a supper set of Set T</w:t>
      </w:r>
    </w:p>
    <w:p w14:paraId="105F53CD" w14:textId="358845AD" w:rsidR="00ED79D3" w:rsidRDefault="00B2002B" w:rsidP="00B2002B">
      <w:pPr>
        <w:pStyle w:val="00Text"/>
        <w:numPr>
          <w:ilvl w:val="1"/>
          <w:numId w:val="38"/>
        </w:numPr>
      </w:pPr>
      <w:r>
        <w:t>The number of the UE satisfied with both DL and UL is N - max (</w:t>
      </w:r>
      <w:proofErr w:type="spellStart"/>
      <w:r>
        <w:t>K_dl</w:t>
      </w:r>
      <w:proofErr w:type="spellEnd"/>
      <w:r>
        <w:t xml:space="preserve">, </w:t>
      </w:r>
      <w:proofErr w:type="spellStart"/>
      <w:r>
        <w:t>T_ul</w:t>
      </w:r>
      <w:proofErr w:type="spellEnd"/>
      <w:r>
        <w:t xml:space="preserve">) </w:t>
      </w:r>
    </w:p>
    <w:p w14:paraId="47E5D5E3" w14:textId="54D3FC32" w:rsidR="00B2002B" w:rsidRDefault="00B2002B" w:rsidP="00B2002B">
      <w:pPr>
        <w:pStyle w:val="00Text"/>
        <w:numPr>
          <w:ilvl w:val="0"/>
          <w:numId w:val="38"/>
        </w:numPr>
      </w:pPr>
      <w:r>
        <w:t xml:space="preserve">Case </w:t>
      </w:r>
      <w:r w:rsidR="00C42F9F">
        <w:t>2</w:t>
      </w:r>
      <w:r>
        <w:t>: No overlapping between Set K and Set T</w:t>
      </w:r>
    </w:p>
    <w:p w14:paraId="26471730" w14:textId="74F54B7A" w:rsidR="00B2002B" w:rsidRDefault="00B2002B" w:rsidP="00B2002B">
      <w:pPr>
        <w:pStyle w:val="00Text"/>
        <w:numPr>
          <w:ilvl w:val="1"/>
          <w:numId w:val="38"/>
        </w:numPr>
      </w:pPr>
      <w:r>
        <w:t xml:space="preserve">The number of the UE satisfied with both DL and UL is N - </w:t>
      </w:r>
      <w:proofErr w:type="spellStart"/>
      <w:r>
        <w:t>K_dl</w:t>
      </w:r>
      <w:proofErr w:type="spellEnd"/>
      <w:r>
        <w:t xml:space="preserve"> - </w:t>
      </w:r>
      <w:proofErr w:type="spellStart"/>
      <w:r>
        <w:t>T_ul</w:t>
      </w:r>
      <w:proofErr w:type="spellEnd"/>
      <w:r>
        <w:t xml:space="preserve">  </w:t>
      </w:r>
    </w:p>
    <w:p w14:paraId="1611CDC5" w14:textId="3ABCB6D7" w:rsidR="00ED79D3" w:rsidRDefault="00C42F9F" w:rsidP="0080045E">
      <w:pPr>
        <w:pStyle w:val="00Text"/>
      </w:pPr>
      <w:r>
        <w:t>From the extreme case 1, we can get an upper bound of the joint capacity:</w:t>
      </w:r>
    </w:p>
    <w:p w14:paraId="5E64E006" w14:textId="2824C9B8" w:rsidR="00C42F9F" w:rsidRDefault="00C42F9F" w:rsidP="0080045E">
      <w:pPr>
        <w:pStyle w:val="00Text"/>
      </w:pPr>
      <m:oMathPara>
        <m:oMath>
          <m:r>
            <w:rPr>
              <w:rFonts w:ascii="Cambria Math" w:hAnsi="Cambria Math"/>
            </w:rPr>
            <m:t>Joint capacity≤</m:t>
          </m:r>
          <m:func>
            <m:funcPr>
              <m:ctrlPr>
                <w:rPr>
                  <w:rFonts w:ascii="Cambria Math" w:hAnsi="Cambria Math"/>
                  <w:i/>
                </w:rPr>
              </m:ctrlPr>
            </m:funcPr>
            <m:fName>
              <m:r>
                <m:rPr>
                  <m:sty m:val="p"/>
                </m:rPr>
                <w:rPr>
                  <w:rFonts w:ascii="Cambria Math" w:hAnsi="Cambria Math"/>
                </w:rPr>
                <m:t>min</m:t>
              </m:r>
            </m:fName>
            <m:e>
              <m:d>
                <m:dPr>
                  <m:ctrlPr>
                    <w:rPr>
                      <w:rFonts w:ascii="Cambria Math" w:hAnsi="Cambria Math"/>
                      <w:i/>
                    </w:rPr>
                  </m:ctrlPr>
                </m:dPr>
                <m:e>
                  <m:r>
                    <w:rPr>
                      <w:rFonts w:ascii="Cambria Math" w:hAnsi="Cambria Math"/>
                    </w:rPr>
                    <m:t>DL capacity, UL capacity</m:t>
                  </m:r>
                </m:e>
              </m:d>
            </m:e>
          </m:func>
        </m:oMath>
      </m:oMathPara>
    </w:p>
    <w:p w14:paraId="19286791" w14:textId="579CB4F5" w:rsidR="00C42F9F" w:rsidRDefault="00C42F9F" w:rsidP="0080045E">
      <w:pPr>
        <w:pStyle w:val="00Text"/>
      </w:pPr>
      <w:r>
        <w:t xml:space="preserve">From the extreme case 2, we can get a lower bound of the joint capacity. However, this lower bound cannot be derived from the DL capacity and UL capacity directly. </w:t>
      </w:r>
      <w:r w:rsidR="0097053F">
        <w:t xml:space="preserve"> It can be g</w:t>
      </w:r>
      <w:r w:rsidR="00C102EE">
        <w:t>o</w:t>
      </w:r>
      <w:r w:rsidR="0097053F">
        <w:t>t from the following formula:</w:t>
      </w:r>
    </w:p>
    <w:p w14:paraId="1D418E3A" w14:textId="52F78E02" w:rsidR="0008526D" w:rsidRDefault="0008526D" w:rsidP="0008526D">
      <w:pPr>
        <w:pStyle w:val="00Text"/>
      </w:pPr>
      <m:oMathPara>
        <m:oMath>
          <m:r>
            <w:rPr>
              <w:rFonts w:ascii="Cambria Math" w:hAnsi="Cambria Math"/>
            </w:rPr>
            <m:t>Joint capacity≥</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0</m:t>
                  </m:r>
                </m:sub>
              </m:sSub>
            </m:num>
            <m:den>
              <m:r>
                <w:rPr>
                  <w:rFonts w:ascii="Cambria Math" w:hAnsi="Cambria Math"/>
                </w:rPr>
                <m:t>M</m:t>
              </m:r>
            </m:den>
          </m:f>
          <m:r>
            <w:rPr>
              <w:rFonts w:ascii="Cambria Math" w:hAnsi="Cambria Math"/>
            </w:rPr>
            <m:t xml:space="preserve">, </m:t>
          </m:r>
        </m:oMath>
      </m:oMathPara>
    </w:p>
    <w:p w14:paraId="41CE2A82" w14:textId="02694A42" w:rsidR="0008526D" w:rsidRDefault="00C102EE" w:rsidP="0080045E">
      <w:pPr>
        <w:pStyle w:val="00Text"/>
      </w:pPr>
      <w:r w:rsidRPr="0097053F">
        <w:t>W</w:t>
      </w:r>
      <w:r w:rsidR="0097053F" w:rsidRPr="0097053F">
        <w:t>here</w:t>
      </w:r>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is the maximal value such that</w:t>
      </w:r>
      <w:r w:rsidR="0097053F" w:rsidRPr="0097053F">
        <w:t xml:space="preserve"> when there are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97053F" w:rsidRPr="0097053F">
        <w:t xml:space="preserve">  users in all cells,</w:t>
      </w:r>
      <w:r>
        <w:t xml:space="preserve"> X% users are satisfied for DL and Y% users are satisfied for UL where </w:t>
      </w:r>
      <m:oMath>
        <m:r>
          <w:rPr>
            <w:rFonts w:ascii="Cambria Math" w:hAnsi="Cambria Math"/>
          </w:rPr>
          <m:t xml:space="preserve">1- </m:t>
        </m:r>
        <m:d>
          <m:dPr>
            <m:ctrlPr>
              <w:rPr>
                <w:rFonts w:ascii="Cambria Math" w:hAnsi="Cambria Math"/>
                <w:i/>
              </w:rPr>
            </m:ctrlPr>
          </m:dPr>
          <m:e>
            <m:r>
              <w:rPr>
                <w:rFonts w:ascii="Cambria Math" w:hAnsi="Cambria Math"/>
              </w:rPr>
              <m:t>1-X%</m:t>
            </m:r>
          </m:e>
        </m:d>
        <m:r>
          <w:rPr>
            <w:rFonts w:ascii="Cambria Math" w:hAnsi="Cambria Math"/>
          </w:rPr>
          <m:t>-</m:t>
        </m:r>
        <m:d>
          <m:dPr>
            <m:ctrlPr>
              <w:rPr>
                <w:rFonts w:ascii="Cambria Math" w:hAnsi="Cambria Math"/>
                <w:i/>
              </w:rPr>
            </m:ctrlPr>
          </m:dPr>
          <m:e>
            <m:r>
              <w:rPr>
                <w:rFonts w:ascii="Cambria Math" w:hAnsi="Cambria Math"/>
              </w:rPr>
              <m:t>1-Y%</m:t>
            </m:r>
          </m:e>
        </m:d>
        <m:r>
          <w:rPr>
            <w:rFonts w:ascii="Cambria Math" w:hAnsi="Cambria Math"/>
          </w:rPr>
          <m:t>≥90%</m:t>
        </m:r>
      </m:oMath>
    </w:p>
    <w:p w14:paraId="1A45395B" w14:textId="7A5208D3" w:rsidR="00C42F9F" w:rsidRDefault="00CE3B9C" w:rsidP="0080045E">
      <w:pPr>
        <w:pStyle w:val="00Text"/>
      </w:pPr>
      <w:r>
        <w:t xml:space="preserve">Based on the aforementioned discussion, </w:t>
      </w:r>
      <w:r w:rsidR="007C75D1">
        <w:t>we can see that it cannot</w:t>
      </w:r>
      <w:r>
        <w:t xml:space="preserve"> get the exact value of the joint capacity if the DL and UL capacity evaluations are calculated independently. </w:t>
      </w:r>
      <w:r w:rsidR="00AF3EAA">
        <w:t>We can only get some information (e.g., upper bound, lower bound) of the joint capacity from the independent evaluation of DL and UL capacity.</w:t>
      </w:r>
      <w:r w:rsidR="007C75D1">
        <w:t xml:space="preserve"> </w:t>
      </w:r>
      <w:r w:rsidR="00FD5E54">
        <w:t>Moreover, it is difficult to determine how tight of the upper and lower bound</w:t>
      </w:r>
      <w:r w:rsidR="002451A1">
        <w:t>s. Thus, we suggest the following proposal:</w:t>
      </w:r>
    </w:p>
    <w:p w14:paraId="38A5DA8C" w14:textId="588BC51B" w:rsidR="00636F03" w:rsidRDefault="00636F03" w:rsidP="00636F03">
      <w:pPr>
        <w:pStyle w:val="000proposal"/>
        <w:ind w:left="992" w:hanging="992"/>
      </w:pPr>
      <w:r>
        <w:t>Proposal</w:t>
      </w:r>
      <w:r w:rsidRPr="00DE2915">
        <w:t xml:space="preserve"> </w:t>
      </w:r>
      <w:r>
        <w:t>1</w:t>
      </w:r>
      <w:r w:rsidRPr="00DE2915">
        <w:t xml:space="preserve">: </w:t>
      </w:r>
      <w:r w:rsidR="00AF3EAA">
        <w:t>For XR/CG capacity evaluation, when DL and UL performances are evaluated independently</w:t>
      </w:r>
      <w:r>
        <w:t>,</w:t>
      </w:r>
      <w:r w:rsidR="00AF3EAA">
        <w:t xml:space="preserve"> no need to </w:t>
      </w:r>
      <w:r w:rsidR="00F66CB3">
        <w:t>introduce the joint capacity</w:t>
      </w:r>
    </w:p>
    <w:p w14:paraId="0BE9CE85" w14:textId="77777777" w:rsidR="0069792F" w:rsidRDefault="0069792F" w:rsidP="003301E3">
      <w:pPr>
        <w:pStyle w:val="00Text"/>
        <w:spacing w:before="0" w:after="0" w:line="240" w:lineRule="auto"/>
      </w:pPr>
    </w:p>
    <w:p w14:paraId="5DD8FF37" w14:textId="37A92B53" w:rsidR="00AA74E5" w:rsidRDefault="00905F62" w:rsidP="003301E3">
      <w:pPr>
        <w:pStyle w:val="00Text"/>
        <w:spacing w:before="0"/>
      </w:pPr>
      <w:r>
        <w:t>For TDD</w:t>
      </w:r>
      <w:r w:rsidR="00AA74E5">
        <w:t xml:space="preserve"> DL/UL configurations, RAN1 agreed two options for both FR1 and FR2. There </w:t>
      </w:r>
      <w:r w:rsidR="00F66CB3">
        <w:t>is</w:t>
      </w:r>
      <w:r w:rsidR="00AA74E5">
        <w:t xml:space="preserve"> still </w:t>
      </w:r>
      <w:r w:rsidR="00F66CB3">
        <w:t>a</w:t>
      </w:r>
      <w:r w:rsidR="00AA74E5">
        <w:t xml:space="preserve"> remaining issue </w:t>
      </w:r>
      <w:r w:rsidR="00F4633A">
        <w:t>such as</w:t>
      </w:r>
      <w:r w:rsidR="00AA74E5">
        <w:t>:</w:t>
      </w:r>
    </w:p>
    <w:p w14:paraId="75CF242B" w14:textId="5BFB1002" w:rsidR="00AA74E5" w:rsidRDefault="00F769B9" w:rsidP="00AA74E5">
      <w:pPr>
        <w:pStyle w:val="00Text"/>
        <w:numPr>
          <w:ilvl w:val="0"/>
          <w:numId w:val="29"/>
        </w:numPr>
      </w:pPr>
      <w:r w:rsidRPr="00D84605">
        <w:rPr>
          <w:szCs w:val="20"/>
        </w:rPr>
        <w:t>Further clarify that for option 2 for FR1/FR2, there is [2]-symbol gap at the end of third “D” slot of DDDUU</w:t>
      </w:r>
    </w:p>
    <w:p w14:paraId="3680241A" w14:textId="77777777" w:rsidR="003301E3" w:rsidRDefault="003301E3" w:rsidP="003301E3">
      <w:pPr>
        <w:pStyle w:val="00Text"/>
        <w:spacing w:before="0" w:after="0" w:line="240" w:lineRule="auto"/>
      </w:pPr>
    </w:p>
    <w:p w14:paraId="643715A7" w14:textId="0D4F86AD" w:rsidR="005C1530" w:rsidRDefault="009404FF" w:rsidP="003301E3">
      <w:pPr>
        <w:pStyle w:val="00Text"/>
        <w:spacing w:before="0"/>
      </w:pPr>
      <w:r>
        <w:t>For Option 1, the special slot format is 10D:2F:2U</w:t>
      </w:r>
      <w:r w:rsidR="00A33BCC">
        <w:t>, which uses</w:t>
      </w:r>
      <w:r>
        <w:t xml:space="preserve"> two symbols as the guard period for the switching </w:t>
      </w:r>
      <w:r w:rsidR="00275EF0">
        <w:t>from D</w:t>
      </w:r>
      <w:r>
        <w:t xml:space="preserve">L </w:t>
      </w:r>
      <w:r w:rsidR="00275EF0">
        <w:t>to</w:t>
      </w:r>
      <w:r>
        <w:t xml:space="preserve"> UL</w:t>
      </w:r>
      <w:r w:rsidR="00FA7AA9">
        <w:t>. Similarly,</w:t>
      </w:r>
      <w:r w:rsidR="00743D84">
        <w:t xml:space="preserve"> it is reasonable to use</w:t>
      </w:r>
      <w:r w:rsidR="00FA7AA9">
        <w:t xml:space="preserve"> </w:t>
      </w:r>
      <w:r w:rsidR="00743D84">
        <w:t>2 symbols as the guard period for Option 2. Thus, we propose to confirm the clarification in the agreement</w:t>
      </w:r>
      <w:r w:rsidR="00655C92">
        <w:t xml:space="preserve"> by removing the brackets.</w:t>
      </w:r>
    </w:p>
    <w:p w14:paraId="06B696E2" w14:textId="2A3F4BA2" w:rsidR="00743D84" w:rsidRDefault="00743D84" w:rsidP="00743D84">
      <w:pPr>
        <w:pStyle w:val="000proposal"/>
        <w:ind w:left="992" w:hanging="992"/>
      </w:pPr>
      <w:r>
        <w:t>Proposal</w:t>
      </w:r>
      <w:r w:rsidRPr="00DE2915">
        <w:t xml:space="preserve"> </w:t>
      </w:r>
      <w:r w:rsidR="00F7495E">
        <w:t>2</w:t>
      </w:r>
      <w:r w:rsidRPr="00DE2915">
        <w:t xml:space="preserve">: </w:t>
      </w:r>
      <w:r>
        <w:t xml:space="preserve">Confirm the clarification: </w:t>
      </w:r>
      <w:r w:rsidRPr="00D84605">
        <w:rPr>
          <w:szCs w:val="20"/>
        </w:rPr>
        <w:t xml:space="preserve">for option 2 for FR1/FR2, there is </w:t>
      </w:r>
      <w:r w:rsidR="00F7495E" w:rsidRPr="00F7495E">
        <w:rPr>
          <w:strike/>
          <w:color w:val="FF0000"/>
          <w:szCs w:val="20"/>
        </w:rPr>
        <w:t>[</w:t>
      </w:r>
      <w:r w:rsidRPr="00D84605">
        <w:rPr>
          <w:szCs w:val="20"/>
        </w:rPr>
        <w:t>2</w:t>
      </w:r>
      <w:r w:rsidR="00F7495E" w:rsidRPr="00F7495E">
        <w:rPr>
          <w:strike/>
          <w:color w:val="FF0000"/>
          <w:szCs w:val="20"/>
        </w:rPr>
        <w:t>]</w:t>
      </w:r>
      <w:r w:rsidRPr="00D84605">
        <w:rPr>
          <w:szCs w:val="20"/>
        </w:rPr>
        <w:t xml:space="preserve">-symbol gap at the end of third “D” slot </w:t>
      </w:r>
      <w:r w:rsidR="00DB5640" w:rsidRPr="00D84605">
        <w:rPr>
          <w:szCs w:val="20"/>
        </w:rPr>
        <w:t>of DDDUU</w:t>
      </w:r>
      <w:r>
        <w:t>.</w:t>
      </w:r>
    </w:p>
    <w:p w14:paraId="32EB5958" w14:textId="1C4239FB" w:rsidR="00093D72" w:rsidRDefault="006268B8" w:rsidP="008D0810">
      <w:pPr>
        <w:pStyle w:val="000proposal"/>
        <w:spacing w:before="240"/>
        <w:rPr>
          <w:b w:val="0"/>
          <w:bCs w:val="0"/>
          <w:i w:val="0"/>
          <w:iCs w:val="0"/>
        </w:rPr>
      </w:pPr>
      <w:r>
        <w:rPr>
          <w:b w:val="0"/>
          <w:bCs w:val="0"/>
          <w:i w:val="0"/>
          <w:iCs w:val="0"/>
        </w:rPr>
        <w:t>In additional to capacity and power consumption, m</w:t>
      </w:r>
      <w:r w:rsidR="00A543E7">
        <w:rPr>
          <w:b w:val="0"/>
          <w:bCs w:val="0"/>
          <w:i w:val="0"/>
          <w:iCs w:val="0"/>
        </w:rPr>
        <w:t>obility</w:t>
      </w:r>
      <w:r w:rsidR="00383225">
        <w:rPr>
          <w:b w:val="0"/>
          <w:bCs w:val="0"/>
          <w:i w:val="0"/>
          <w:iCs w:val="0"/>
        </w:rPr>
        <w:t xml:space="preserve"> and coverage</w:t>
      </w:r>
      <w:r w:rsidR="00A543E7">
        <w:rPr>
          <w:b w:val="0"/>
          <w:bCs w:val="0"/>
          <w:i w:val="0"/>
          <w:iCs w:val="0"/>
        </w:rPr>
        <w:t xml:space="preserve"> </w:t>
      </w:r>
      <w:r w:rsidR="00383225">
        <w:rPr>
          <w:b w:val="0"/>
          <w:bCs w:val="0"/>
          <w:i w:val="0"/>
          <w:iCs w:val="0"/>
        </w:rPr>
        <w:t>are</w:t>
      </w:r>
      <w:r w:rsidR="00A543E7">
        <w:rPr>
          <w:b w:val="0"/>
          <w:bCs w:val="0"/>
          <w:i w:val="0"/>
          <w:iCs w:val="0"/>
        </w:rPr>
        <w:t xml:space="preserve"> </w:t>
      </w:r>
      <w:r w:rsidR="00383225">
        <w:rPr>
          <w:b w:val="0"/>
          <w:bCs w:val="0"/>
          <w:i w:val="0"/>
          <w:iCs w:val="0"/>
        </w:rPr>
        <w:t>other aspects</w:t>
      </w:r>
      <w:r w:rsidR="007C01CC">
        <w:rPr>
          <w:b w:val="0"/>
          <w:bCs w:val="0"/>
          <w:i w:val="0"/>
          <w:iCs w:val="0"/>
        </w:rPr>
        <w:t xml:space="preserve"> to be considered for user experience of XR/CG services. Low data rate at cell-edge will degrade the performance of XR/CG services. </w:t>
      </w:r>
      <w:r w:rsidR="00111AC1">
        <w:rPr>
          <w:b w:val="0"/>
          <w:bCs w:val="0"/>
          <w:i w:val="0"/>
          <w:iCs w:val="0"/>
        </w:rPr>
        <w:lastRenderedPageBreak/>
        <w:t>Such</w:t>
      </w:r>
      <w:r w:rsidR="007C01CC">
        <w:rPr>
          <w:b w:val="0"/>
          <w:bCs w:val="0"/>
          <w:i w:val="0"/>
          <w:iCs w:val="0"/>
        </w:rPr>
        <w:t xml:space="preserve"> impacts can be observed </w:t>
      </w:r>
      <w:r w:rsidR="00B201D1">
        <w:rPr>
          <w:b w:val="0"/>
          <w:bCs w:val="0"/>
          <w:i w:val="0"/>
          <w:iCs w:val="0"/>
        </w:rPr>
        <w:t>in</w:t>
      </w:r>
      <w:r w:rsidR="007C01CC">
        <w:rPr>
          <w:b w:val="0"/>
          <w:bCs w:val="0"/>
          <w:i w:val="0"/>
          <w:iCs w:val="0"/>
        </w:rPr>
        <w:t xml:space="preserve"> the capacity evaluations. Another aspect impacting the quality of XR/CG is the </w:t>
      </w:r>
      <w:r w:rsidR="0080600F">
        <w:rPr>
          <w:b w:val="0"/>
          <w:bCs w:val="0"/>
          <w:i w:val="0"/>
          <w:iCs w:val="0"/>
        </w:rPr>
        <w:t xml:space="preserve">service </w:t>
      </w:r>
      <w:r w:rsidR="007C01CC">
        <w:rPr>
          <w:b w:val="0"/>
          <w:bCs w:val="0"/>
          <w:i w:val="0"/>
          <w:iCs w:val="0"/>
        </w:rPr>
        <w:t xml:space="preserve">interruption or latency due to the handover. However, </w:t>
      </w:r>
      <w:r w:rsidR="00535512">
        <w:rPr>
          <w:b w:val="0"/>
          <w:bCs w:val="0"/>
          <w:i w:val="0"/>
          <w:iCs w:val="0"/>
        </w:rPr>
        <w:t>that</w:t>
      </w:r>
      <w:r w:rsidR="007C01CC">
        <w:rPr>
          <w:b w:val="0"/>
          <w:bCs w:val="0"/>
          <w:i w:val="0"/>
          <w:iCs w:val="0"/>
        </w:rPr>
        <w:t xml:space="preserve"> heavily depends on the mobility mechanism (e.g., normal Rel-15 mobility procedure, or DAPS procedures) and network implementation. </w:t>
      </w:r>
      <w:r w:rsidR="00671905">
        <w:rPr>
          <w:b w:val="0"/>
          <w:bCs w:val="0"/>
          <w:i w:val="0"/>
          <w:iCs w:val="0"/>
        </w:rPr>
        <w:t xml:space="preserve">Moreover, </w:t>
      </w:r>
      <w:r w:rsidR="00A627ED">
        <w:rPr>
          <w:b w:val="0"/>
          <w:bCs w:val="0"/>
          <w:i w:val="0"/>
          <w:iCs w:val="0"/>
        </w:rPr>
        <w:t>the evaluation work already has a huge</w:t>
      </w:r>
      <w:r w:rsidR="0089203E">
        <w:rPr>
          <w:b w:val="0"/>
          <w:bCs w:val="0"/>
          <w:i w:val="0"/>
          <w:iCs w:val="0"/>
        </w:rPr>
        <w:t xml:space="preserve"> load</w:t>
      </w:r>
      <w:r w:rsidR="00671905">
        <w:rPr>
          <w:b w:val="0"/>
          <w:bCs w:val="0"/>
          <w:i w:val="0"/>
          <w:iCs w:val="0"/>
        </w:rPr>
        <w:t xml:space="preserve">, e.g., evaluation of capacity, evaluation of power consumption. </w:t>
      </w:r>
      <w:r w:rsidR="00C415D8">
        <w:rPr>
          <w:b w:val="0"/>
          <w:bCs w:val="0"/>
          <w:i w:val="0"/>
          <w:iCs w:val="0"/>
        </w:rPr>
        <w:t>Thus, we have the following proposal</w:t>
      </w:r>
      <w:r w:rsidR="00671905">
        <w:rPr>
          <w:b w:val="0"/>
          <w:bCs w:val="0"/>
          <w:i w:val="0"/>
          <w:iCs w:val="0"/>
        </w:rPr>
        <w:t xml:space="preserve"> </w:t>
      </w:r>
    </w:p>
    <w:p w14:paraId="4072E9B6" w14:textId="46F9A1B2" w:rsidR="007C01CC" w:rsidRDefault="007C01CC" w:rsidP="007C01CC">
      <w:pPr>
        <w:pStyle w:val="000proposal"/>
        <w:ind w:left="992" w:hanging="992"/>
      </w:pPr>
      <w:r>
        <w:t>Proposal</w:t>
      </w:r>
      <w:r w:rsidRPr="00DE2915">
        <w:t xml:space="preserve"> </w:t>
      </w:r>
      <w:r w:rsidR="008C1D6C">
        <w:t>3</w:t>
      </w:r>
      <w:r w:rsidRPr="00DE2915">
        <w:t xml:space="preserve">: </w:t>
      </w:r>
      <w:r>
        <w:t xml:space="preserve">The evaluation on the impact of motility events on XR/CG is </w:t>
      </w:r>
      <w:r w:rsidR="008C1D6C">
        <w:t xml:space="preserve">de-prioritized. Companies can evaluate it </w:t>
      </w:r>
      <w:r>
        <w:t>optional</w:t>
      </w:r>
      <w:r w:rsidR="008C1D6C">
        <w:t>ly</w:t>
      </w:r>
      <w:r>
        <w:t xml:space="preserve"> and the detailed parameter setting is up to companies.  </w:t>
      </w:r>
    </w:p>
    <w:p w14:paraId="3A40176D" w14:textId="53B7528C" w:rsidR="007376D5" w:rsidRPr="0008684E" w:rsidRDefault="0008684E" w:rsidP="0008684E">
      <w:pPr>
        <w:pStyle w:val="000proposal"/>
        <w:spacing w:before="240"/>
        <w:rPr>
          <w:b w:val="0"/>
          <w:bCs w:val="0"/>
          <w:i w:val="0"/>
          <w:iCs w:val="0"/>
        </w:rPr>
      </w:pPr>
      <w:r w:rsidRPr="0008684E">
        <w:rPr>
          <w:b w:val="0"/>
          <w:bCs w:val="0"/>
          <w:i w:val="0"/>
          <w:iCs w:val="0"/>
        </w:rPr>
        <w:t xml:space="preserve">For the coverage of XR/CG service, we don’t think it is necessary to do dedicated evaluation. </w:t>
      </w:r>
      <w:r w:rsidR="009B106B">
        <w:rPr>
          <w:b w:val="0"/>
          <w:bCs w:val="0"/>
          <w:i w:val="0"/>
          <w:iCs w:val="0"/>
        </w:rPr>
        <w:t>If system-level simulation is used, t</w:t>
      </w:r>
      <w:r w:rsidRPr="0008684E">
        <w:rPr>
          <w:b w:val="0"/>
          <w:bCs w:val="0"/>
          <w:i w:val="0"/>
          <w:iCs w:val="0"/>
        </w:rPr>
        <w:t>he CDF curves of DL/UL capacity</w:t>
      </w:r>
      <w:r>
        <w:rPr>
          <w:b w:val="0"/>
          <w:bCs w:val="0"/>
          <w:i w:val="0"/>
          <w:iCs w:val="0"/>
        </w:rPr>
        <w:t xml:space="preserve"> can provide useful information on the experience of XR/CG service at cell edges.</w:t>
      </w:r>
      <w:r w:rsidR="009B106B">
        <w:rPr>
          <w:b w:val="0"/>
          <w:bCs w:val="0"/>
          <w:i w:val="0"/>
          <w:iCs w:val="0"/>
        </w:rPr>
        <w:t xml:space="preserve"> If link-level simulation is used, more efforts will be needed for the link-level simulation assumption.</w:t>
      </w:r>
      <w:r w:rsidR="00B627F9">
        <w:rPr>
          <w:b w:val="0"/>
          <w:bCs w:val="0"/>
          <w:i w:val="0"/>
          <w:iCs w:val="0"/>
        </w:rPr>
        <w:t xml:space="preserve"> Thus, we have the following proposal</w:t>
      </w:r>
    </w:p>
    <w:p w14:paraId="0146A5BA" w14:textId="659D4AA3" w:rsidR="0008684E" w:rsidRDefault="0008684E" w:rsidP="0008684E">
      <w:pPr>
        <w:pStyle w:val="000proposal"/>
        <w:ind w:left="992" w:hanging="992"/>
      </w:pPr>
      <w:r>
        <w:t>Proposal</w:t>
      </w:r>
      <w:r w:rsidRPr="00DE2915">
        <w:t xml:space="preserve"> </w:t>
      </w:r>
      <w:r>
        <w:t>4</w:t>
      </w:r>
      <w:r w:rsidRPr="00DE2915">
        <w:t xml:space="preserve">: </w:t>
      </w:r>
      <w:r>
        <w:t xml:space="preserve">The evaluation on coverage of XR/CG is de-prioritized. Companies can evaluate it via link-level simulation optionally and the detailed parameter setting is up to companies.  </w:t>
      </w:r>
    </w:p>
    <w:p w14:paraId="4364532E" w14:textId="77777777" w:rsidR="009A6B90" w:rsidRDefault="009A6B90" w:rsidP="009A6B90">
      <w:pPr>
        <w:pStyle w:val="00Text"/>
      </w:pPr>
      <w:r>
        <w:t>Regarding the typical deployment scenarios for XR/CG evaluation, there were intensive discussion in RAN1#103e and three scenarios were agreed for the following simulation, i.e., Indoor hotspot, Dense urban and Urban Macro. There are also different configurations, different applications and so on. Thus, there will be a huge number of simulation cases if we consider all the possible combinations of deployment scenarios, configuration and applications, which is going to lead to the exponential increase of simulation efforts. In order to reduce the workload of XR evaluation for NR and facilitate the comparison of simulation results from different companies, it is beneficial to limit the evaluation to some scenarios. Therefore, we suggest Urban Macro is optional for XR evaluation.</w:t>
      </w:r>
    </w:p>
    <w:p w14:paraId="44D37BBA" w14:textId="675F276F" w:rsidR="00D965C4" w:rsidRDefault="009A6B90" w:rsidP="009A6B90">
      <w:pPr>
        <w:pStyle w:val="000proposal"/>
        <w:spacing w:after="240"/>
        <w:ind w:left="992" w:hanging="992"/>
      </w:pPr>
      <w:r>
        <w:t>Proposal</w:t>
      </w:r>
      <w:r w:rsidRPr="00DE2915">
        <w:t xml:space="preserve"> </w:t>
      </w:r>
      <w:r w:rsidR="00D965C4">
        <w:t>5</w:t>
      </w:r>
      <w:r w:rsidRPr="00DE2915">
        <w:t xml:space="preserve">: </w:t>
      </w:r>
      <w:r>
        <w:t>For XR/CG evaluation for NR</w:t>
      </w:r>
    </w:p>
    <w:p w14:paraId="7AD7D3B7" w14:textId="5D8A31C2" w:rsidR="009A6B90" w:rsidRPr="00D965C4" w:rsidRDefault="009A6B90" w:rsidP="00042B26">
      <w:pPr>
        <w:pStyle w:val="000proposal"/>
        <w:numPr>
          <w:ilvl w:val="1"/>
          <w:numId w:val="29"/>
        </w:numPr>
        <w:spacing w:after="240"/>
        <w:rPr>
          <w:b w:val="0"/>
          <w:bCs w:val="0"/>
          <w:i w:val="0"/>
          <w:iCs w:val="0"/>
        </w:rPr>
      </w:pPr>
      <w:bookmarkStart w:id="2" w:name="_GoBack"/>
      <w:bookmarkEnd w:id="2"/>
      <w:r>
        <w:t xml:space="preserve"> </w:t>
      </w:r>
      <w:r w:rsidR="00D965C4">
        <w:t xml:space="preserve">FR1:  </w:t>
      </w:r>
      <w:r w:rsidR="00D965C4" w:rsidRPr="002010C9">
        <w:rPr>
          <w:szCs w:val="20"/>
        </w:rPr>
        <w:t>Dense urban</w:t>
      </w:r>
      <w:r w:rsidR="00D965C4">
        <w:t xml:space="preserve"> and indoor hotspot are prioritized </w:t>
      </w:r>
    </w:p>
    <w:p w14:paraId="19A3B86B" w14:textId="417DEF4D" w:rsidR="00D965C4" w:rsidRDefault="00D965C4" w:rsidP="00042B26">
      <w:pPr>
        <w:pStyle w:val="000proposal"/>
        <w:numPr>
          <w:ilvl w:val="1"/>
          <w:numId w:val="29"/>
        </w:numPr>
        <w:spacing w:after="240"/>
        <w:rPr>
          <w:b w:val="0"/>
          <w:bCs w:val="0"/>
          <w:i w:val="0"/>
          <w:iCs w:val="0"/>
        </w:rPr>
      </w:pPr>
      <w:r>
        <w:t xml:space="preserve">FR2:  </w:t>
      </w:r>
      <w:r w:rsidRPr="002010C9">
        <w:rPr>
          <w:szCs w:val="20"/>
        </w:rPr>
        <w:t>Dense urban</w:t>
      </w:r>
      <w:r>
        <w:t xml:space="preserve"> is prioritized</w:t>
      </w:r>
    </w:p>
    <w:p w14:paraId="0AF37864" w14:textId="107A95E0" w:rsidR="002157D6" w:rsidRDefault="00CC0954" w:rsidP="00737284">
      <w:pPr>
        <w:pStyle w:val="000proposal"/>
        <w:rPr>
          <w:b w:val="0"/>
          <w:bCs w:val="0"/>
          <w:i w:val="0"/>
          <w:iCs w:val="0"/>
        </w:rPr>
      </w:pPr>
      <w:r w:rsidRPr="00CC0954">
        <w:rPr>
          <w:b w:val="0"/>
          <w:bCs w:val="0"/>
          <w:i w:val="0"/>
          <w:iCs w:val="0"/>
        </w:rPr>
        <w:t>The</w:t>
      </w:r>
      <w:r>
        <w:rPr>
          <w:b w:val="0"/>
          <w:bCs w:val="0"/>
          <w:i w:val="0"/>
          <w:iCs w:val="0"/>
        </w:rPr>
        <w:t>re were also some discussions on prioritize of AR/VR/CG during the last two RAN1 meeting.</w:t>
      </w:r>
      <w:r w:rsidR="00042B26">
        <w:rPr>
          <w:b w:val="0"/>
          <w:bCs w:val="0"/>
          <w:i w:val="0"/>
          <w:iCs w:val="0"/>
        </w:rPr>
        <w:t xml:space="preserve"> In fact, we can see there are lots of commonalities among the traffic modeling of CG/AR/VR. Some simulation results can be shared between different services. Thus, the motivation to prioritize some service is not very strong. On the other hand, </w:t>
      </w:r>
      <w:proofErr w:type="spellStart"/>
      <w:r w:rsidR="00042B26">
        <w:rPr>
          <w:b w:val="0"/>
          <w:bCs w:val="0"/>
          <w:i w:val="0"/>
          <w:iCs w:val="0"/>
        </w:rPr>
        <w:t>f</w:t>
      </w:r>
      <w:r w:rsidR="008D3495">
        <w:rPr>
          <w:b w:val="0"/>
          <w:bCs w:val="0"/>
          <w:i w:val="0"/>
          <w:iCs w:val="0"/>
        </w:rPr>
        <w:t>From</w:t>
      </w:r>
      <w:proofErr w:type="spellEnd"/>
      <w:r w:rsidR="008D3495">
        <w:rPr>
          <w:b w:val="0"/>
          <w:bCs w:val="0"/>
          <w:i w:val="0"/>
          <w:iCs w:val="0"/>
        </w:rPr>
        <w:t xml:space="preserve"> the perspective of popularity of the services, we can observe that CG &gt; AR &gt; VR at current stage. </w:t>
      </w:r>
      <w:r w:rsidR="00794DEB">
        <w:rPr>
          <w:b w:val="0"/>
          <w:bCs w:val="0"/>
          <w:i w:val="0"/>
          <w:iCs w:val="0"/>
        </w:rPr>
        <w:t>Thus, we have the following proposal</w:t>
      </w:r>
    </w:p>
    <w:p w14:paraId="69DE50A5" w14:textId="6B0C3C9B" w:rsidR="00CE37F7" w:rsidRDefault="00794DEB" w:rsidP="00794DEB">
      <w:pPr>
        <w:pStyle w:val="000proposal"/>
        <w:spacing w:after="240"/>
        <w:ind w:left="992" w:hanging="992"/>
      </w:pPr>
      <w:r>
        <w:t>Proposal</w:t>
      </w:r>
      <w:r w:rsidRPr="00DE2915">
        <w:t xml:space="preserve"> </w:t>
      </w:r>
      <w:r w:rsidR="00613BCF">
        <w:t>6</w:t>
      </w:r>
      <w:r w:rsidRPr="00DE2915">
        <w:t xml:space="preserve">: </w:t>
      </w:r>
      <w:r w:rsidR="00042B26">
        <w:t>Prioritization</w:t>
      </w:r>
      <w:r w:rsidR="00CE37F7">
        <w:t xml:space="preserve"> of AR/VR/CG is not needed</w:t>
      </w:r>
    </w:p>
    <w:p w14:paraId="5BAA7221" w14:textId="373518CC" w:rsidR="00794DEB" w:rsidRDefault="00CE37F7" w:rsidP="00042B26">
      <w:pPr>
        <w:pStyle w:val="000proposal"/>
        <w:numPr>
          <w:ilvl w:val="1"/>
          <w:numId w:val="29"/>
        </w:numPr>
        <w:spacing w:after="240"/>
      </w:pPr>
      <w:r>
        <w:t xml:space="preserve"> </w:t>
      </w:r>
      <w:r w:rsidR="00794DEB">
        <w:t>If pri</w:t>
      </w:r>
      <w:r w:rsidR="00E64E21">
        <w:t xml:space="preserve">oritization of AR/VR/CG is needed, AR/CG should be prioritized. </w:t>
      </w:r>
    </w:p>
    <w:p w14:paraId="095B8A49" w14:textId="4A6AE82D" w:rsidR="0019555C" w:rsidRPr="0019555C" w:rsidRDefault="00794DEB" w:rsidP="0019555C">
      <w:pPr>
        <w:pStyle w:val="000proposal"/>
        <w:rPr>
          <w:b w:val="0"/>
          <w:i w:val="0"/>
        </w:rPr>
      </w:pPr>
      <w:r>
        <w:t xml:space="preserve"> </w:t>
      </w:r>
    </w:p>
    <w:p w14:paraId="52FF643A" w14:textId="40723A37" w:rsidR="00EE3B26" w:rsidRDefault="00262BCE" w:rsidP="00EE3B26">
      <w:pPr>
        <w:pStyle w:val="01"/>
        <w:numPr>
          <w:ilvl w:val="0"/>
          <w:numId w:val="1"/>
        </w:numPr>
        <w:ind w:left="562" w:hanging="562"/>
      </w:pPr>
      <w:r>
        <w:t>Conclusions</w:t>
      </w:r>
    </w:p>
    <w:p w14:paraId="5F621732" w14:textId="32A58CFE" w:rsidR="00EE3B26" w:rsidRDefault="00262BCE" w:rsidP="00EE3B26">
      <w:pPr>
        <w:pStyle w:val="000proposal"/>
        <w:rPr>
          <w:b w:val="0"/>
          <w:bCs w:val="0"/>
          <w:i w:val="0"/>
          <w:iCs w:val="0"/>
        </w:rPr>
      </w:pPr>
      <w:r>
        <w:rPr>
          <w:b w:val="0"/>
          <w:bCs w:val="0"/>
          <w:i w:val="0"/>
          <w:iCs w:val="0"/>
        </w:rPr>
        <w:t xml:space="preserve">In this contribution, </w:t>
      </w:r>
      <w:r w:rsidR="00FF73C6">
        <w:rPr>
          <w:b w:val="0"/>
          <w:bCs w:val="0"/>
          <w:i w:val="0"/>
          <w:iCs w:val="0"/>
        </w:rPr>
        <w:t xml:space="preserve">we discussed open issues of evaluation methodologies and </w:t>
      </w:r>
      <w:r w:rsidR="00CB0939">
        <w:rPr>
          <w:b w:val="0"/>
          <w:bCs w:val="0"/>
          <w:i w:val="0"/>
          <w:iCs w:val="0"/>
        </w:rPr>
        <w:t>provided our preference on these issues. Then, we continue to discuss the KPIs for the evaluation. Based on discussion, we have made the following proposals.</w:t>
      </w:r>
    </w:p>
    <w:p w14:paraId="41ACC6F8" w14:textId="77777777" w:rsidR="00592519" w:rsidRDefault="00592519" w:rsidP="00592519">
      <w:pPr>
        <w:pStyle w:val="000proposal"/>
        <w:ind w:left="992" w:hanging="992"/>
      </w:pPr>
      <w:r>
        <w:t>Proposal</w:t>
      </w:r>
      <w:r w:rsidRPr="00DE2915">
        <w:t xml:space="preserve"> </w:t>
      </w:r>
      <w:r>
        <w:t>1</w:t>
      </w:r>
      <w:r w:rsidRPr="00DE2915">
        <w:t xml:space="preserve">: </w:t>
      </w:r>
      <w:r>
        <w:t>For XR/CG capacity evaluation, when DL and UL performances are evaluated independently, no need to introduce the joint capacity</w:t>
      </w:r>
    </w:p>
    <w:p w14:paraId="42FEFFD9" w14:textId="77777777" w:rsidR="00592519" w:rsidRDefault="00592519" w:rsidP="00592519">
      <w:pPr>
        <w:pStyle w:val="000proposal"/>
        <w:ind w:left="992" w:hanging="992"/>
      </w:pPr>
      <w:r>
        <w:t>Proposal</w:t>
      </w:r>
      <w:r w:rsidRPr="00DE2915">
        <w:t xml:space="preserve"> </w:t>
      </w:r>
      <w:r>
        <w:t>2</w:t>
      </w:r>
      <w:r w:rsidRPr="00DE2915">
        <w:t xml:space="preserve">: </w:t>
      </w:r>
      <w:r>
        <w:t xml:space="preserve">Confirm the clarification: </w:t>
      </w:r>
      <w:r w:rsidRPr="00D84605">
        <w:rPr>
          <w:szCs w:val="20"/>
        </w:rPr>
        <w:t xml:space="preserve">for option 2 for FR1/FR2, there is </w:t>
      </w:r>
      <w:r w:rsidRPr="00F7495E">
        <w:rPr>
          <w:strike/>
          <w:color w:val="FF0000"/>
          <w:szCs w:val="20"/>
        </w:rPr>
        <w:t>[</w:t>
      </w:r>
      <w:r w:rsidRPr="00D84605">
        <w:rPr>
          <w:szCs w:val="20"/>
        </w:rPr>
        <w:t>2</w:t>
      </w:r>
      <w:r w:rsidRPr="00F7495E">
        <w:rPr>
          <w:strike/>
          <w:color w:val="FF0000"/>
          <w:szCs w:val="20"/>
        </w:rPr>
        <w:t>]</w:t>
      </w:r>
      <w:r w:rsidRPr="00D84605">
        <w:rPr>
          <w:szCs w:val="20"/>
        </w:rPr>
        <w:t>-symbol gap at the end of third “D” slot of DDDUU</w:t>
      </w:r>
      <w:r>
        <w:t>.</w:t>
      </w:r>
    </w:p>
    <w:p w14:paraId="540095CD" w14:textId="77777777" w:rsidR="00592519" w:rsidRDefault="00592519" w:rsidP="00592519">
      <w:pPr>
        <w:pStyle w:val="000proposal"/>
        <w:ind w:left="992" w:hanging="992"/>
      </w:pPr>
      <w:r>
        <w:t>Proposal</w:t>
      </w:r>
      <w:r w:rsidRPr="00DE2915">
        <w:t xml:space="preserve"> </w:t>
      </w:r>
      <w:r>
        <w:t>3</w:t>
      </w:r>
      <w:r w:rsidRPr="00DE2915">
        <w:t xml:space="preserve">: </w:t>
      </w:r>
      <w:r>
        <w:t xml:space="preserve">The evaluation on the impact of motility events on XR/CG is de-prioritized. Companies can evaluate it optionally and the detailed parameter setting is up to companies.  </w:t>
      </w:r>
    </w:p>
    <w:p w14:paraId="021412F3" w14:textId="77777777" w:rsidR="00592519" w:rsidRDefault="00592519" w:rsidP="00592519">
      <w:pPr>
        <w:pStyle w:val="000proposal"/>
        <w:ind w:left="992" w:hanging="992"/>
      </w:pPr>
      <w:r>
        <w:lastRenderedPageBreak/>
        <w:t>Proposal</w:t>
      </w:r>
      <w:r w:rsidRPr="00DE2915">
        <w:t xml:space="preserve"> </w:t>
      </w:r>
      <w:r>
        <w:t>4</w:t>
      </w:r>
      <w:r w:rsidRPr="00DE2915">
        <w:t xml:space="preserve">: </w:t>
      </w:r>
      <w:r>
        <w:t xml:space="preserve">The evaluation on coverage of XR/CG is de-prioritized. Companies can evaluate it via link-level simulation optionally and the detailed parameter setting is up to companies.  </w:t>
      </w:r>
    </w:p>
    <w:p w14:paraId="738A7C32" w14:textId="77777777" w:rsidR="00592519" w:rsidRDefault="00592519" w:rsidP="00592519">
      <w:pPr>
        <w:pStyle w:val="000proposal"/>
        <w:spacing w:after="240"/>
        <w:ind w:left="992" w:hanging="992"/>
      </w:pPr>
      <w:r>
        <w:t>Proposal</w:t>
      </w:r>
      <w:r w:rsidRPr="00DE2915">
        <w:t xml:space="preserve"> </w:t>
      </w:r>
      <w:r>
        <w:t>5</w:t>
      </w:r>
      <w:r w:rsidRPr="00DE2915">
        <w:t xml:space="preserve">: </w:t>
      </w:r>
      <w:r>
        <w:t>For XR/CG evaluation for NR</w:t>
      </w:r>
    </w:p>
    <w:p w14:paraId="22CB710B" w14:textId="77777777" w:rsidR="00592519" w:rsidRPr="00D965C4" w:rsidRDefault="00592519" w:rsidP="00042B26">
      <w:pPr>
        <w:pStyle w:val="000proposal"/>
        <w:numPr>
          <w:ilvl w:val="1"/>
          <w:numId w:val="29"/>
        </w:numPr>
        <w:spacing w:after="240"/>
        <w:rPr>
          <w:b w:val="0"/>
          <w:bCs w:val="0"/>
          <w:i w:val="0"/>
          <w:iCs w:val="0"/>
        </w:rPr>
      </w:pPr>
      <w:r>
        <w:t xml:space="preserve"> FR1:  </w:t>
      </w:r>
      <w:r w:rsidRPr="002010C9">
        <w:rPr>
          <w:szCs w:val="20"/>
        </w:rPr>
        <w:t>Dense urban</w:t>
      </w:r>
      <w:r>
        <w:t xml:space="preserve"> and indoor hotspot are prioritized </w:t>
      </w:r>
    </w:p>
    <w:p w14:paraId="71BC759B" w14:textId="77777777" w:rsidR="00592519" w:rsidRDefault="00592519" w:rsidP="00042B26">
      <w:pPr>
        <w:pStyle w:val="000proposal"/>
        <w:numPr>
          <w:ilvl w:val="1"/>
          <w:numId w:val="29"/>
        </w:numPr>
        <w:spacing w:after="240"/>
        <w:rPr>
          <w:b w:val="0"/>
          <w:bCs w:val="0"/>
          <w:i w:val="0"/>
          <w:iCs w:val="0"/>
        </w:rPr>
      </w:pPr>
      <w:r>
        <w:t xml:space="preserve">FR2:  </w:t>
      </w:r>
      <w:r w:rsidRPr="002010C9">
        <w:rPr>
          <w:szCs w:val="20"/>
        </w:rPr>
        <w:t>Dense urban</w:t>
      </w:r>
      <w:r>
        <w:t xml:space="preserve"> is prioritized</w:t>
      </w:r>
    </w:p>
    <w:p w14:paraId="7ADC0CEB" w14:textId="0F6CC903" w:rsidR="00592519" w:rsidRDefault="00592519" w:rsidP="00592519">
      <w:pPr>
        <w:pStyle w:val="000proposal"/>
        <w:spacing w:after="240"/>
        <w:ind w:left="992" w:hanging="992"/>
      </w:pPr>
      <w:r>
        <w:t>Proposal</w:t>
      </w:r>
      <w:r w:rsidRPr="00DE2915">
        <w:t xml:space="preserve"> </w:t>
      </w:r>
      <w:r>
        <w:t>6</w:t>
      </w:r>
      <w:r w:rsidRPr="00DE2915">
        <w:t xml:space="preserve">: </w:t>
      </w:r>
      <w:r w:rsidR="00042B26">
        <w:t>Prioritization</w:t>
      </w:r>
      <w:r>
        <w:t xml:space="preserve"> of AR/VR/CG is not needed</w:t>
      </w:r>
    </w:p>
    <w:p w14:paraId="66E89705" w14:textId="2266A3AD" w:rsidR="00592519" w:rsidRDefault="00592519" w:rsidP="00042B26">
      <w:pPr>
        <w:pStyle w:val="000proposal"/>
        <w:numPr>
          <w:ilvl w:val="1"/>
          <w:numId w:val="29"/>
        </w:numPr>
        <w:spacing w:after="240"/>
      </w:pPr>
      <w:r>
        <w:t xml:space="preserve">If prioritization of AR/VR/CG is needed, AR/CG should be prioritized. </w:t>
      </w:r>
    </w:p>
    <w:p w14:paraId="3B72E44A" w14:textId="77777777" w:rsidR="00592519" w:rsidRPr="00EE3B26" w:rsidRDefault="00592519" w:rsidP="00A2600B">
      <w:pPr>
        <w:pStyle w:val="000proposal"/>
        <w:rPr>
          <w:i w:val="0"/>
        </w:rPr>
      </w:pPr>
    </w:p>
    <w:p w14:paraId="5A95A0EE" w14:textId="1E0ECCEC" w:rsidR="009B2043" w:rsidRDefault="0044100E" w:rsidP="009B2043">
      <w:pPr>
        <w:pStyle w:val="01"/>
        <w:numPr>
          <w:ilvl w:val="0"/>
          <w:numId w:val="1"/>
        </w:numPr>
        <w:ind w:left="562" w:hanging="562"/>
      </w:pPr>
      <w:r>
        <w:t>R</w:t>
      </w:r>
      <w:r w:rsidR="009B2043">
        <w:t>eference</w:t>
      </w:r>
    </w:p>
    <w:p w14:paraId="1C6EEE77" w14:textId="0C13555E" w:rsidR="002B3587" w:rsidRDefault="002B3587" w:rsidP="002328B0">
      <w:pPr>
        <w:pStyle w:val="05reference"/>
        <w:rPr>
          <w:szCs w:val="20"/>
          <w:lang w:val="it-IT"/>
        </w:rPr>
      </w:pPr>
      <w:r>
        <w:rPr>
          <w:szCs w:val="20"/>
          <w:lang w:val="it-IT"/>
        </w:rPr>
        <w:t>RP-</w:t>
      </w:r>
      <w:r w:rsidR="00A43007">
        <w:rPr>
          <w:szCs w:val="20"/>
          <w:lang w:val="it-IT"/>
        </w:rPr>
        <w:t>20</w:t>
      </w:r>
      <w:r w:rsidR="000927A0">
        <w:rPr>
          <w:szCs w:val="20"/>
          <w:lang w:val="it-IT"/>
        </w:rPr>
        <w:t>1145</w:t>
      </w:r>
      <w:r>
        <w:rPr>
          <w:szCs w:val="20"/>
          <w:lang w:val="it-IT"/>
        </w:rPr>
        <w:t xml:space="preserve"> </w:t>
      </w:r>
      <w:r w:rsidR="000927A0">
        <w:rPr>
          <w:szCs w:val="20"/>
          <w:lang w:val="it-IT"/>
        </w:rPr>
        <w:t>Study on XR Evaluations for NR</w:t>
      </w:r>
    </w:p>
    <w:p w14:paraId="5CBE9E69" w14:textId="34F35294" w:rsidR="00155BC3" w:rsidRDefault="00155BC3" w:rsidP="002328B0">
      <w:pPr>
        <w:pStyle w:val="05reference"/>
        <w:rPr>
          <w:szCs w:val="20"/>
          <w:lang w:val="it-IT"/>
        </w:rPr>
      </w:pPr>
      <w:r>
        <w:rPr>
          <w:szCs w:val="20"/>
          <w:lang w:val="it-IT"/>
        </w:rPr>
        <w:t>Chairman’s Notes of RAN1#10</w:t>
      </w:r>
      <w:r w:rsidR="00173796">
        <w:rPr>
          <w:szCs w:val="20"/>
          <w:lang w:val="it-IT"/>
        </w:rPr>
        <w:t>4bis-</w:t>
      </w:r>
      <w:r>
        <w:rPr>
          <w:szCs w:val="20"/>
          <w:lang w:val="it-IT"/>
        </w:rPr>
        <w:t>e</w:t>
      </w:r>
    </w:p>
    <w:p w14:paraId="75B3D2CD" w14:textId="77777777" w:rsidR="00945063" w:rsidRDefault="00945063" w:rsidP="00592519">
      <w:pPr>
        <w:pStyle w:val="05reference"/>
        <w:numPr>
          <w:ilvl w:val="0"/>
          <w:numId w:val="0"/>
        </w:numPr>
        <w:ind w:left="562"/>
        <w:rPr>
          <w:szCs w:val="20"/>
          <w:lang w:val="it-IT"/>
        </w:rPr>
      </w:pPr>
    </w:p>
    <w:sectPr w:rsidR="0094506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57486C" w14:textId="77777777" w:rsidR="00263365" w:rsidRDefault="00263365">
      <w:r>
        <w:separator/>
      </w:r>
    </w:p>
  </w:endnote>
  <w:endnote w:type="continuationSeparator" w:id="0">
    <w:p w14:paraId="169CBCE5" w14:textId="77777777" w:rsidR="00263365" w:rsidRDefault="00263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2B01C9" w14:textId="77777777" w:rsidR="00263365" w:rsidRDefault="00263365">
      <w:r>
        <w:separator/>
      </w:r>
    </w:p>
  </w:footnote>
  <w:footnote w:type="continuationSeparator" w:id="0">
    <w:p w14:paraId="5CBE2C33" w14:textId="77777777" w:rsidR="00263365" w:rsidRDefault="00263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F610DB" w:rsidRDefault="00F610DB"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992618"/>
    <w:multiLevelType w:val="hybridMultilevel"/>
    <w:tmpl w:val="5652E9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493FBC"/>
    <w:multiLevelType w:val="hybridMultilevel"/>
    <w:tmpl w:val="C188036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945BEC"/>
    <w:multiLevelType w:val="hybridMultilevel"/>
    <w:tmpl w:val="5512EF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866FF0"/>
    <w:multiLevelType w:val="hybridMultilevel"/>
    <w:tmpl w:val="3A843520"/>
    <w:lvl w:ilvl="0" w:tplc="04090001">
      <w:start w:val="1"/>
      <w:numFmt w:val="bullet"/>
      <w:lvlText w:val=""/>
      <w:lvlJc w:val="left"/>
      <w:pPr>
        <w:ind w:left="1352" w:hanging="360"/>
      </w:pPr>
      <w:rPr>
        <w:rFonts w:ascii="Symbol" w:hAnsi="Symbol"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8"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5E5ED1"/>
    <w:multiLevelType w:val="hybridMultilevel"/>
    <w:tmpl w:val="80EE9E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053ABB"/>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9AF657B"/>
    <w:multiLevelType w:val="hybridMultilevel"/>
    <w:tmpl w:val="E4DC56FE"/>
    <w:lvl w:ilvl="0" w:tplc="04090001">
      <w:start w:val="1"/>
      <w:numFmt w:val="bullet"/>
      <w:lvlText w:val=""/>
      <w:lvlJc w:val="left"/>
      <w:pPr>
        <w:ind w:left="1352" w:hanging="360"/>
      </w:pPr>
      <w:rPr>
        <w:rFonts w:ascii="Symbol" w:hAnsi="Symbol"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13"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C2F37C1"/>
    <w:multiLevelType w:val="hybridMultilevel"/>
    <w:tmpl w:val="39FCE3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E8556FC"/>
    <w:multiLevelType w:val="hybridMultilevel"/>
    <w:tmpl w:val="7C10FD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CE3182"/>
    <w:multiLevelType w:val="hybridMultilevel"/>
    <w:tmpl w:val="E82C7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4544ADD"/>
    <w:multiLevelType w:val="hybridMultilevel"/>
    <w:tmpl w:val="901AA4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D71A7D"/>
    <w:multiLevelType w:val="hybridMultilevel"/>
    <w:tmpl w:val="E2985B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C0B2CD9"/>
    <w:multiLevelType w:val="hybridMultilevel"/>
    <w:tmpl w:val="71B47E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0BF2E48"/>
    <w:multiLevelType w:val="hybridMultilevel"/>
    <w:tmpl w:val="60BC8F2E"/>
    <w:lvl w:ilvl="0" w:tplc="04090001">
      <w:start w:val="1"/>
      <w:numFmt w:val="bullet"/>
      <w:lvlText w:val=""/>
      <w:lvlJc w:val="left"/>
      <w:pPr>
        <w:ind w:left="1352" w:hanging="360"/>
      </w:pPr>
      <w:rPr>
        <w:rFonts w:ascii="Symbol" w:hAnsi="Symbol" w:hint="default"/>
      </w:rPr>
    </w:lvl>
    <w:lvl w:ilvl="1" w:tplc="04090003">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23"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7FA06E5"/>
    <w:multiLevelType w:val="hybridMultilevel"/>
    <w:tmpl w:val="4DB82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80368C9"/>
    <w:multiLevelType w:val="hybridMultilevel"/>
    <w:tmpl w:val="5A143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20422DA"/>
    <w:multiLevelType w:val="hybridMultilevel"/>
    <w:tmpl w:val="A00C7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474468"/>
    <w:multiLevelType w:val="hybridMultilevel"/>
    <w:tmpl w:val="FF1207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59F4636"/>
    <w:multiLevelType w:val="hybridMultilevel"/>
    <w:tmpl w:val="8070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60352A"/>
    <w:multiLevelType w:val="hybridMultilevel"/>
    <w:tmpl w:val="9C981E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2D2156"/>
    <w:multiLevelType w:val="hybridMultilevel"/>
    <w:tmpl w:val="13E81C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5ED61FD"/>
    <w:multiLevelType w:val="hybridMultilevel"/>
    <w:tmpl w:val="B0868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8F6157"/>
    <w:multiLevelType w:val="multilevel"/>
    <w:tmpl w:val="05CE2B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BED18BC"/>
    <w:multiLevelType w:val="multilevel"/>
    <w:tmpl w:val="AADEB40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7"/>
  </w:num>
  <w:num w:numId="2">
    <w:abstractNumId w:val="13"/>
  </w:num>
  <w:num w:numId="3">
    <w:abstractNumId w:val="28"/>
  </w:num>
  <w:num w:numId="4">
    <w:abstractNumId w:val="23"/>
  </w:num>
  <w:num w:numId="5">
    <w:abstractNumId w:val="1"/>
  </w:num>
  <w:num w:numId="6">
    <w:abstractNumId w:val="9"/>
  </w:num>
  <w:num w:numId="7">
    <w:abstractNumId w:val="14"/>
  </w:num>
  <w:num w:numId="8">
    <w:abstractNumId w:val="16"/>
  </w:num>
  <w:num w:numId="9">
    <w:abstractNumId w:val="5"/>
  </w:num>
  <w:num w:numId="10">
    <w:abstractNumId w:val="33"/>
  </w:num>
  <w:num w:numId="11">
    <w:abstractNumId w:val="3"/>
  </w:num>
  <w:num w:numId="12">
    <w:abstractNumId w:val="27"/>
  </w:num>
  <w:num w:numId="13">
    <w:abstractNumId w:val="19"/>
  </w:num>
  <w:num w:numId="14">
    <w:abstractNumId w:val="6"/>
  </w:num>
  <w:num w:numId="15">
    <w:abstractNumId w:val="29"/>
  </w:num>
  <w:num w:numId="16">
    <w:abstractNumId w:val="20"/>
  </w:num>
  <w:num w:numId="17">
    <w:abstractNumId w:val="22"/>
  </w:num>
  <w:num w:numId="18">
    <w:abstractNumId w:val="24"/>
  </w:num>
  <w:num w:numId="19">
    <w:abstractNumId w:val="7"/>
  </w:num>
  <w:num w:numId="20">
    <w:abstractNumId w:val="12"/>
  </w:num>
  <w:num w:numId="21">
    <w:abstractNumId w:val="4"/>
  </w:num>
  <w:num w:numId="22">
    <w:abstractNumId w:val="8"/>
  </w:num>
  <w:num w:numId="23">
    <w:abstractNumId w:val="30"/>
  </w:num>
  <w:num w:numId="24">
    <w:abstractNumId w:val="26"/>
  </w:num>
  <w:num w:numId="25">
    <w:abstractNumId w:val="2"/>
  </w:num>
  <w:num w:numId="26">
    <w:abstractNumId w:val="31"/>
  </w:num>
  <w:num w:numId="27">
    <w:abstractNumId w:val="21"/>
  </w:num>
  <w:num w:numId="28">
    <w:abstractNumId w:val="17"/>
  </w:num>
  <w:num w:numId="29">
    <w:abstractNumId w:val="11"/>
  </w:num>
  <w:num w:numId="30">
    <w:abstractNumId w:val="36"/>
  </w:num>
  <w:num w:numId="31">
    <w:abstractNumId w:val="34"/>
  </w:num>
  <w:num w:numId="32">
    <w:abstractNumId w:val="15"/>
  </w:num>
  <w:num w:numId="33">
    <w:abstractNumId w:val="18"/>
  </w:num>
  <w:num w:numId="34">
    <w:abstractNumId w:val="10"/>
  </w:num>
  <w:num w:numId="3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6">
    <w:abstractNumId w:val="35"/>
  </w:num>
  <w:num w:numId="37">
    <w:abstractNumId w:val="32"/>
  </w:num>
  <w:num w:numId="38">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4"/>
  <w:removeDateAndTime/>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4144"/>
    <w:rsid w:val="00015C11"/>
    <w:rsid w:val="000202D5"/>
    <w:rsid w:val="000227D6"/>
    <w:rsid w:val="0002517B"/>
    <w:rsid w:val="00033868"/>
    <w:rsid w:val="00036C04"/>
    <w:rsid w:val="00042B26"/>
    <w:rsid w:val="00044570"/>
    <w:rsid w:val="00047CA8"/>
    <w:rsid w:val="00052A3E"/>
    <w:rsid w:val="00054E73"/>
    <w:rsid w:val="00067024"/>
    <w:rsid w:val="000670C1"/>
    <w:rsid w:val="00071993"/>
    <w:rsid w:val="00073256"/>
    <w:rsid w:val="00075805"/>
    <w:rsid w:val="00077A20"/>
    <w:rsid w:val="00080DFA"/>
    <w:rsid w:val="00084FFF"/>
    <w:rsid w:val="0008526D"/>
    <w:rsid w:val="00085AAA"/>
    <w:rsid w:val="0008684E"/>
    <w:rsid w:val="000927A0"/>
    <w:rsid w:val="000939D7"/>
    <w:rsid w:val="00093D72"/>
    <w:rsid w:val="00095038"/>
    <w:rsid w:val="000B43C9"/>
    <w:rsid w:val="000B5E34"/>
    <w:rsid w:val="000B75DD"/>
    <w:rsid w:val="000B7F5F"/>
    <w:rsid w:val="000C0741"/>
    <w:rsid w:val="000C1ECC"/>
    <w:rsid w:val="000C2F44"/>
    <w:rsid w:val="000C52F2"/>
    <w:rsid w:val="000C5A83"/>
    <w:rsid w:val="000C7B84"/>
    <w:rsid w:val="000D0B04"/>
    <w:rsid w:val="000D66CD"/>
    <w:rsid w:val="000D6C00"/>
    <w:rsid w:val="000E608E"/>
    <w:rsid w:val="000E6672"/>
    <w:rsid w:val="000E695E"/>
    <w:rsid w:val="000F5BBA"/>
    <w:rsid w:val="000F6109"/>
    <w:rsid w:val="000F7493"/>
    <w:rsid w:val="00104726"/>
    <w:rsid w:val="00110E8A"/>
    <w:rsid w:val="00111AC1"/>
    <w:rsid w:val="0011387A"/>
    <w:rsid w:val="00115C6C"/>
    <w:rsid w:val="0011681C"/>
    <w:rsid w:val="001243EA"/>
    <w:rsid w:val="0013276B"/>
    <w:rsid w:val="00133F30"/>
    <w:rsid w:val="00136B37"/>
    <w:rsid w:val="001422E9"/>
    <w:rsid w:val="001427FE"/>
    <w:rsid w:val="001500F1"/>
    <w:rsid w:val="0015020D"/>
    <w:rsid w:val="00155165"/>
    <w:rsid w:val="00155BC3"/>
    <w:rsid w:val="00155D90"/>
    <w:rsid w:val="00171FCE"/>
    <w:rsid w:val="00173796"/>
    <w:rsid w:val="0017679D"/>
    <w:rsid w:val="001813B6"/>
    <w:rsid w:val="001821C0"/>
    <w:rsid w:val="0019326C"/>
    <w:rsid w:val="00193464"/>
    <w:rsid w:val="00194DDE"/>
    <w:rsid w:val="001953B7"/>
    <w:rsid w:val="0019555C"/>
    <w:rsid w:val="001A157B"/>
    <w:rsid w:val="001A512D"/>
    <w:rsid w:val="001A6210"/>
    <w:rsid w:val="001B0B07"/>
    <w:rsid w:val="001B5DB6"/>
    <w:rsid w:val="001B6B98"/>
    <w:rsid w:val="001C300D"/>
    <w:rsid w:val="001C4F3E"/>
    <w:rsid w:val="001D2D12"/>
    <w:rsid w:val="001D3566"/>
    <w:rsid w:val="001E0DD6"/>
    <w:rsid w:val="001E34E2"/>
    <w:rsid w:val="001E53C3"/>
    <w:rsid w:val="001E59C5"/>
    <w:rsid w:val="001E6EBA"/>
    <w:rsid w:val="001E70FE"/>
    <w:rsid w:val="001F43B5"/>
    <w:rsid w:val="001F49A3"/>
    <w:rsid w:val="001F4B67"/>
    <w:rsid w:val="001F558D"/>
    <w:rsid w:val="0020063B"/>
    <w:rsid w:val="00201ACD"/>
    <w:rsid w:val="00203FC1"/>
    <w:rsid w:val="002157D6"/>
    <w:rsid w:val="00216CDC"/>
    <w:rsid w:val="002206ED"/>
    <w:rsid w:val="0022134E"/>
    <w:rsid w:val="002229A6"/>
    <w:rsid w:val="00223B55"/>
    <w:rsid w:val="00224ADF"/>
    <w:rsid w:val="002275CA"/>
    <w:rsid w:val="002328B0"/>
    <w:rsid w:val="00235357"/>
    <w:rsid w:val="002360B6"/>
    <w:rsid w:val="00236764"/>
    <w:rsid w:val="0024150D"/>
    <w:rsid w:val="002434F3"/>
    <w:rsid w:val="002451A1"/>
    <w:rsid w:val="00255EFE"/>
    <w:rsid w:val="002563C3"/>
    <w:rsid w:val="00256423"/>
    <w:rsid w:val="0025692F"/>
    <w:rsid w:val="00257F66"/>
    <w:rsid w:val="00262BCE"/>
    <w:rsid w:val="00263365"/>
    <w:rsid w:val="0027047C"/>
    <w:rsid w:val="00272F9F"/>
    <w:rsid w:val="00274CE7"/>
    <w:rsid w:val="00275AC4"/>
    <w:rsid w:val="00275EF0"/>
    <w:rsid w:val="00276093"/>
    <w:rsid w:val="0028134A"/>
    <w:rsid w:val="00282C00"/>
    <w:rsid w:val="002962CD"/>
    <w:rsid w:val="002A1F70"/>
    <w:rsid w:val="002A28A3"/>
    <w:rsid w:val="002B3587"/>
    <w:rsid w:val="002B39D3"/>
    <w:rsid w:val="002C021B"/>
    <w:rsid w:val="002C3012"/>
    <w:rsid w:val="002D12C4"/>
    <w:rsid w:val="002D2D8B"/>
    <w:rsid w:val="002E23E1"/>
    <w:rsid w:val="002E2588"/>
    <w:rsid w:val="002F1560"/>
    <w:rsid w:val="002F29DB"/>
    <w:rsid w:val="002F46B5"/>
    <w:rsid w:val="002F5E03"/>
    <w:rsid w:val="002F6E36"/>
    <w:rsid w:val="0031751C"/>
    <w:rsid w:val="00321588"/>
    <w:rsid w:val="003218CE"/>
    <w:rsid w:val="00324CC1"/>
    <w:rsid w:val="00327ABE"/>
    <w:rsid w:val="003301E3"/>
    <w:rsid w:val="0033138F"/>
    <w:rsid w:val="003370C7"/>
    <w:rsid w:val="00337FE6"/>
    <w:rsid w:val="003417EF"/>
    <w:rsid w:val="00345366"/>
    <w:rsid w:val="00352AF3"/>
    <w:rsid w:val="0036243F"/>
    <w:rsid w:val="00363BF0"/>
    <w:rsid w:val="00365A0D"/>
    <w:rsid w:val="00372865"/>
    <w:rsid w:val="00380901"/>
    <w:rsid w:val="003819A3"/>
    <w:rsid w:val="00383225"/>
    <w:rsid w:val="003845A5"/>
    <w:rsid w:val="00392764"/>
    <w:rsid w:val="0039491B"/>
    <w:rsid w:val="00395AFD"/>
    <w:rsid w:val="003A477C"/>
    <w:rsid w:val="003A6D5C"/>
    <w:rsid w:val="003A6DA8"/>
    <w:rsid w:val="003B2B21"/>
    <w:rsid w:val="003B43DA"/>
    <w:rsid w:val="003C22BE"/>
    <w:rsid w:val="003C265D"/>
    <w:rsid w:val="003C2E5C"/>
    <w:rsid w:val="003C6F44"/>
    <w:rsid w:val="003D3369"/>
    <w:rsid w:val="003E11C2"/>
    <w:rsid w:val="003F1D1A"/>
    <w:rsid w:val="003F3A1D"/>
    <w:rsid w:val="003F3A31"/>
    <w:rsid w:val="003F779D"/>
    <w:rsid w:val="004018E5"/>
    <w:rsid w:val="0040474C"/>
    <w:rsid w:val="00406E53"/>
    <w:rsid w:val="00411F9C"/>
    <w:rsid w:val="00414EC7"/>
    <w:rsid w:val="00416940"/>
    <w:rsid w:val="004318C1"/>
    <w:rsid w:val="00431EDF"/>
    <w:rsid w:val="004373B1"/>
    <w:rsid w:val="0044067E"/>
    <w:rsid w:val="0044100E"/>
    <w:rsid w:val="00443BCD"/>
    <w:rsid w:val="00443D47"/>
    <w:rsid w:val="004462E3"/>
    <w:rsid w:val="00450CEA"/>
    <w:rsid w:val="0045101D"/>
    <w:rsid w:val="00456E7C"/>
    <w:rsid w:val="00461818"/>
    <w:rsid w:val="00463E2B"/>
    <w:rsid w:val="0046418B"/>
    <w:rsid w:val="0046504F"/>
    <w:rsid w:val="004732EC"/>
    <w:rsid w:val="00474F5A"/>
    <w:rsid w:val="00475CB0"/>
    <w:rsid w:val="00482190"/>
    <w:rsid w:val="004905A8"/>
    <w:rsid w:val="0049601E"/>
    <w:rsid w:val="00497AFF"/>
    <w:rsid w:val="004A1FB4"/>
    <w:rsid w:val="004A2D2A"/>
    <w:rsid w:val="004B5485"/>
    <w:rsid w:val="004B777D"/>
    <w:rsid w:val="004B78F8"/>
    <w:rsid w:val="004C008D"/>
    <w:rsid w:val="004C02D2"/>
    <w:rsid w:val="004C2021"/>
    <w:rsid w:val="004C4318"/>
    <w:rsid w:val="004C6D71"/>
    <w:rsid w:val="004D0D0E"/>
    <w:rsid w:val="004D159F"/>
    <w:rsid w:val="004D237A"/>
    <w:rsid w:val="004D7B17"/>
    <w:rsid w:val="004E0289"/>
    <w:rsid w:val="004E5035"/>
    <w:rsid w:val="004E5C1D"/>
    <w:rsid w:val="004F3A79"/>
    <w:rsid w:val="004F3D86"/>
    <w:rsid w:val="00503FE6"/>
    <w:rsid w:val="00507A08"/>
    <w:rsid w:val="00507FFE"/>
    <w:rsid w:val="0051244A"/>
    <w:rsid w:val="00527D26"/>
    <w:rsid w:val="005350B8"/>
    <w:rsid w:val="00535512"/>
    <w:rsid w:val="0053652F"/>
    <w:rsid w:val="005373A5"/>
    <w:rsid w:val="0054041F"/>
    <w:rsid w:val="00540D9B"/>
    <w:rsid w:val="00540E0B"/>
    <w:rsid w:val="0054622D"/>
    <w:rsid w:val="00551BD8"/>
    <w:rsid w:val="00555276"/>
    <w:rsid w:val="00556940"/>
    <w:rsid w:val="00564287"/>
    <w:rsid w:val="0057268B"/>
    <w:rsid w:val="00576532"/>
    <w:rsid w:val="00581A3A"/>
    <w:rsid w:val="00592519"/>
    <w:rsid w:val="00594353"/>
    <w:rsid w:val="00595695"/>
    <w:rsid w:val="005A09CE"/>
    <w:rsid w:val="005A7BEB"/>
    <w:rsid w:val="005B1ABC"/>
    <w:rsid w:val="005B2B52"/>
    <w:rsid w:val="005B35FF"/>
    <w:rsid w:val="005B6691"/>
    <w:rsid w:val="005B6F08"/>
    <w:rsid w:val="005C1530"/>
    <w:rsid w:val="005C6687"/>
    <w:rsid w:val="005D2D0F"/>
    <w:rsid w:val="005D3063"/>
    <w:rsid w:val="005D3FAE"/>
    <w:rsid w:val="005D5DDE"/>
    <w:rsid w:val="005E0F15"/>
    <w:rsid w:val="005E7479"/>
    <w:rsid w:val="005E7A57"/>
    <w:rsid w:val="005F0162"/>
    <w:rsid w:val="005F56DB"/>
    <w:rsid w:val="00602598"/>
    <w:rsid w:val="00607DA8"/>
    <w:rsid w:val="0061067B"/>
    <w:rsid w:val="0061366B"/>
    <w:rsid w:val="006139B3"/>
    <w:rsid w:val="00613BCF"/>
    <w:rsid w:val="006157FC"/>
    <w:rsid w:val="006268B8"/>
    <w:rsid w:val="00630B79"/>
    <w:rsid w:val="00630FE7"/>
    <w:rsid w:val="00633674"/>
    <w:rsid w:val="00635687"/>
    <w:rsid w:val="00636F03"/>
    <w:rsid w:val="00637566"/>
    <w:rsid w:val="00637D4A"/>
    <w:rsid w:val="00640DF0"/>
    <w:rsid w:val="006436F4"/>
    <w:rsid w:val="00647000"/>
    <w:rsid w:val="006516F5"/>
    <w:rsid w:val="00652049"/>
    <w:rsid w:val="00655C92"/>
    <w:rsid w:val="00655CF9"/>
    <w:rsid w:val="00671905"/>
    <w:rsid w:val="00677BEC"/>
    <w:rsid w:val="006933C5"/>
    <w:rsid w:val="00694330"/>
    <w:rsid w:val="006951D6"/>
    <w:rsid w:val="0069792F"/>
    <w:rsid w:val="006A5C1B"/>
    <w:rsid w:val="006A6A3E"/>
    <w:rsid w:val="006B0B45"/>
    <w:rsid w:val="006B0E04"/>
    <w:rsid w:val="006B10E7"/>
    <w:rsid w:val="006B1876"/>
    <w:rsid w:val="006B2BED"/>
    <w:rsid w:val="006B6981"/>
    <w:rsid w:val="006C15F8"/>
    <w:rsid w:val="006C2EAF"/>
    <w:rsid w:val="006C3C51"/>
    <w:rsid w:val="006C4D97"/>
    <w:rsid w:val="006D010D"/>
    <w:rsid w:val="006D5AEF"/>
    <w:rsid w:val="006F05A0"/>
    <w:rsid w:val="006F2513"/>
    <w:rsid w:val="006F28B6"/>
    <w:rsid w:val="006F6446"/>
    <w:rsid w:val="006F686B"/>
    <w:rsid w:val="0070130C"/>
    <w:rsid w:val="00712835"/>
    <w:rsid w:val="007163BB"/>
    <w:rsid w:val="007265DC"/>
    <w:rsid w:val="007275C2"/>
    <w:rsid w:val="0073145F"/>
    <w:rsid w:val="00733D0C"/>
    <w:rsid w:val="00737284"/>
    <w:rsid w:val="007376D5"/>
    <w:rsid w:val="00743D84"/>
    <w:rsid w:val="007466AE"/>
    <w:rsid w:val="00746E2E"/>
    <w:rsid w:val="00752231"/>
    <w:rsid w:val="007540DA"/>
    <w:rsid w:val="00754921"/>
    <w:rsid w:val="0075518D"/>
    <w:rsid w:val="0076175A"/>
    <w:rsid w:val="0076242B"/>
    <w:rsid w:val="00764F0F"/>
    <w:rsid w:val="007704E0"/>
    <w:rsid w:val="0078463D"/>
    <w:rsid w:val="00786832"/>
    <w:rsid w:val="007869AD"/>
    <w:rsid w:val="007904D1"/>
    <w:rsid w:val="00791CE2"/>
    <w:rsid w:val="00794DEB"/>
    <w:rsid w:val="007A2AD5"/>
    <w:rsid w:val="007A4CB7"/>
    <w:rsid w:val="007A66BC"/>
    <w:rsid w:val="007C01CC"/>
    <w:rsid w:val="007C1686"/>
    <w:rsid w:val="007C50B3"/>
    <w:rsid w:val="007C7102"/>
    <w:rsid w:val="007C75D1"/>
    <w:rsid w:val="007C787E"/>
    <w:rsid w:val="007F1838"/>
    <w:rsid w:val="007F1DBD"/>
    <w:rsid w:val="0080045E"/>
    <w:rsid w:val="0080108A"/>
    <w:rsid w:val="00801370"/>
    <w:rsid w:val="00803D7C"/>
    <w:rsid w:val="0080600F"/>
    <w:rsid w:val="00814298"/>
    <w:rsid w:val="00820AEF"/>
    <w:rsid w:val="0082144F"/>
    <w:rsid w:val="008220EC"/>
    <w:rsid w:val="00830508"/>
    <w:rsid w:val="00841B06"/>
    <w:rsid w:val="00841CAA"/>
    <w:rsid w:val="00843D4C"/>
    <w:rsid w:val="008464D2"/>
    <w:rsid w:val="00856385"/>
    <w:rsid w:val="0086272D"/>
    <w:rsid w:val="00865274"/>
    <w:rsid w:val="00866937"/>
    <w:rsid w:val="008677D2"/>
    <w:rsid w:val="0087523C"/>
    <w:rsid w:val="0088161C"/>
    <w:rsid w:val="008822C9"/>
    <w:rsid w:val="00882742"/>
    <w:rsid w:val="008831B4"/>
    <w:rsid w:val="0089203E"/>
    <w:rsid w:val="008A180A"/>
    <w:rsid w:val="008A41E2"/>
    <w:rsid w:val="008C0995"/>
    <w:rsid w:val="008C118C"/>
    <w:rsid w:val="008C1D6C"/>
    <w:rsid w:val="008D0810"/>
    <w:rsid w:val="008D3495"/>
    <w:rsid w:val="008D3F1C"/>
    <w:rsid w:val="008D5B9C"/>
    <w:rsid w:val="008D72FD"/>
    <w:rsid w:val="008E4D35"/>
    <w:rsid w:val="008E5C7B"/>
    <w:rsid w:val="008E79E1"/>
    <w:rsid w:val="008F3BB1"/>
    <w:rsid w:val="009018DC"/>
    <w:rsid w:val="00905F62"/>
    <w:rsid w:val="00913B68"/>
    <w:rsid w:val="009171BA"/>
    <w:rsid w:val="0092276A"/>
    <w:rsid w:val="009254D4"/>
    <w:rsid w:val="00925CDD"/>
    <w:rsid w:val="00926FA8"/>
    <w:rsid w:val="009306E3"/>
    <w:rsid w:val="009355ED"/>
    <w:rsid w:val="00937EAD"/>
    <w:rsid w:val="009404FF"/>
    <w:rsid w:val="0094294A"/>
    <w:rsid w:val="00945063"/>
    <w:rsid w:val="00946D74"/>
    <w:rsid w:val="00952C0B"/>
    <w:rsid w:val="0096393E"/>
    <w:rsid w:val="00963ED0"/>
    <w:rsid w:val="009678A0"/>
    <w:rsid w:val="0097053F"/>
    <w:rsid w:val="009707D1"/>
    <w:rsid w:val="00970EDA"/>
    <w:rsid w:val="00972954"/>
    <w:rsid w:val="009763C7"/>
    <w:rsid w:val="00982C04"/>
    <w:rsid w:val="00983432"/>
    <w:rsid w:val="009920D5"/>
    <w:rsid w:val="00994211"/>
    <w:rsid w:val="009A478C"/>
    <w:rsid w:val="009A558F"/>
    <w:rsid w:val="009A5B4B"/>
    <w:rsid w:val="009A6B90"/>
    <w:rsid w:val="009B106B"/>
    <w:rsid w:val="009B2043"/>
    <w:rsid w:val="009B3C49"/>
    <w:rsid w:val="009B639B"/>
    <w:rsid w:val="009C0237"/>
    <w:rsid w:val="009C41E4"/>
    <w:rsid w:val="009D14E0"/>
    <w:rsid w:val="009D16EF"/>
    <w:rsid w:val="009D1DD9"/>
    <w:rsid w:val="009E027E"/>
    <w:rsid w:val="009E240D"/>
    <w:rsid w:val="009E5BDD"/>
    <w:rsid w:val="009E7068"/>
    <w:rsid w:val="00A071D2"/>
    <w:rsid w:val="00A16ACA"/>
    <w:rsid w:val="00A16EB4"/>
    <w:rsid w:val="00A2600B"/>
    <w:rsid w:val="00A27485"/>
    <w:rsid w:val="00A30289"/>
    <w:rsid w:val="00A30697"/>
    <w:rsid w:val="00A33BCC"/>
    <w:rsid w:val="00A376B0"/>
    <w:rsid w:val="00A401F0"/>
    <w:rsid w:val="00A43007"/>
    <w:rsid w:val="00A460E2"/>
    <w:rsid w:val="00A47341"/>
    <w:rsid w:val="00A50090"/>
    <w:rsid w:val="00A51087"/>
    <w:rsid w:val="00A52D56"/>
    <w:rsid w:val="00A543E7"/>
    <w:rsid w:val="00A627ED"/>
    <w:rsid w:val="00A64700"/>
    <w:rsid w:val="00A64E7C"/>
    <w:rsid w:val="00A65A41"/>
    <w:rsid w:val="00A713A7"/>
    <w:rsid w:val="00A72987"/>
    <w:rsid w:val="00A72B75"/>
    <w:rsid w:val="00A736C7"/>
    <w:rsid w:val="00A77025"/>
    <w:rsid w:val="00A81411"/>
    <w:rsid w:val="00A94539"/>
    <w:rsid w:val="00A96017"/>
    <w:rsid w:val="00A979F1"/>
    <w:rsid w:val="00AA1989"/>
    <w:rsid w:val="00AA3260"/>
    <w:rsid w:val="00AA74E5"/>
    <w:rsid w:val="00AB4014"/>
    <w:rsid w:val="00AB4EC7"/>
    <w:rsid w:val="00AB6FDF"/>
    <w:rsid w:val="00AC0D40"/>
    <w:rsid w:val="00AC6794"/>
    <w:rsid w:val="00AD4D39"/>
    <w:rsid w:val="00AD516E"/>
    <w:rsid w:val="00AD7A83"/>
    <w:rsid w:val="00AE15D0"/>
    <w:rsid w:val="00AE300B"/>
    <w:rsid w:val="00AF3EAA"/>
    <w:rsid w:val="00AF545D"/>
    <w:rsid w:val="00B030C1"/>
    <w:rsid w:val="00B063FA"/>
    <w:rsid w:val="00B1447C"/>
    <w:rsid w:val="00B16457"/>
    <w:rsid w:val="00B2002B"/>
    <w:rsid w:val="00B201D1"/>
    <w:rsid w:val="00B27537"/>
    <w:rsid w:val="00B30B2A"/>
    <w:rsid w:val="00B355FE"/>
    <w:rsid w:val="00B35C83"/>
    <w:rsid w:val="00B44ECD"/>
    <w:rsid w:val="00B50BD8"/>
    <w:rsid w:val="00B5642A"/>
    <w:rsid w:val="00B60F85"/>
    <w:rsid w:val="00B616C1"/>
    <w:rsid w:val="00B627F9"/>
    <w:rsid w:val="00B62BEF"/>
    <w:rsid w:val="00B64570"/>
    <w:rsid w:val="00B645FD"/>
    <w:rsid w:val="00B709AD"/>
    <w:rsid w:val="00B71542"/>
    <w:rsid w:val="00B72AA5"/>
    <w:rsid w:val="00B74E5B"/>
    <w:rsid w:val="00B774DC"/>
    <w:rsid w:val="00B8297C"/>
    <w:rsid w:val="00B84A75"/>
    <w:rsid w:val="00BA075E"/>
    <w:rsid w:val="00BA758E"/>
    <w:rsid w:val="00BA76DC"/>
    <w:rsid w:val="00BB2146"/>
    <w:rsid w:val="00BB76E7"/>
    <w:rsid w:val="00BC168B"/>
    <w:rsid w:val="00BC2F97"/>
    <w:rsid w:val="00BC6B32"/>
    <w:rsid w:val="00BD7E61"/>
    <w:rsid w:val="00BF1B46"/>
    <w:rsid w:val="00BF3168"/>
    <w:rsid w:val="00BF4622"/>
    <w:rsid w:val="00C00C5A"/>
    <w:rsid w:val="00C02C30"/>
    <w:rsid w:val="00C074C1"/>
    <w:rsid w:val="00C102EE"/>
    <w:rsid w:val="00C1090C"/>
    <w:rsid w:val="00C10961"/>
    <w:rsid w:val="00C1450F"/>
    <w:rsid w:val="00C15998"/>
    <w:rsid w:val="00C21B1B"/>
    <w:rsid w:val="00C2212C"/>
    <w:rsid w:val="00C251BD"/>
    <w:rsid w:val="00C256DF"/>
    <w:rsid w:val="00C27821"/>
    <w:rsid w:val="00C40017"/>
    <w:rsid w:val="00C40635"/>
    <w:rsid w:val="00C415D8"/>
    <w:rsid w:val="00C41B9C"/>
    <w:rsid w:val="00C41E1B"/>
    <w:rsid w:val="00C42F9F"/>
    <w:rsid w:val="00C453B0"/>
    <w:rsid w:val="00C47E0E"/>
    <w:rsid w:val="00C5162A"/>
    <w:rsid w:val="00C55B7E"/>
    <w:rsid w:val="00C5701A"/>
    <w:rsid w:val="00C655D3"/>
    <w:rsid w:val="00C6584D"/>
    <w:rsid w:val="00C76BB1"/>
    <w:rsid w:val="00C80592"/>
    <w:rsid w:val="00C82759"/>
    <w:rsid w:val="00C855AF"/>
    <w:rsid w:val="00C858B7"/>
    <w:rsid w:val="00C8626C"/>
    <w:rsid w:val="00C878A6"/>
    <w:rsid w:val="00C9409C"/>
    <w:rsid w:val="00C9748A"/>
    <w:rsid w:val="00CA4000"/>
    <w:rsid w:val="00CB0939"/>
    <w:rsid w:val="00CB66FD"/>
    <w:rsid w:val="00CB7679"/>
    <w:rsid w:val="00CC0954"/>
    <w:rsid w:val="00CC328B"/>
    <w:rsid w:val="00CC6044"/>
    <w:rsid w:val="00CC6462"/>
    <w:rsid w:val="00CD004C"/>
    <w:rsid w:val="00CD3E96"/>
    <w:rsid w:val="00CE37F7"/>
    <w:rsid w:val="00CE3B9C"/>
    <w:rsid w:val="00CF1473"/>
    <w:rsid w:val="00D0433F"/>
    <w:rsid w:val="00D1006B"/>
    <w:rsid w:val="00D11D24"/>
    <w:rsid w:val="00D12FF4"/>
    <w:rsid w:val="00D321E5"/>
    <w:rsid w:val="00D336A3"/>
    <w:rsid w:val="00D42AEA"/>
    <w:rsid w:val="00D461FC"/>
    <w:rsid w:val="00D51602"/>
    <w:rsid w:val="00D547FB"/>
    <w:rsid w:val="00D61B20"/>
    <w:rsid w:val="00D66EEE"/>
    <w:rsid w:val="00D676A2"/>
    <w:rsid w:val="00D712F0"/>
    <w:rsid w:val="00D72C80"/>
    <w:rsid w:val="00D73BF8"/>
    <w:rsid w:val="00D81753"/>
    <w:rsid w:val="00D821CF"/>
    <w:rsid w:val="00D831D6"/>
    <w:rsid w:val="00D865DB"/>
    <w:rsid w:val="00D900D9"/>
    <w:rsid w:val="00D90644"/>
    <w:rsid w:val="00D9338E"/>
    <w:rsid w:val="00D965C4"/>
    <w:rsid w:val="00DB44C4"/>
    <w:rsid w:val="00DB5640"/>
    <w:rsid w:val="00DC485D"/>
    <w:rsid w:val="00DC728B"/>
    <w:rsid w:val="00DD5156"/>
    <w:rsid w:val="00DE09A3"/>
    <w:rsid w:val="00DE0D08"/>
    <w:rsid w:val="00DE2915"/>
    <w:rsid w:val="00DE7A2F"/>
    <w:rsid w:val="00DF4F8F"/>
    <w:rsid w:val="00E00E06"/>
    <w:rsid w:val="00E01A4F"/>
    <w:rsid w:val="00E01BE2"/>
    <w:rsid w:val="00E035BA"/>
    <w:rsid w:val="00E042B7"/>
    <w:rsid w:val="00E057D7"/>
    <w:rsid w:val="00E11B27"/>
    <w:rsid w:val="00E16F9C"/>
    <w:rsid w:val="00E17EB8"/>
    <w:rsid w:val="00E200FA"/>
    <w:rsid w:val="00E20C98"/>
    <w:rsid w:val="00E237B2"/>
    <w:rsid w:val="00E26758"/>
    <w:rsid w:val="00E32EBB"/>
    <w:rsid w:val="00E33D6F"/>
    <w:rsid w:val="00E3667F"/>
    <w:rsid w:val="00E47088"/>
    <w:rsid w:val="00E5589A"/>
    <w:rsid w:val="00E57DCA"/>
    <w:rsid w:val="00E64E21"/>
    <w:rsid w:val="00E65619"/>
    <w:rsid w:val="00E673D8"/>
    <w:rsid w:val="00E71923"/>
    <w:rsid w:val="00E73CE9"/>
    <w:rsid w:val="00E84804"/>
    <w:rsid w:val="00E85FDF"/>
    <w:rsid w:val="00E9013D"/>
    <w:rsid w:val="00E916F4"/>
    <w:rsid w:val="00E923B4"/>
    <w:rsid w:val="00E93C80"/>
    <w:rsid w:val="00E94059"/>
    <w:rsid w:val="00E96E45"/>
    <w:rsid w:val="00E979D7"/>
    <w:rsid w:val="00EA50D3"/>
    <w:rsid w:val="00EA7719"/>
    <w:rsid w:val="00EC0C6E"/>
    <w:rsid w:val="00EC7B80"/>
    <w:rsid w:val="00ED350C"/>
    <w:rsid w:val="00ED4CAC"/>
    <w:rsid w:val="00ED79D3"/>
    <w:rsid w:val="00EE3B26"/>
    <w:rsid w:val="00F01C02"/>
    <w:rsid w:val="00F107E2"/>
    <w:rsid w:val="00F10E15"/>
    <w:rsid w:val="00F12921"/>
    <w:rsid w:val="00F12AA3"/>
    <w:rsid w:val="00F23C89"/>
    <w:rsid w:val="00F35520"/>
    <w:rsid w:val="00F375A4"/>
    <w:rsid w:val="00F41C4A"/>
    <w:rsid w:val="00F41F45"/>
    <w:rsid w:val="00F4633A"/>
    <w:rsid w:val="00F47263"/>
    <w:rsid w:val="00F52E35"/>
    <w:rsid w:val="00F536E1"/>
    <w:rsid w:val="00F54518"/>
    <w:rsid w:val="00F55815"/>
    <w:rsid w:val="00F610DB"/>
    <w:rsid w:val="00F63142"/>
    <w:rsid w:val="00F63F9C"/>
    <w:rsid w:val="00F65FEA"/>
    <w:rsid w:val="00F66CB3"/>
    <w:rsid w:val="00F7099D"/>
    <w:rsid w:val="00F7495E"/>
    <w:rsid w:val="00F75389"/>
    <w:rsid w:val="00F755A4"/>
    <w:rsid w:val="00F769B9"/>
    <w:rsid w:val="00F818B3"/>
    <w:rsid w:val="00F81D1B"/>
    <w:rsid w:val="00F82028"/>
    <w:rsid w:val="00F873A7"/>
    <w:rsid w:val="00F94E47"/>
    <w:rsid w:val="00FA7AA9"/>
    <w:rsid w:val="00FA7F9F"/>
    <w:rsid w:val="00FB1E82"/>
    <w:rsid w:val="00FB578D"/>
    <w:rsid w:val="00FB585E"/>
    <w:rsid w:val="00FB621D"/>
    <w:rsid w:val="00FC37A1"/>
    <w:rsid w:val="00FC3B45"/>
    <w:rsid w:val="00FC4DE4"/>
    <w:rsid w:val="00FC77FE"/>
    <w:rsid w:val="00FD5020"/>
    <w:rsid w:val="00FD5E54"/>
    <w:rsid w:val="00FD5FD5"/>
    <w:rsid w:val="00FE195E"/>
    <w:rsid w:val="00FE5E75"/>
    <w:rsid w:val="00FF6C9B"/>
    <w:rsid w:val="00FF7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15:docId w15:val="{A8D1330F-C04B-490A-92BC-E40843B44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355FE"/>
    <w:pPr>
      <w:keepNext/>
      <w:numPr>
        <w:ilvl w:val="2"/>
        <w:numId w:val="1"/>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qFormat/>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qFormat/>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pPr>
      <w:spacing w:after="120"/>
    </w:pPr>
  </w:style>
  <w:style w:type="character" w:customStyle="1" w:styleId="a7">
    <w:name w:val="正文文本 字符"/>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ar"/>
    <w:qFormat/>
    <w:rsid w:val="00856385"/>
    <w:pPr>
      <w:keepNext/>
      <w:keepLines/>
      <w:jc w:val="center"/>
    </w:pPr>
    <w:rPr>
      <w:rFonts w:ascii="Arial" w:hAnsi="Arial"/>
      <w:b/>
      <w:sz w:val="18"/>
      <w:szCs w:val="20"/>
      <w:lang w:val="en-GB"/>
    </w:rPr>
  </w:style>
  <w:style w:type="paragraph" w:styleId="af2">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Bullets"/>
    <w:basedOn w:val="a"/>
    <w:link w:val="af3"/>
    <w:uiPriority w:val="34"/>
    <w:qFormat/>
    <w:rsid w:val="000B43C9"/>
    <w:pPr>
      <w:overflowPunct w:val="0"/>
      <w:autoSpaceDE w:val="0"/>
      <w:autoSpaceDN w:val="0"/>
      <w:adjustRightInd w:val="0"/>
      <w:spacing w:after="180"/>
      <w:ind w:left="720"/>
      <w:contextualSpacing/>
      <w:textAlignment w:val="baseline"/>
    </w:pPr>
    <w:rPr>
      <w:szCs w:val="20"/>
      <w:lang w:val="en-GB" w:eastAsia="en-GB"/>
    </w:rPr>
  </w:style>
  <w:style w:type="character" w:customStyle="1" w:styleId="af3">
    <w:name w:val="列表段落 字符"/>
    <w:aliases w:val="numbered 字符,Paragraphe de liste1 字符,Bulletr List Paragraph 字符,列出段落 字符,列出段落1 字符,Bullet List 字符,FooterText 字符,List Paragraph1 字符,List Paragraph2 字符,List Paragraph21 字符,List Paragraph11 字符,Parágrafo da Lista1 字符,Párrafo de lista1 字符,リスト段落1 字符,Fo 字符"/>
    <w:link w:val="af2"/>
    <w:uiPriority w:val="34"/>
    <w:qFormat/>
    <w:locked/>
    <w:rsid w:val="000B43C9"/>
    <w:rPr>
      <w:rFonts w:ascii="Times New Roman" w:eastAsia="Times New Roman" w:hAnsi="Times New Roman" w:cs="Times New Roman"/>
      <w:sz w:val="20"/>
      <w:szCs w:val="20"/>
      <w:lang w:val="en-GB" w:eastAsia="en-GB"/>
    </w:rPr>
  </w:style>
  <w:style w:type="paragraph" w:customStyle="1" w:styleId="xmsonormal">
    <w:name w:val="x_msonormal"/>
    <w:basedOn w:val="a"/>
    <w:uiPriority w:val="99"/>
    <w:qFormat/>
    <w:rsid w:val="00F7099D"/>
    <w:pPr>
      <w:spacing w:before="100" w:beforeAutospacing="1" w:after="100" w:afterAutospacing="1"/>
    </w:pPr>
    <w:rPr>
      <w:rFonts w:ascii="Calibri" w:eastAsiaTheme="minorHAnsi" w:hAnsi="Calibri" w:cs="Calibri"/>
      <w:sz w:val="22"/>
      <w:szCs w:val="22"/>
      <w:lang w:val="en-GB" w:eastAsia="en-GB"/>
    </w:rPr>
  </w:style>
  <w:style w:type="character" w:styleId="af4">
    <w:name w:val="Hyperlink"/>
    <w:uiPriority w:val="99"/>
    <w:qFormat/>
    <w:rsid w:val="0040474C"/>
    <w:rPr>
      <w:color w:val="0000FF"/>
      <w:u w:val="single"/>
    </w:rPr>
  </w:style>
  <w:style w:type="paragraph" w:customStyle="1" w:styleId="TH">
    <w:name w:val="TH"/>
    <w:basedOn w:val="a"/>
    <w:link w:val="THChar"/>
    <w:qFormat/>
    <w:rsid w:val="00093D72"/>
    <w:pPr>
      <w:keepNext/>
      <w:keepLines/>
      <w:spacing w:before="60" w:after="180"/>
      <w:jc w:val="center"/>
    </w:pPr>
    <w:rPr>
      <w:rFonts w:ascii="Arial" w:eastAsia="Malgun Gothic" w:hAnsi="Arial"/>
      <w:b/>
      <w:szCs w:val="20"/>
      <w:lang w:val="en-GB"/>
    </w:rPr>
  </w:style>
  <w:style w:type="character" w:customStyle="1" w:styleId="THChar">
    <w:name w:val="TH Char"/>
    <w:link w:val="TH"/>
    <w:qFormat/>
    <w:rsid w:val="00093D72"/>
    <w:rPr>
      <w:rFonts w:ascii="Arial" w:eastAsia="Malgun Gothic" w:hAnsi="Arial" w:cs="Times New Roman"/>
      <w:b/>
      <w:sz w:val="20"/>
      <w:szCs w:val="20"/>
      <w:lang w:val="en-GB" w:eastAsia="en-US"/>
    </w:rPr>
  </w:style>
  <w:style w:type="character" w:customStyle="1" w:styleId="TAHCar">
    <w:name w:val="TAH Car"/>
    <w:link w:val="TAH"/>
    <w:qFormat/>
    <w:rsid w:val="00093D72"/>
    <w:rPr>
      <w:rFonts w:ascii="Arial" w:eastAsia="Times New Roman" w:hAnsi="Arial" w:cs="Times New Roman"/>
      <w:b/>
      <w:sz w:val="18"/>
      <w:szCs w:val="20"/>
      <w:lang w:val="en-GB" w:eastAsia="en-US"/>
    </w:rPr>
  </w:style>
  <w:style w:type="character" w:customStyle="1" w:styleId="TALChar">
    <w:name w:val="TAL Char"/>
    <w:link w:val="TAL"/>
    <w:qFormat/>
    <w:locked/>
    <w:rsid w:val="00093D72"/>
    <w:rPr>
      <w:rFonts w:ascii="Arial" w:eastAsia="Times New Roman" w:hAnsi="Arial" w:cs="Times New Roman"/>
      <w:sz w:val="18"/>
      <w:szCs w:val="20"/>
      <w:lang w:val="en-GB" w:eastAsia="en-US"/>
    </w:rPr>
  </w:style>
  <w:style w:type="paragraph" w:customStyle="1" w:styleId="B1">
    <w:name w:val="B1"/>
    <w:basedOn w:val="af5"/>
    <w:link w:val="B10"/>
    <w:qFormat/>
    <w:rsid w:val="00093D72"/>
    <w:pPr>
      <w:spacing w:after="180"/>
      <w:ind w:left="568" w:hanging="284"/>
      <w:contextualSpacing w:val="0"/>
    </w:pPr>
    <w:rPr>
      <w:rFonts w:eastAsia="Malgun Gothic"/>
      <w:szCs w:val="20"/>
      <w:lang w:val="en-GB"/>
    </w:rPr>
  </w:style>
  <w:style w:type="character" w:customStyle="1" w:styleId="B10">
    <w:name w:val="B1 (文字)"/>
    <w:link w:val="B1"/>
    <w:locked/>
    <w:rsid w:val="00093D72"/>
    <w:rPr>
      <w:rFonts w:ascii="Times New Roman" w:eastAsia="Malgun Gothic" w:hAnsi="Times New Roman" w:cs="Times New Roman"/>
      <w:sz w:val="20"/>
      <w:szCs w:val="20"/>
      <w:lang w:val="en-GB" w:eastAsia="en-US"/>
    </w:rPr>
  </w:style>
  <w:style w:type="paragraph" w:styleId="af5">
    <w:name w:val="List"/>
    <w:basedOn w:val="a"/>
    <w:uiPriority w:val="99"/>
    <w:semiHidden/>
    <w:unhideWhenUsed/>
    <w:rsid w:val="00093D72"/>
    <w:pPr>
      <w:ind w:left="283" w:hanging="283"/>
      <w:contextualSpacing/>
    </w:pPr>
  </w:style>
  <w:style w:type="paragraph" w:customStyle="1" w:styleId="TF">
    <w:name w:val="TF"/>
    <w:basedOn w:val="TH"/>
    <w:link w:val="TFChar"/>
    <w:qFormat/>
    <w:rsid w:val="00B616C1"/>
    <w:pPr>
      <w:keepNext w:val="0"/>
      <w:overflowPunct w:val="0"/>
      <w:autoSpaceDE w:val="0"/>
      <w:autoSpaceDN w:val="0"/>
      <w:adjustRightInd w:val="0"/>
      <w:spacing w:before="0" w:after="240"/>
      <w:textAlignment w:val="baseline"/>
    </w:pPr>
    <w:rPr>
      <w:rFonts w:eastAsia="Times New Roman"/>
    </w:rPr>
  </w:style>
  <w:style w:type="character" w:customStyle="1" w:styleId="TFChar">
    <w:name w:val="TF Char"/>
    <w:link w:val="TF"/>
    <w:qFormat/>
    <w:rsid w:val="00B616C1"/>
    <w:rPr>
      <w:rFonts w:ascii="Arial" w:eastAsia="Times New Roman" w:hAnsi="Arial" w:cs="Times New Roman"/>
      <w:b/>
      <w:sz w:val="20"/>
      <w:szCs w:val="20"/>
      <w:lang w:val="en-GB" w:eastAsia="en-US"/>
    </w:rPr>
  </w:style>
  <w:style w:type="character" w:styleId="af6">
    <w:name w:val="Strong"/>
    <w:basedOn w:val="a1"/>
    <w:uiPriority w:val="22"/>
    <w:qFormat/>
    <w:rsid w:val="002962CD"/>
    <w:rPr>
      <w:b/>
      <w:bCs/>
    </w:rPr>
  </w:style>
  <w:style w:type="paragraph" w:customStyle="1" w:styleId="xxmsonormal">
    <w:name w:val="x_xmsonormal"/>
    <w:basedOn w:val="a"/>
    <w:rsid w:val="002962CD"/>
    <w:rPr>
      <w:rFonts w:ascii="Calibri" w:eastAsia="Gulim" w:hAnsi="Calibri" w:cs="Calibri"/>
      <w:sz w:val="22"/>
      <w:szCs w:val="22"/>
      <w:lang w:eastAsia="ko-KR"/>
    </w:rPr>
  </w:style>
  <w:style w:type="paragraph" w:customStyle="1" w:styleId="textintend1">
    <w:name w:val="text intend 1"/>
    <w:basedOn w:val="a"/>
    <w:rsid w:val="001427FE"/>
    <w:pPr>
      <w:numPr>
        <w:numId w:val="35"/>
      </w:numPr>
      <w:overflowPunct w:val="0"/>
      <w:autoSpaceDE w:val="0"/>
      <w:autoSpaceDN w:val="0"/>
      <w:adjustRightInd w:val="0"/>
      <w:spacing w:after="120"/>
      <w:jc w:val="both"/>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5075-A6E5-4D5C-B258-9E9F74471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2405</TotalTime>
  <Pages>5</Pages>
  <Words>1944</Words>
  <Characters>11086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Zhihua Shi</cp:lastModifiedBy>
  <cp:revision>63</cp:revision>
  <dcterms:created xsi:type="dcterms:W3CDTF">2019-09-30T14:09:00Z</dcterms:created>
  <dcterms:modified xsi:type="dcterms:W3CDTF">2021-05-10T09:33:00Z</dcterms:modified>
</cp:coreProperties>
</file>