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698C" w:rsidRDefault="00D0698C" w:rsidP="00872D44">
      <w:pPr>
        <w:pBdr>
          <w:top w:val="single" w:sz="4" w:space="1" w:color="auto"/>
        </w:pBdr>
        <w:spacing w:after="0"/>
        <w:jc w:val="left"/>
        <w:rPr>
          <w:b/>
          <w:noProof/>
          <w:lang w:eastAsia="fr-FR"/>
        </w:rPr>
      </w:pPr>
    </w:p>
    <w:p w:rsidR="00872D44" w:rsidRPr="00943FD8" w:rsidRDefault="007A2618" w:rsidP="00872D44">
      <w:pPr>
        <w:pBdr>
          <w:top w:val="single" w:sz="4" w:space="1" w:color="auto"/>
        </w:pBdr>
        <w:spacing w:after="0"/>
        <w:jc w:val="left"/>
        <w:rPr>
          <w:b/>
          <w:noProof/>
          <w:lang w:eastAsia="fr-FR"/>
        </w:rPr>
      </w:pPr>
      <w:r w:rsidRPr="007A2618">
        <w:rPr>
          <w:b/>
          <w:noProof/>
          <w:lang w:eastAsia="fr-FR"/>
        </w:rPr>
        <w:t xml:space="preserve">3GPP TSG RAN WG1 Meeting #105-e  </w:t>
      </w:r>
      <w:r w:rsidRPr="007A2618">
        <w:rPr>
          <w:b/>
          <w:noProof/>
          <w:lang w:eastAsia="fr-FR"/>
        </w:rPr>
        <w:tab/>
      </w:r>
      <w:r w:rsidR="00872D44">
        <w:rPr>
          <w:b/>
          <w:noProof/>
          <w:lang w:eastAsia="fr-FR"/>
        </w:rPr>
        <w:tab/>
      </w:r>
      <w:r w:rsidR="00872D44">
        <w:rPr>
          <w:b/>
          <w:noProof/>
          <w:lang w:eastAsia="fr-FR"/>
        </w:rPr>
        <w:tab/>
      </w:r>
      <w:r w:rsidR="00872D44">
        <w:rPr>
          <w:b/>
          <w:noProof/>
          <w:lang w:eastAsia="fr-FR"/>
        </w:rPr>
        <w:tab/>
      </w:r>
      <w:r w:rsidR="00872D44">
        <w:rPr>
          <w:b/>
          <w:noProof/>
          <w:lang w:eastAsia="fr-FR"/>
        </w:rPr>
        <w:tab/>
      </w:r>
      <w:r w:rsidR="00872D44">
        <w:rPr>
          <w:b/>
          <w:noProof/>
          <w:lang w:eastAsia="fr-FR"/>
        </w:rPr>
        <w:tab/>
      </w:r>
      <w:r w:rsidR="00872D44">
        <w:rPr>
          <w:b/>
          <w:noProof/>
          <w:lang w:eastAsia="fr-FR"/>
        </w:rPr>
        <w:tab/>
      </w:r>
      <w:r w:rsidR="00872D44">
        <w:rPr>
          <w:b/>
          <w:noProof/>
          <w:lang w:eastAsia="fr-FR"/>
        </w:rPr>
        <w:tab/>
      </w:r>
      <w:r w:rsidR="00872D44">
        <w:rPr>
          <w:b/>
          <w:noProof/>
          <w:lang w:eastAsia="fr-FR"/>
        </w:rPr>
        <w:tab/>
      </w:r>
      <w:r w:rsidR="00872D44">
        <w:rPr>
          <w:b/>
          <w:noProof/>
          <w:lang w:eastAsia="fr-FR"/>
        </w:rPr>
        <w:tab/>
      </w:r>
      <w:r w:rsidRPr="007A2618">
        <w:rPr>
          <w:b/>
          <w:noProof/>
          <w:lang w:eastAsia="fr-FR"/>
        </w:rPr>
        <w:t>R1-2104307</w:t>
      </w:r>
    </w:p>
    <w:p w:rsidR="00872D44" w:rsidRDefault="00C6553D" w:rsidP="00872D44">
      <w:pPr>
        <w:tabs>
          <w:tab w:val="right" w:pos="9216"/>
        </w:tabs>
        <w:spacing w:after="0"/>
        <w:jc w:val="left"/>
        <w:rPr>
          <w:b/>
          <w:noProof/>
          <w:lang w:eastAsia="fr-FR"/>
        </w:rPr>
      </w:pPr>
      <w:r w:rsidRPr="00C6553D">
        <w:rPr>
          <w:b/>
          <w:noProof/>
          <w:lang w:eastAsia="fr-FR"/>
        </w:rPr>
        <w:t xml:space="preserve">e-Meeting, </w:t>
      </w:r>
      <w:r w:rsidR="007A2618" w:rsidRPr="007A2618">
        <w:rPr>
          <w:b/>
          <w:noProof/>
          <w:lang w:eastAsia="fr-FR"/>
        </w:rPr>
        <w:t>May 10th – 27th, 2021</w:t>
      </w:r>
    </w:p>
    <w:p w:rsidR="00D0698C" w:rsidRDefault="00D0698C" w:rsidP="00872D44">
      <w:pPr>
        <w:tabs>
          <w:tab w:val="right" w:pos="9216"/>
        </w:tabs>
        <w:spacing w:after="0"/>
        <w:jc w:val="left"/>
        <w:rPr>
          <w:b/>
          <w:noProof/>
          <w:lang w:eastAsia="fr-FR"/>
        </w:rPr>
      </w:pPr>
    </w:p>
    <w:p w:rsidR="00FD0EF8" w:rsidRPr="00FF3EEC" w:rsidRDefault="00FD0EF8" w:rsidP="00FF3EEC">
      <w:pPr>
        <w:pBdr>
          <w:top w:val="single" w:sz="4" w:space="1" w:color="auto"/>
        </w:pBdr>
        <w:spacing w:after="0"/>
        <w:jc w:val="left"/>
        <w:rPr>
          <w:b/>
          <w:kern w:val="2"/>
          <w:lang w:eastAsia="zh-CN"/>
        </w:rPr>
      </w:pPr>
    </w:p>
    <w:p w:rsidR="00D0698C" w:rsidRPr="0041458F" w:rsidRDefault="00D0698C" w:rsidP="00D0698C">
      <w:pPr>
        <w:tabs>
          <w:tab w:val="left" w:pos="1800"/>
        </w:tabs>
        <w:spacing w:after="60"/>
        <w:ind w:left="1800" w:hanging="1800"/>
        <w:rPr>
          <w:rFonts w:ascii="Arial" w:hAnsi="Arial" w:cs="Arial"/>
          <w:b/>
          <w:sz w:val="20"/>
          <w:szCs w:val="20"/>
        </w:rPr>
      </w:pPr>
      <w:r w:rsidRPr="0041458F">
        <w:rPr>
          <w:rFonts w:ascii="Arial" w:hAnsi="Arial" w:cs="Arial"/>
          <w:b/>
          <w:color w:val="000000"/>
          <w:sz w:val="20"/>
          <w:szCs w:val="20"/>
        </w:rPr>
        <w:t>Title:</w:t>
      </w:r>
      <w:r w:rsidRPr="0041458F">
        <w:rPr>
          <w:rFonts w:ascii="Arial" w:hAnsi="Arial" w:cs="Arial"/>
          <w:b/>
          <w:color w:val="000000"/>
          <w:sz w:val="20"/>
          <w:szCs w:val="20"/>
        </w:rPr>
        <w:tab/>
      </w:r>
      <w:r w:rsidRPr="007125D4">
        <w:rPr>
          <w:rFonts w:ascii="Arial" w:hAnsi="Arial" w:cs="Arial"/>
          <w:b/>
          <w:color w:val="000000"/>
          <w:sz w:val="20"/>
          <w:szCs w:val="20"/>
        </w:rPr>
        <w:t>Beam management and BWP operation in NTN</w:t>
      </w:r>
    </w:p>
    <w:p w:rsidR="00D0698C" w:rsidRPr="0041458F" w:rsidRDefault="00D0698C" w:rsidP="00D0698C">
      <w:pPr>
        <w:tabs>
          <w:tab w:val="left" w:pos="1800"/>
        </w:tabs>
        <w:spacing w:after="60"/>
        <w:rPr>
          <w:rFonts w:ascii="Arial" w:hAnsi="Arial" w:cs="Arial"/>
          <w:b/>
          <w:sz w:val="20"/>
          <w:szCs w:val="20"/>
        </w:rPr>
      </w:pPr>
      <w:r w:rsidRPr="0041458F">
        <w:rPr>
          <w:rFonts w:ascii="Arial" w:hAnsi="Arial" w:cs="Arial"/>
          <w:b/>
          <w:sz w:val="20"/>
          <w:szCs w:val="20"/>
        </w:rPr>
        <w:t xml:space="preserve">Source: </w:t>
      </w:r>
      <w:r w:rsidRPr="0041458F">
        <w:rPr>
          <w:rFonts w:ascii="Arial" w:hAnsi="Arial" w:cs="Arial"/>
          <w:b/>
          <w:sz w:val="20"/>
          <w:szCs w:val="20"/>
        </w:rPr>
        <w:tab/>
        <w:t xml:space="preserve">Thales </w:t>
      </w:r>
    </w:p>
    <w:p w:rsidR="00D0698C" w:rsidRPr="0041458F" w:rsidRDefault="00D0698C" w:rsidP="00D0698C">
      <w:pPr>
        <w:tabs>
          <w:tab w:val="left" w:pos="1800"/>
        </w:tabs>
        <w:spacing w:after="60"/>
        <w:rPr>
          <w:rFonts w:ascii="Arial" w:hAnsi="Arial" w:cs="Arial"/>
          <w:b/>
          <w:sz w:val="20"/>
          <w:szCs w:val="20"/>
        </w:rPr>
      </w:pPr>
      <w:r w:rsidRPr="0041458F">
        <w:rPr>
          <w:rFonts w:ascii="Arial" w:hAnsi="Arial" w:cs="Arial"/>
          <w:b/>
          <w:sz w:val="20"/>
          <w:szCs w:val="20"/>
        </w:rPr>
        <w:t>Type:</w:t>
      </w:r>
      <w:r w:rsidRPr="0041458F">
        <w:rPr>
          <w:rFonts w:ascii="Arial" w:hAnsi="Arial" w:cs="Arial"/>
          <w:b/>
          <w:sz w:val="20"/>
          <w:szCs w:val="20"/>
        </w:rPr>
        <w:tab/>
        <w:t>Discussion</w:t>
      </w:r>
    </w:p>
    <w:p w:rsidR="00D0698C" w:rsidRPr="0041458F" w:rsidRDefault="00D0698C" w:rsidP="00D0698C">
      <w:pPr>
        <w:tabs>
          <w:tab w:val="left" w:pos="1800"/>
        </w:tabs>
        <w:spacing w:after="60"/>
        <w:rPr>
          <w:rFonts w:ascii="Arial" w:hAnsi="Arial" w:cs="Arial"/>
          <w:b/>
          <w:sz w:val="20"/>
          <w:szCs w:val="20"/>
        </w:rPr>
      </w:pPr>
      <w:r w:rsidRPr="0041458F">
        <w:rPr>
          <w:rFonts w:ascii="Arial" w:hAnsi="Arial" w:cs="Arial"/>
          <w:b/>
          <w:sz w:val="20"/>
          <w:szCs w:val="20"/>
        </w:rPr>
        <w:t>Document for:</w:t>
      </w:r>
      <w:r w:rsidRPr="0041458F">
        <w:rPr>
          <w:rFonts w:ascii="Arial" w:hAnsi="Arial" w:cs="Arial"/>
          <w:b/>
          <w:sz w:val="20"/>
          <w:szCs w:val="20"/>
        </w:rPr>
        <w:tab/>
      </w:r>
      <w:r>
        <w:rPr>
          <w:rFonts w:ascii="Arial" w:hAnsi="Arial" w:cs="Arial"/>
          <w:b/>
          <w:sz w:val="20"/>
          <w:szCs w:val="20"/>
        </w:rPr>
        <w:t>Decision</w:t>
      </w:r>
    </w:p>
    <w:p w:rsidR="00D0698C" w:rsidRPr="0041458F" w:rsidRDefault="00D0698C" w:rsidP="00D0698C">
      <w:pPr>
        <w:pBdr>
          <w:bottom w:val="single" w:sz="6" w:space="1" w:color="auto"/>
        </w:pBdr>
        <w:tabs>
          <w:tab w:val="left" w:pos="1800"/>
        </w:tabs>
        <w:spacing w:after="60"/>
        <w:rPr>
          <w:rFonts w:ascii="Arial" w:hAnsi="Arial" w:cs="Arial"/>
          <w:b/>
          <w:sz w:val="20"/>
          <w:szCs w:val="20"/>
        </w:rPr>
      </w:pPr>
      <w:r w:rsidRPr="0041458F">
        <w:rPr>
          <w:rFonts w:ascii="Arial" w:hAnsi="Arial" w:cs="Arial"/>
          <w:b/>
          <w:sz w:val="20"/>
          <w:szCs w:val="20"/>
        </w:rPr>
        <w:t>Agenda Item:</w:t>
      </w:r>
      <w:r w:rsidRPr="0041458F">
        <w:rPr>
          <w:rFonts w:ascii="Arial" w:hAnsi="Arial" w:cs="Arial"/>
          <w:b/>
          <w:sz w:val="20"/>
          <w:szCs w:val="20"/>
        </w:rPr>
        <w:tab/>
        <w:t>8.4.4</w:t>
      </w:r>
      <w:r w:rsidR="007A2618">
        <w:rPr>
          <w:rFonts w:ascii="Arial" w:hAnsi="Arial" w:cs="Arial"/>
          <w:b/>
          <w:sz w:val="20"/>
          <w:szCs w:val="20"/>
        </w:rPr>
        <w:t xml:space="preserve"> </w:t>
      </w:r>
    </w:p>
    <w:p w:rsidR="00791306" w:rsidRPr="00D0698C" w:rsidRDefault="00D0698C" w:rsidP="00D0698C">
      <w:pPr>
        <w:pBdr>
          <w:bottom w:val="single" w:sz="6" w:space="1" w:color="auto"/>
        </w:pBdr>
        <w:tabs>
          <w:tab w:val="left" w:pos="1800"/>
        </w:tabs>
        <w:spacing w:after="60"/>
        <w:rPr>
          <w:rFonts w:ascii="Arial" w:hAnsi="Arial" w:cs="Arial"/>
          <w:b/>
          <w:sz w:val="20"/>
          <w:szCs w:val="20"/>
        </w:rPr>
      </w:pPr>
      <w:r w:rsidRPr="0041458F">
        <w:rPr>
          <w:rFonts w:ascii="Arial" w:hAnsi="Arial" w:cs="Arial"/>
          <w:b/>
          <w:sz w:val="20"/>
          <w:szCs w:val="20"/>
        </w:rPr>
        <w:t xml:space="preserve">Work Item: </w:t>
      </w:r>
      <w:r w:rsidRPr="0041458F">
        <w:rPr>
          <w:rFonts w:ascii="Arial" w:hAnsi="Arial" w:cs="Arial"/>
          <w:b/>
          <w:sz w:val="20"/>
          <w:szCs w:val="20"/>
        </w:rPr>
        <w:tab/>
      </w:r>
      <w:proofErr w:type="spellStart"/>
      <w:r w:rsidRPr="0041458F">
        <w:rPr>
          <w:rFonts w:ascii="Arial" w:hAnsi="Arial" w:cs="Arial"/>
          <w:b/>
          <w:sz w:val="20"/>
          <w:szCs w:val="20"/>
        </w:rPr>
        <w:t>NR_NTN_Solutions</w:t>
      </w:r>
      <w:proofErr w:type="spellEnd"/>
      <w:r w:rsidRPr="0041458F">
        <w:rPr>
          <w:rFonts w:ascii="Arial" w:hAnsi="Arial" w:cs="Arial"/>
          <w:b/>
          <w:sz w:val="20"/>
          <w:szCs w:val="20"/>
        </w:rPr>
        <w:t>: Solutions for NR to support non-terrestrial networks (NTN)</w:t>
      </w:r>
    </w:p>
    <w:p w:rsidR="00D0698C" w:rsidRPr="007161F3" w:rsidRDefault="00D0698C" w:rsidP="00D0698C">
      <w:pPr>
        <w:pStyle w:val="Titre1"/>
        <w:keepLines/>
        <w:tabs>
          <w:tab w:val="clear" w:pos="432"/>
        </w:tabs>
        <w:autoSpaceDE/>
        <w:autoSpaceDN/>
        <w:adjustRightInd/>
        <w:snapToGrid/>
        <w:spacing w:before="480" w:after="200" w:line="276" w:lineRule="auto"/>
        <w:jc w:val="left"/>
      </w:pPr>
      <w:bookmarkStart w:id="0" w:name="OLE_LINK1"/>
      <w:bookmarkStart w:id="1" w:name="OLE_LINK2"/>
      <w:r w:rsidRPr="007161F3">
        <w:t>Introduction</w:t>
      </w:r>
    </w:p>
    <w:bookmarkEnd w:id="0"/>
    <w:bookmarkEnd w:id="1"/>
    <w:p w:rsidR="00D0698C" w:rsidRDefault="00D0698C" w:rsidP="00D0698C">
      <w:pPr>
        <w:rPr>
          <w:rFonts w:ascii="Arial" w:hAnsi="Arial" w:cs="Arial"/>
          <w:sz w:val="20"/>
          <w:szCs w:val="20"/>
        </w:rPr>
      </w:pPr>
      <w:r>
        <w:rPr>
          <w:rFonts w:ascii="Arial" w:hAnsi="Arial" w:cs="Arial"/>
          <w:sz w:val="20"/>
          <w:szCs w:val="20"/>
        </w:rPr>
        <w:t>On the Beam management enhancement for NTN, the following agreement</w:t>
      </w:r>
      <w:r w:rsidRPr="008E5F33">
        <w:rPr>
          <w:rFonts w:ascii="Arial" w:hAnsi="Arial" w:cs="Arial"/>
          <w:sz w:val="20"/>
          <w:szCs w:val="20"/>
        </w:rPr>
        <w:t xml:space="preserve"> achieved during RAN1 Meeting #102-e </w:t>
      </w:r>
      <w:r>
        <w:rPr>
          <w:rFonts w:ascii="Arial" w:hAnsi="Arial" w:cs="Arial"/>
          <w:sz w:val="20"/>
          <w:szCs w:val="20"/>
        </w:rPr>
        <w:t>is</w:t>
      </w:r>
      <w:r w:rsidRPr="008E5F33">
        <w:rPr>
          <w:rFonts w:ascii="Arial" w:hAnsi="Arial" w:cs="Arial"/>
          <w:sz w:val="20"/>
          <w:szCs w:val="20"/>
        </w:rPr>
        <w:t xml:space="preserve"> recalled hereafter:</w:t>
      </w:r>
    </w:p>
    <w:tbl>
      <w:tblPr>
        <w:tblStyle w:val="Grilledutableau"/>
        <w:tblW w:w="0" w:type="auto"/>
        <w:shd w:val="clear" w:color="auto" w:fill="F2F2F2" w:themeFill="background1" w:themeFillShade="F2"/>
        <w:tblLook w:val="04A0" w:firstRow="1" w:lastRow="0" w:firstColumn="1" w:lastColumn="0" w:noHBand="0" w:noVBand="1"/>
      </w:tblPr>
      <w:tblGrid>
        <w:gridCol w:w="9287"/>
      </w:tblGrid>
      <w:tr w:rsidR="00D0698C" w:rsidRPr="0041458F" w:rsidTr="0017008D">
        <w:tc>
          <w:tcPr>
            <w:tcW w:w="9747" w:type="dxa"/>
            <w:shd w:val="clear" w:color="auto" w:fill="F2F2F2" w:themeFill="background1" w:themeFillShade="F2"/>
          </w:tcPr>
          <w:p w:rsidR="00D0698C" w:rsidRDefault="00D0698C" w:rsidP="0017008D">
            <w:pPr>
              <w:rPr>
                <w:lang w:eastAsia="x-none"/>
              </w:rPr>
            </w:pPr>
            <w:r>
              <w:rPr>
                <w:highlight w:val="green"/>
                <w:lang w:eastAsia="x-none"/>
              </w:rPr>
              <w:t>Agreement:</w:t>
            </w:r>
          </w:p>
          <w:p w:rsidR="00D0698C" w:rsidRDefault="00D0698C" w:rsidP="0017008D">
            <w:pPr>
              <w:rPr>
                <w:lang w:eastAsia="x-none"/>
              </w:rPr>
            </w:pPr>
            <w:r>
              <w:rPr>
                <w:lang w:eastAsia="x-none"/>
              </w:rPr>
              <w:t>One-beam per cell and multiple-beam per cell are supported in existing NR specifications and are baseline for NR NTN.</w:t>
            </w:r>
          </w:p>
          <w:p w:rsidR="00D0698C" w:rsidRDefault="00D0698C" w:rsidP="00D0698C">
            <w:pPr>
              <w:numPr>
                <w:ilvl w:val="0"/>
                <w:numId w:val="13"/>
              </w:numPr>
              <w:autoSpaceDE/>
              <w:autoSpaceDN/>
              <w:adjustRightInd/>
              <w:snapToGrid/>
              <w:spacing w:after="0"/>
              <w:jc w:val="left"/>
              <w:rPr>
                <w:lang w:eastAsia="x-none"/>
              </w:rPr>
            </w:pPr>
            <w:r>
              <w:rPr>
                <w:lang w:eastAsia="x-none"/>
              </w:rPr>
              <w:t xml:space="preserve">FFS: The need for potential enhancement for beam management </w:t>
            </w:r>
          </w:p>
          <w:p w:rsidR="00D0698C" w:rsidRDefault="00D0698C" w:rsidP="00D0698C">
            <w:pPr>
              <w:numPr>
                <w:ilvl w:val="0"/>
                <w:numId w:val="13"/>
              </w:numPr>
              <w:autoSpaceDE/>
              <w:autoSpaceDN/>
              <w:adjustRightInd/>
              <w:snapToGrid/>
              <w:spacing w:after="0"/>
              <w:jc w:val="left"/>
              <w:rPr>
                <w:lang w:eastAsia="x-none"/>
              </w:rPr>
            </w:pPr>
            <w:r>
              <w:rPr>
                <w:lang w:eastAsia="x-none"/>
              </w:rPr>
              <w:t>FFS: The need for potential enhancement on association of SSBs, beams and BWPs</w:t>
            </w:r>
          </w:p>
          <w:p w:rsidR="00D0698C" w:rsidRPr="0041458F" w:rsidRDefault="00D0698C" w:rsidP="0017008D">
            <w:pPr>
              <w:overflowPunct w:val="0"/>
              <w:ind w:left="1440"/>
              <w:textAlignment w:val="baseline"/>
              <w:rPr>
                <w:rFonts w:ascii="Arial" w:eastAsia="PMingLiU" w:hAnsi="Arial" w:cs="Arial"/>
                <w:sz w:val="20"/>
                <w:szCs w:val="20"/>
                <w:lang w:eastAsia="zh-TW"/>
              </w:rPr>
            </w:pPr>
          </w:p>
        </w:tc>
      </w:tr>
    </w:tbl>
    <w:p w:rsidR="00D0698C" w:rsidRDefault="00D0698C" w:rsidP="00D0698C">
      <w:pPr>
        <w:rPr>
          <w:rFonts w:ascii="Arial" w:hAnsi="Arial" w:cs="Arial"/>
          <w:sz w:val="20"/>
          <w:szCs w:val="20"/>
        </w:rPr>
      </w:pPr>
    </w:p>
    <w:p w:rsidR="00D0698C" w:rsidRDefault="00D0698C" w:rsidP="00D0698C">
      <w:pPr>
        <w:rPr>
          <w:rFonts w:ascii="Arial" w:hAnsi="Arial" w:cs="Arial"/>
          <w:sz w:val="20"/>
          <w:szCs w:val="20"/>
        </w:rPr>
      </w:pPr>
      <w:r>
        <w:rPr>
          <w:rFonts w:ascii="Arial" w:hAnsi="Arial" w:cs="Arial"/>
          <w:sz w:val="20"/>
          <w:szCs w:val="20"/>
        </w:rPr>
        <w:t xml:space="preserve">On the </w:t>
      </w:r>
      <w:r w:rsidRPr="007E41DF">
        <w:rPr>
          <w:rFonts w:ascii="Arial" w:hAnsi="Arial" w:cs="Arial"/>
          <w:sz w:val="20"/>
          <w:szCs w:val="20"/>
        </w:rPr>
        <w:t xml:space="preserve">polarization </w:t>
      </w:r>
      <w:r>
        <w:rPr>
          <w:rFonts w:ascii="Arial" w:hAnsi="Arial" w:cs="Arial"/>
          <w:sz w:val="20"/>
          <w:szCs w:val="20"/>
        </w:rPr>
        <w:t>indication in NTN, the following agreement</w:t>
      </w:r>
      <w:r w:rsidRPr="008E5F33">
        <w:rPr>
          <w:rFonts w:ascii="Arial" w:hAnsi="Arial" w:cs="Arial"/>
          <w:sz w:val="20"/>
          <w:szCs w:val="20"/>
        </w:rPr>
        <w:t xml:space="preserve"> a</w:t>
      </w:r>
      <w:r>
        <w:rPr>
          <w:rFonts w:ascii="Arial" w:hAnsi="Arial" w:cs="Arial"/>
          <w:sz w:val="20"/>
          <w:szCs w:val="20"/>
        </w:rPr>
        <w:t>chieved during RAN1 Meeting #103</w:t>
      </w:r>
      <w:r w:rsidRPr="008E5F33">
        <w:rPr>
          <w:rFonts w:ascii="Arial" w:hAnsi="Arial" w:cs="Arial"/>
          <w:sz w:val="20"/>
          <w:szCs w:val="20"/>
        </w:rPr>
        <w:t xml:space="preserve">-e </w:t>
      </w:r>
      <w:r>
        <w:rPr>
          <w:rFonts w:ascii="Arial" w:hAnsi="Arial" w:cs="Arial"/>
          <w:sz w:val="20"/>
          <w:szCs w:val="20"/>
        </w:rPr>
        <w:t>is</w:t>
      </w:r>
      <w:r w:rsidRPr="008E5F33">
        <w:rPr>
          <w:rFonts w:ascii="Arial" w:hAnsi="Arial" w:cs="Arial"/>
          <w:sz w:val="20"/>
          <w:szCs w:val="20"/>
        </w:rPr>
        <w:t xml:space="preserve"> recalled hereafter:</w:t>
      </w:r>
    </w:p>
    <w:tbl>
      <w:tblPr>
        <w:tblStyle w:val="Grilledutableau"/>
        <w:tblW w:w="0" w:type="auto"/>
        <w:shd w:val="clear" w:color="auto" w:fill="F2F2F2" w:themeFill="background1" w:themeFillShade="F2"/>
        <w:tblLook w:val="04A0" w:firstRow="1" w:lastRow="0" w:firstColumn="1" w:lastColumn="0" w:noHBand="0" w:noVBand="1"/>
      </w:tblPr>
      <w:tblGrid>
        <w:gridCol w:w="9287"/>
      </w:tblGrid>
      <w:tr w:rsidR="00D0698C" w:rsidRPr="0041458F" w:rsidTr="0017008D">
        <w:tc>
          <w:tcPr>
            <w:tcW w:w="9747" w:type="dxa"/>
            <w:shd w:val="clear" w:color="auto" w:fill="F2F2F2" w:themeFill="background1" w:themeFillShade="F2"/>
          </w:tcPr>
          <w:p w:rsidR="00D0698C" w:rsidRDefault="00D0698C" w:rsidP="0017008D">
            <w:pPr>
              <w:rPr>
                <w:lang w:eastAsia="x-none"/>
              </w:rPr>
            </w:pPr>
            <w:r w:rsidRPr="00BD507D">
              <w:rPr>
                <w:highlight w:val="green"/>
                <w:lang w:eastAsia="x-none"/>
              </w:rPr>
              <w:t>Agreement:</w:t>
            </w:r>
          </w:p>
          <w:p w:rsidR="00D0698C" w:rsidRDefault="00D0698C" w:rsidP="0017008D">
            <w:pPr>
              <w:rPr>
                <w:lang w:eastAsia="x-none"/>
              </w:rPr>
            </w:pPr>
            <w:r>
              <w:rPr>
                <w:lang w:eastAsia="x-none"/>
              </w:rPr>
              <w:t xml:space="preserve">Indication of polarization information for DL and UL by the network is supported. </w:t>
            </w:r>
          </w:p>
          <w:p w:rsidR="00D0698C" w:rsidRPr="00684C69" w:rsidRDefault="00D0698C" w:rsidP="00D0698C">
            <w:pPr>
              <w:numPr>
                <w:ilvl w:val="0"/>
                <w:numId w:val="34"/>
              </w:numPr>
              <w:autoSpaceDE/>
              <w:autoSpaceDN/>
              <w:adjustRightInd/>
              <w:snapToGrid/>
              <w:spacing w:after="0"/>
              <w:jc w:val="left"/>
              <w:rPr>
                <w:lang w:eastAsia="x-none"/>
              </w:rPr>
            </w:pPr>
            <w:r>
              <w:rPr>
                <w:lang w:eastAsia="x-none"/>
              </w:rPr>
              <w:t>FFS: Signaling details</w:t>
            </w:r>
          </w:p>
          <w:p w:rsidR="00D0698C" w:rsidRPr="0041458F" w:rsidRDefault="00D0698C" w:rsidP="0017008D">
            <w:pPr>
              <w:overflowPunct w:val="0"/>
              <w:ind w:left="1440"/>
              <w:textAlignment w:val="baseline"/>
              <w:rPr>
                <w:rFonts w:ascii="Arial" w:eastAsia="PMingLiU" w:hAnsi="Arial" w:cs="Arial"/>
                <w:sz w:val="20"/>
                <w:szCs w:val="20"/>
                <w:lang w:eastAsia="zh-TW"/>
              </w:rPr>
            </w:pPr>
          </w:p>
        </w:tc>
      </w:tr>
    </w:tbl>
    <w:p w:rsidR="00D0698C" w:rsidRDefault="00D0698C" w:rsidP="00D0698C">
      <w:pPr>
        <w:rPr>
          <w:rFonts w:ascii="Arial" w:hAnsi="Arial" w:cs="Arial"/>
          <w:sz w:val="20"/>
          <w:szCs w:val="20"/>
        </w:rPr>
      </w:pPr>
    </w:p>
    <w:p w:rsidR="00E5329E" w:rsidRDefault="007675EB" w:rsidP="00D0698C">
      <w:pPr>
        <w:rPr>
          <w:rFonts w:ascii="Arial" w:hAnsi="Arial" w:cs="Arial"/>
          <w:sz w:val="20"/>
          <w:szCs w:val="20"/>
        </w:rPr>
      </w:pPr>
      <w:r>
        <w:rPr>
          <w:rFonts w:ascii="Arial" w:hAnsi="Arial" w:cs="Arial"/>
          <w:sz w:val="20"/>
          <w:szCs w:val="20"/>
        </w:rPr>
        <w:t>In RAN1#104-e</w:t>
      </w:r>
      <w:r>
        <w:rPr>
          <w:rFonts w:ascii="Arial" w:hAnsi="Arial" w:cs="Arial"/>
          <w:sz w:val="20"/>
          <w:szCs w:val="20"/>
        </w:rPr>
        <w:t>,</w:t>
      </w:r>
      <w:r>
        <w:rPr>
          <w:rFonts w:ascii="Arial" w:hAnsi="Arial" w:cs="Arial"/>
          <w:sz w:val="20"/>
          <w:szCs w:val="20"/>
        </w:rPr>
        <w:t xml:space="preserve"> </w:t>
      </w:r>
      <w:r>
        <w:rPr>
          <w:rFonts w:ascii="Arial" w:hAnsi="Arial" w:cs="Arial"/>
          <w:sz w:val="20"/>
          <w:szCs w:val="20"/>
        </w:rPr>
        <w:t>t</w:t>
      </w:r>
      <w:r w:rsidR="00E5329E">
        <w:rPr>
          <w:rFonts w:ascii="Arial" w:hAnsi="Arial" w:cs="Arial"/>
          <w:sz w:val="20"/>
          <w:szCs w:val="20"/>
        </w:rPr>
        <w:t xml:space="preserve">he following </w:t>
      </w:r>
      <w:r>
        <w:rPr>
          <w:rFonts w:ascii="Arial" w:hAnsi="Arial" w:cs="Arial"/>
          <w:sz w:val="20"/>
          <w:szCs w:val="20"/>
        </w:rPr>
        <w:t>was proposed by the moderator</w:t>
      </w:r>
      <w:r w:rsidR="00E5329E">
        <w:rPr>
          <w:rFonts w:ascii="Arial" w:hAnsi="Arial" w:cs="Arial"/>
          <w:sz w:val="20"/>
          <w:szCs w:val="20"/>
        </w:rPr>
        <w:t xml:space="preserve"> </w:t>
      </w:r>
      <w:r>
        <w:rPr>
          <w:rFonts w:ascii="Arial" w:hAnsi="Arial" w:cs="Arial"/>
          <w:sz w:val="20"/>
          <w:szCs w:val="20"/>
        </w:rPr>
        <w:t xml:space="preserve">[10]: </w:t>
      </w:r>
    </w:p>
    <w:p w:rsidR="00E5329E" w:rsidRPr="00E5329E" w:rsidRDefault="00E5329E" w:rsidP="00E5329E">
      <w:pPr>
        <w:shd w:val="clear" w:color="auto" w:fill="FFFFFF"/>
        <w:spacing w:after="0"/>
        <w:rPr>
          <w:rFonts w:ascii="Arial" w:eastAsia="SimSun" w:hAnsi="Arial" w:cs="Arial"/>
          <w:color w:val="000000"/>
          <w:sz w:val="24"/>
          <w:szCs w:val="24"/>
          <w:lang w:eastAsia="zh-CN"/>
        </w:rPr>
      </w:pPr>
      <w:r w:rsidRPr="00E5329E">
        <w:rPr>
          <w:rFonts w:ascii="Arial" w:eastAsia="SimSun" w:hAnsi="Arial" w:cs="Arial"/>
          <w:color w:val="000000"/>
          <w:sz w:val="21"/>
          <w:szCs w:val="21"/>
          <w:shd w:val="clear" w:color="auto" w:fill="FFFF00"/>
          <w:lang w:eastAsia="zh-CN"/>
        </w:rPr>
        <w:t>Proposal:</w:t>
      </w:r>
    </w:p>
    <w:p w:rsidR="00E5329E" w:rsidRPr="00E5329E" w:rsidRDefault="00E5329E" w:rsidP="00E5329E">
      <w:pPr>
        <w:shd w:val="clear" w:color="auto" w:fill="FFFFFF"/>
        <w:spacing w:after="0"/>
        <w:rPr>
          <w:rFonts w:ascii="Arial" w:eastAsia="SimSun" w:hAnsi="Arial" w:cs="Arial"/>
          <w:color w:val="000000"/>
          <w:sz w:val="24"/>
          <w:szCs w:val="24"/>
          <w:lang w:eastAsia="zh-CN"/>
        </w:rPr>
      </w:pPr>
      <w:r w:rsidRPr="00E5329E">
        <w:rPr>
          <w:rFonts w:ascii="Arial" w:eastAsia="SimSun" w:hAnsi="Arial" w:cs="Arial"/>
          <w:color w:val="000000"/>
          <w:sz w:val="21"/>
          <w:szCs w:val="21"/>
          <w:lang w:eastAsia="zh-CN"/>
        </w:rPr>
        <w:t>Discuss whether or not</w:t>
      </w:r>
      <w:r w:rsidRPr="00E5329E">
        <w:rPr>
          <w:rFonts w:ascii="Arial" w:eastAsia="SimSun" w:hAnsi="Arial" w:cs="Arial"/>
          <w:color w:val="FF0000"/>
          <w:sz w:val="21"/>
          <w:szCs w:val="21"/>
          <w:lang w:eastAsia="zh-CN"/>
        </w:rPr>
        <w:t xml:space="preserve"> </w:t>
      </w:r>
      <w:r w:rsidRPr="00E5329E">
        <w:rPr>
          <w:rFonts w:ascii="Arial" w:eastAsia="SimSun" w:hAnsi="Arial" w:cs="Arial"/>
          <w:sz w:val="21"/>
          <w:szCs w:val="21"/>
          <w:lang w:eastAsia="zh-CN"/>
        </w:rPr>
        <w:t>at least</w:t>
      </w:r>
      <w:r w:rsidRPr="00E5329E">
        <w:rPr>
          <w:rFonts w:ascii="Arial" w:eastAsia="SimSun" w:hAnsi="Arial" w:cs="Arial"/>
          <w:color w:val="FF0000"/>
          <w:sz w:val="21"/>
          <w:szCs w:val="21"/>
          <w:lang w:eastAsia="zh-CN"/>
        </w:rPr>
        <w:t> </w:t>
      </w:r>
      <w:r w:rsidRPr="00E5329E">
        <w:rPr>
          <w:rFonts w:ascii="Arial" w:eastAsia="SimSun" w:hAnsi="Arial" w:cs="Arial"/>
          <w:color w:val="000000"/>
          <w:sz w:val="21"/>
          <w:szCs w:val="21"/>
          <w:lang w:eastAsia="zh-CN"/>
        </w:rPr>
        <w:t>following issues are valid and decide whether or not enhancements are needed in addition to current NR specification for supporting NTN beam management:</w:t>
      </w:r>
    </w:p>
    <w:p w:rsidR="00E5329E" w:rsidRPr="00E5329E" w:rsidRDefault="00E5329E" w:rsidP="00E5329E">
      <w:pPr>
        <w:pStyle w:val="Paragraphedeliste"/>
        <w:numPr>
          <w:ilvl w:val="0"/>
          <w:numId w:val="37"/>
        </w:numPr>
        <w:shd w:val="clear" w:color="auto" w:fill="FFFFFF"/>
        <w:jc w:val="left"/>
        <w:rPr>
          <w:rFonts w:ascii="Arial" w:eastAsia="SimSun" w:hAnsi="Arial" w:cs="Arial"/>
          <w:color w:val="000000"/>
          <w:sz w:val="24"/>
          <w:szCs w:val="24"/>
        </w:rPr>
      </w:pPr>
      <w:r w:rsidRPr="00E5329E">
        <w:rPr>
          <w:rFonts w:ascii="Arial" w:eastAsia="SimSun" w:hAnsi="Arial" w:cs="Arial"/>
          <w:color w:val="000000"/>
          <w:sz w:val="21"/>
        </w:rPr>
        <w:t>Issue 1: NR BWP is not directly associated with a beam. Thus, when using TCI to change beam from beam 1 to beam 2, it does not trigger NR BWP switching. However, in NTN FRF&gt;1 case, beam switching may result in a BWP switching.</w:t>
      </w:r>
    </w:p>
    <w:p w:rsidR="00E5329E" w:rsidRPr="00E5329E" w:rsidRDefault="00E5329E" w:rsidP="00E5329E">
      <w:pPr>
        <w:pStyle w:val="Paragraphedeliste"/>
        <w:numPr>
          <w:ilvl w:val="0"/>
          <w:numId w:val="37"/>
        </w:numPr>
        <w:shd w:val="clear" w:color="auto" w:fill="FFFFFF"/>
        <w:jc w:val="left"/>
        <w:rPr>
          <w:rFonts w:ascii="Arial" w:eastAsia="SimSun" w:hAnsi="Arial" w:cs="Arial"/>
          <w:color w:val="000000"/>
          <w:sz w:val="21"/>
        </w:rPr>
      </w:pPr>
      <w:r w:rsidRPr="00E5329E">
        <w:rPr>
          <w:rFonts w:ascii="Arial" w:eastAsia="SimSun" w:hAnsi="Arial" w:cs="Arial"/>
          <w:color w:val="000000"/>
          <w:sz w:val="21"/>
        </w:rPr>
        <w:t>Issue 2: NR BWP switching in UL and DL are not jointly triggered for FDD. However, in NTN FRF&gt;1 FDD scenario, beam switching may result in a BWP switching in both DL and UL.</w:t>
      </w:r>
    </w:p>
    <w:p w:rsidR="00E5329E" w:rsidRPr="00E5329E" w:rsidRDefault="00E5329E" w:rsidP="00E5329E">
      <w:pPr>
        <w:pStyle w:val="Paragraphedeliste"/>
        <w:numPr>
          <w:ilvl w:val="0"/>
          <w:numId w:val="37"/>
        </w:numPr>
        <w:shd w:val="clear" w:color="auto" w:fill="FFFFFF"/>
        <w:jc w:val="left"/>
        <w:rPr>
          <w:rFonts w:ascii="Arial" w:eastAsia="SimSun" w:hAnsi="Arial" w:cs="Arial"/>
          <w:color w:val="000000"/>
          <w:sz w:val="21"/>
        </w:rPr>
      </w:pPr>
      <w:r w:rsidRPr="00E5329E">
        <w:rPr>
          <w:rFonts w:ascii="Arial" w:eastAsia="SimSun" w:hAnsi="Arial" w:cs="Arial"/>
          <w:color w:val="000000"/>
          <w:sz w:val="21"/>
        </w:rPr>
        <w:t>Issue 3: NR dynamic BWP switching requires data scheduling. While in NTN FRF&gt;1 scenario, we may need a fast BWP switching triggering without data scheduling.</w:t>
      </w:r>
    </w:p>
    <w:p w:rsidR="00E5329E" w:rsidRPr="00E5329E" w:rsidRDefault="00E5329E" w:rsidP="00E5329E">
      <w:pPr>
        <w:pStyle w:val="Paragraphedeliste"/>
        <w:numPr>
          <w:ilvl w:val="0"/>
          <w:numId w:val="37"/>
        </w:numPr>
        <w:shd w:val="clear" w:color="auto" w:fill="FFFFFF"/>
        <w:jc w:val="left"/>
        <w:rPr>
          <w:rFonts w:ascii="Arial" w:eastAsia="SimSun" w:hAnsi="Arial" w:cs="Arial"/>
          <w:color w:val="000000"/>
          <w:sz w:val="21"/>
        </w:rPr>
      </w:pPr>
      <w:r w:rsidRPr="00E5329E">
        <w:rPr>
          <w:rFonts w:ascii="Arial" w:eastAsia="SimSun" w:hAnsi="Arial" w:cs="Arial"/>
          <w:color w:val="000000"/>
          <w:sz w:val="21"/>
        </w:rPr>
        <w:t>Issue 4: NR BWP switching does not require re-synchronization. However, in NTN FRF&gt;1 scenario, when a satellite beam switching is triggered, UE may need to perform re-synchronization in the switched BWP. </w:t>
      </w:r>
    </w:p>
    <w:p w:rsidR="00E5329E" w:rsidRPr="00E5329E" w:rsidRDefault="00E5329E" w:rsidP="00E5329E">
      <w:pPr>
        <w:pStyle w:val="Paragraphedeliste"/>
        <w:numPr>
          <w:ilvl w:val="0"/>
          <w:numId w:val="37"/>
        </w:numPr>
        <w:shd w:val="clear" w:color="auto" w:fill="FFFFFF"/>
        <w:jc w:val="left"/>
        <w:rPr>
          <w:rFonts w:ascii="Arial" w:eastAsia="SimSun" w:hAnsi="Arial" w:cs="Arial"/>
          <w:color w:val="000000"/>
          <w:sz w:val="21"/>
        </w:rPr>
      </w:pPr>
      <w:r w:rsidRPr="00E5329E">
        <w:rPr>
          <w:rFonts w:ascii="Arial" w:eastAsia="SimSun" w:hAnsi="Arial" w:cs="Arial"/>
          <w:color w:val="000000"/>
          <w:sz w:val="21"/>
        </w:rPr>
        <w:t>Issue 5: Since satellite beam switching can be frequent and often highly predictable, mechanisms of configured BWP switching (can be a sequence of BWPs) may be  preferred but current NR does not allow it.</w:t>
      </w:r>
    </w:p>
    <w:p w:rsidR="00E5329E" w:rsidRPr="007675EB" w:rsidRDefault="00E5329E" w:rsidP="00E5329E">
      <w:pPr>
        <w:pStyle w:val="Paragraphedeliste"/>
        <w:numPr>
          <w:ilvl w:val="0"/>
          <w:numId w:val="37"/>
        </w:numPr>
        <w:shd w:val="clear" w:color="auto" w:fill="FFFFFF"/>
        <w:jc w:val="left"/>
        <w:rPr>
          <w:rFonts w:ascii="Arial" w:eastAsia="SimSun" w:hAnsi="Arial" w:cs="Arial"/>
          <w:color w:val="000000"/>
          <w:sz w:val="21"/>
        </w:rPr>
      </w:pPr>
      <w:r w:rsidRPr="007675EB">
        <w:rPr>
          <w:rFonts w:ascii="Arial" w:eastAsia="SimSun" w:hAnsi="Arial" w:cs="Arial"/>
          <w:color w:val="000000"/>
          <w:sz w:val="21"/>
        </w:rPr>
        <w:t>Issue 6: How to deal with BWP switching triggered by </w:t>
      </w:r>
      <w:proofErr w:type="spellStart"/>
      <w:r w:rsidRPr="007675EB">
        <w:rPr>
          <w:rFonts w:ascii="Arial" w:eastAsia="SimSun" w:hAnsi="Arial" w:cs="Arial"/>
          <w:color w:val="000000"/>
          <w:sz w:val="21"/>
        </w:rPr>
        <w:t>bwpInactivityTimer</w:t>
      </w:r>
      <w:proofErr w:type="spellEnd"/>
      <w:r w:rsidRPr="007675EB">
        <w:rPr>
          <w:rFonts w:ascii="Arial" w:eastAsia="SimSun" w:hAnsi="Arial" w:cs="Arial"/>
          <w:color w:val="000000"/>
          <w:sz w:val="21"/>
        </w:rPr>
        <w:t>, RA procedure, or simply a need to increase throughput instead of for beam-level mobility.</w:t>
      </w:r>
    </w:p>
    <w:p w:rsidR="00E5329E" w:rsidRPr="00AE4BA0" w:rsidRDefault="00E5329E" w:rsidP="00E5329E">
      <w:pPr>
        <w:pStyle w:val="Paragraphedeliste"/>
        <w:numPr>
          <w:ilvl w:val="0"/>
          <w:numId w:val="37"/>
        </w:numPr>
        <w:shd w:val="clear" w:color="auto" w:fill="FFFFFF"/>
        <w:jc w:val="left"/>
        <w:rPr>
          <w:rFonts w:eastAsia="SimSun"/>
          <w:color w:val="000000"/>
          <w:sz w:val="21"/>
        </w:rPr>
      </w:pPr>
      <w:r w:rsidRPr="007675EB">
        <w:rPr>
          <w:rFonts w:ascii="Arial" w:eastAsia="SimSun" w:hAnsi="Arial" w:cs="Arial"/>
          <w:color w:val="000000"/>
          <w:sz w:val="21"/>
        </w:rPr>
        <w:lastRenderedPageBreak/>
        <w:t>Issue 7: NR BWP switching/beam switching is done with UE specific signalling due to UE movement’s. However, in NTN scenario, a satellite BWP/beam switching is common for set of UEs, we may need to a common BWP/beam switching mechanism to save the signalling overhead</w:t>
      </w:r>
      <w:r w:rsidRPr="00AE4BA0">
        <w:rPr>
          <w:rFonts w:eastAsia="SimSun"/>
          <w:color w:val="000000"/>
          <w:sz w:val="21"/>
        </w:rPr>
        <w:t>.</w:t>
      </w:r>
    </w:p>
    <w:p w:rsidR="00E5329E" w:rsidRDefault="00E5329E" w:rsidP="00D0698C">
      <w:pPr>
        <w:rPr>
          <w:rFonts w:ascii="Arial" w:hAnsi="Arial" w:cs="Arial"/>
          <w:sz w:val="20"/>
          <w:szCs w:val="20"/>
        </w:rPr>
      </w:pPr>
    </w:p>
    <w:p w:rsidR="00D0698C" w:rsidRPr="007D7BA5" w:rsidRDefault="00D0698C" w:rsidP="00D0698C">
      <w:pPr>
        <w:rPr>
          <w:rFonts w:ascii="Arial" w:hAnsi="Arial" w:cs="Arial"/>
          <w:sz w:val="20"/>
          <w:szCs w:val="20"/>
        </w:rPr>
      </w:pPr>
      <w:r w:rsidRPr="0041458F">
        <w:rPr>
          <w:rFonts w:ascii="Arial" w:hAnsi="Arial" w:cs="Arial"/>
          <w:sz w:val="20"/>
          <w:szCs w:val="20"/>
        </w:rPr>
        <w:t xml:space="preserve">This contribution discusses </w:t>
      </w:r>
      <w:r w:rsidR="007A2618" w:rsidRPr="007A2618">
        <w:rPr>
          <w:rFonts w:ascii="Arial" w:hAnsi="Arial" w:cs="Arial"/>
          <w:sz w:val="20"/>
          <w:szCs w:val="20"/>
        </w:rPr>
        <w:t xml:space="preserve">potential enhancement </w:t>
      </w:r>
      <w:r w:rsidR="007A2618">
        <w:rPr>
          <w:rFonts w:ascii="Arial" w:hAnsi="Arial" w:cs="Arial"/>
          <w:sz w:val="20"/>
          <w:szCs w:val="20"/>
        </w:rPr>
        <w:t>on</w:t>
      </w:r>
      <w:r>
        <w:rPr>
          <w:rFonts w:ascii="Arial" w:hAnsi="Arial" w:cs="Arial"/>
          <w:sz w:val="20"/>
          <w:szCs w:val="20"/>
        </w:rPr>
        <w:t xml:space="preserve"> </w:t>
      </w:r>
      <w:r w:rsidRPr="007D7BA5">
        <w:rPr>
          <w:rFonts w:ascii="Arial" w:hAnsi="Arial" w:cs="Arial"/>
          <w:sz w:val="20"/>
          <w:szCs w:val="20"/>
        </w:rPr>
        <w:t>Beam management and Bandwidth Parts (BWP) operati</w:t>
      </w:r>
      <w:r w:rsidR="007A2618">
        <w:rPr>
          <w:rFonts w:ascii="Arial" w:hAnsi="Arial" w:cs="Arial"/>
          <w:sz w:val="20"/>
          <w:szCs w:val="20"/>
        </w:rPr>
        <w:t>on for NTN.</w:t>
      </w:r>
    </w:p>
    <w:p w:rsidR="00D0698C" w:rsidRPr="0041458F" w:rsidRDefault="00D0698C" w:rsidP="00D0698C">
      <w:pPr>
        <w:rPr>
          <w:rFonts w:ascii="Arial" w:hAnsi="Arial" w:cs="Arial"/>
          <w:sz w:val="20"/>
          <w:szCs w:val="20"/>
        </w:rPr>
      </w:pPr>
      <w:r w:rsidRPr="0041458F">
        <w:rPr>
          <w:rFonts w:ascii="Arial" w:hAnsi="Arial" w:cs="Arial"/>
          <w:sz w:val="20"/>
          <w:szCs w:val="20"/>
        </w:rPr>
        <w:t xml:space="preserve">All observations and proposals are summarized in Section </w:t>
      </w:r>
      <w:r>
        <w:rPr>
          <w:rFonts w:ascii="Arial" w:hAnsi="Arial" w:cs="Arial"/>
          <w:sz w:val="20"/>
          <w:szCs w:val="20"/>
        </w:rPr>
        <w:t>4</w:t>
      </w:r>
      <w:r w:rsidRPr="0041458F">
        <w:rPr>
          <w:rFonts w:ascii="Arial" w:hAnsi="Arial" w:cs="Arial"/>
          <w:sz w:val="20"/>
          <w:szCs w:val="20"/>
        </w:rPr>
        <w:t>.</w:t>
      </w:r>
    </w:p>
    <w:p w:rsidR="00D0698C" w:rsidRPr="002F02C1" w:rsidRDefault="00D0698C" w:rsidP="00D0698C">
      <w:pPr>
        <w:pStyle w:val="Titre1"/>
        <w:keepLines/>
        <w:tabs>
          <w:tab w:val="clear" w:pos="432"/>
        </w:tabs>
        <w:autoSpaceDE/>
        <w:autoSpaceDN/>
        <w:adjustRightInd/>
        <w:snapToGrid/>
        <w:spacing w:before="480" w:after="200" w:line="276" w:lineRule="auto"/>
        <w:jc w:val="left"/>
      </w:pPr>
      <w:bookmarkStart w:id="2" w:name="_Ref47452133"/>
      <w:r w:rsidRPr="002F02C1">
        <w:t>Beam management and BWP operation for NTN with frequency reuse</w:t>
      </w:r>
      <w:bookmarkEnd w:id="2"/>
    </w:p>
    <w:p w:rsidR="00D0698C" w:rsidRPr="0041458F" w:rsidRDefault="00D0698C" w:rsidP="00D0698C">
      <w:pPr>
        <w:pStyle w:val="Titre2"/>
        <w:keepLines/>
        <w:tabs>
          <w:tab w:val="clear" w:pos="576"/>
        </w:tabs>
        <w:autoSpaceDE/>
        <w:autoSpaceDN/>
        <w:adjustRightInd/>
        <w:snapToGrid/>
        <w:spacing w:before="200" w:after="240" w:line="276" w:lineRule="auto"/>
        <w:jc w:val="left"/>
      </w:pPr>
      <w:r w:rsidRPr="0041458F">
        <w:t>Overview</w:t>
      </w:r>
    </w:p>
    <w:p w:rsidR="00D0698C" w:rsidRPr="0041458F" w:rsidRDefault="00D0698C" w:rsidP="00D0698C">
      <w:pPr>
        <w:rPr>
          <w:rFonts w:ascii="Arial" w:eastAsia="MS Mincho" w:hAnsi="Arial" w:cs="Arial"/>
          <w:sz w:val="20"/>
          <w:szCs w:val="20"/>
        </w:rPr>
      </w:pPr>
      <w:r w:rsidRPr="0041458F">
        <w:rPr>
          <w:rFonts w:ascii="Arial" w:eastAsia="MS Mincho" w:hAnsi="Arial" w:cs="Arial"/>
          <w:sz w:val="20"/>
          <w:szCs w:val="20"/>
        </w:rPr>
        <w:t>In this section, we discuss the</w:t>
      </w:r>
      <w:r w:rsidR="007675EB">
        <w:rPr>
          <w:rFonts w:ascii="Arial" w:eastAsia="MS Mincho" w:hAnsi="Arial" w:cs="Arial"/>
          <w:sz w:val="20"/>
          <w:szCs w:val="20"/>
        </w:rPr>
        <w:t xml:space="preserve"> </w:t>
      </w:r>
      <w:r w:rsidR="00B8284A">
        <w:rPr>
          <w:rFonts w:ascii="Arial" w:eastAsia="MS Mincho" w:hAnsi="Arial" w:cs="Arial"/>
          <w:sz w:val="20"/>
          <w:szCs w:val="20"/>
        </w:rPr>
        <w:t>f</w:t>
      </w:r>
      <w:r w:rsidR="00B8284A" w:rsidRPr="0041458F">
        <w:rPr>
          <w:rFonts w:ascii="Arial" w:eastAsia="MS Mincho" w:hAnsi="Arial" w:cs="Arial"/>
          <w:sz w:val="20"/>
          <w:szCs w:val="20"/>
        </w:rPr>
        <w:t xml:space="preserve">requency </w:t>
      </w:r>
      <w:r w:rsidRPr="0041458F">
        <w:rPr>
          <w:rFonts w:ascii="Arial" w:eastAsia="MS Mincho" w:hAnsi="Arial" w:cs="Arial"/>
          <w:sz w:val="20"/>
          <w:szCs w:val="20"/>
        </w:rPr>
        <w:t xml:space="preserve">reuse schemes that can be used in NTN to increase the </w:t>
      </w:r>
      <w:r>
        <w:rPr>
          <w:rFonts w:ascii="Arial" w:eastAsia="MS Mincho" w:hAnsi="Arial" w:cs="Arial"/>
          <w:sz w:val="20"/>
          <w:szCs w:val="20"/>
        </w:rPr>
        <w:t>SINR</w:t>
      </w:r>
      <w:r w:rsidRPr="0041458F">
        <w:rPr>
          <w:rFonts w:ascii="Arial" w:eastAsia="MS Mincho" w:hAnsi="Arial" w:cs="Arial"/>
          <w:sz w:val="20"/>
          <w:szCs w:val="20"/>
        </w:rPr>
        <w:t xml:space="preserve"> and enhance the spectral efficiency. These include; the traditional frequency reuse, polarization re-use scheme and a Flexible Frequency Reuse based on Bandwidth Part.</w:t>
      </w:r>
      <w:r>
        <w:rPr>
          <w:rFonts w:ascii="Arial" w:eastAsia="MS Mincho" w:hAnsi="Arial" w:cs="Arial"/>
          <w:sz w:val="20"/>
          <w:szCs w:val="20"/>
        </w:rPr>
        <w:t xml:space="preserve"> We discuss also in this section the cell and NR beams to satellite beams mapping as well as the potential usage of the beam management in NTN context.</w:t>
      </w:r>
    </w:p>
    <w:p w:rsidR="00D0698C" w:rsidRPr="0041458F" w:rsidRDefault="00D0698C" w:rsidP="00D0698C">
      <w:pPr>
        <w:pStyle w:val="Titre2"/>
        <w:keepLines/>
        <w:tabs>
          <w:tab w:val="clear" w:pos="576"/>
        </w:tabs>
        <w:autoSpaceDE/>
        <w:autoSpaceDN/>
        <w:adjustRightInd/>
        <w:snapToGrid/>
        <w:spacing w:before="200" w:after="240" w:line="276" w:lineRule="auto"/>
        <w:jc w:val="left"/>
        <w:rPr>
          <w:lang w:val="de-DE"/>
        </w:rPr>
      </w:pPr>
      <w:proofErr w:type="spellStart"/>
      <w:r w:rsidRPr="0041458F">
        <w:rPr>
          <w:lang w:val="de-DE"/>
        </w:rPr>
        <w:t>Spatial</w:t>
      </w:r>
      <w:proofErr w:type="spellEnd"/>
      <w:r w:rsidRPr="0041458F">
        <w:rPr>
          <w:lang w:val="de-DE"/>
        </w:rPr>
        <w:t xml:space="preserve"> </w:t>
      </w:r>
      <w:proofErr w:type="spellStart"/>
      <w:r w:rsidRPr="0041458F">
        <w:rPr>
          <w:lang w:val="de-DE"/>
        </w:rPr>
        <w:t>Frequency</w:t>
      </w:r>
      <w:proofErr w:type="spellEnd"/>
      <w:r w:rsidRPr="0041458F">
        <w:rPr>
          <w:lang w:val="de-DE"/>
        </w:rPr>
        <w:t xml:space="preserve"> Reuse</w:t>
      </w:r>
    </w:p>
    <w:p w:rsidR="00D0698C" w:rsidRPr="0041458F" w:rsidRDefault="00D0698C" w:rsidP="00D0698C">
      <w:pPr>
        <w:rPr>
          <w:rFonts w:ascii="Arial" w:eastAsia="PMingLiU" w:hAnsi="Arial" w:cs="Arial"/>
          <w:sz w:val="20"/>
          <w:szCs w:val="20"/>
          <w:lang w:eastAsia="zh-TW"/>
        </w:rPr>
      </w:pPr>
      <w:r w:rsidRPr="0041458F">
        <w:rPr>
          <w:rFonts w:ascii="Arial" w:eastAsia="PMingLiU" w:hAnsi="Arial" w:cs="Arial"/>
          <w:sz w:val="20"/>
          <w:szCs w:val="20"/>
          <w:lang w:eastAsia="zh-TW"/>
        </w:rPr>
        <w:t xml:space="preserve">In NR NTN, to mitigate inter-cell/beam co-channel interference, which limits the UE’s throughput, Frequency reuse schemes (Frequency reuse factor, FRF &gt; 1) have been proposed. </w:t>
      </w:r>
    </w:p>
    <w:p w:rsidR="00D0698C" w:rsidRPr="0041458F" w:rsidRDefault="00D0698C" w:rsidP="00D0698C">
      <w:pPr>
        <w:rPr>
          <w:rFonts w:ascii="Arial" w:eastAsia="PMingLiU" w:hAnsi="Arial" w:cs="Arial"/>
          <w:sz w:val="20"/>
          <w:szCs w:val="20"/>
          <w:lang w:eastAsia="zh-TW"/>
        </w:rPr>
      </w:pPr>
      <w:r w:rsidRPr="0041458F">
        <w:rPr>
          <w:rFonts w:ascii="Arial" w:eastAsia="PMingLiU" w:hAnsi="Arial" w:cs="Arial"/>
          <w:sz w:val="20"/>
          <w:szCs w:val="20"/>
          <w:lang w:eastAsia="zh-TW"/>
        </w:rPr>
        <w:t xml:space="preserve">Spatial Frequency reuse techniques improve the SINR but inherently </w:t>
      </w:r>
      <w:r w:rsidR="00B8284A">
        <w:rPr>
          <w:rFonts w:ascii="Arial" w:eastAsia="PMingLiU" w:hAnsi="Arial" w:cs="Arial"/>
          <w:sz w:val="20"/>
          <w:szCs w:val="20"/>
          <w:lang w:eastAsia="zh-TW"/>
        </w:rPr>
        <w:t>limit</w:t>
      </w:r>
      <w:r w:rsidR="00B8284A" w:rsidRPr="0041458F">
        <w:rPr>
          <w:rFonts w:ascii="Arial" w:eastAsia="PMingLiU" w:hAnsi="Arial" w:cs="Arial"/>
          <w:sz w:val="20"/>
          <w:szCs w:val="20"/>
          <w:lang w:eastAsia="zh-TW"/>
        </w:rPr>
        <w:t xml:space="preserve"> </w:t>
      </w:r>
      <w:r w:rsidRPr="0041458F">
        <w:rPr>
          <w:rFonts w:ascii="Arial" w:eastAsia="PMingLiU" w:hAnsi="Arial" w:cs="Arial"/>
          <w:sz w:val="20"/>
          <w:szCs w:val="20"/>
          <w:lang w:eastAsia="zh-TW"/>
        </w:rPr>
        <w:t>the per-beam bandwidth and the system capacity. The traditional Frequency Reuse-3 (FRF-3) scheme, for example, offers a protection against inter-cell interference. However, only a third of the spectral resources are used within each cell.</w:t>
      </w:r>
    </w:p>
    <w:p w:rsidR="00D0698C" w:rsidRPr="00DB3783" w:rsidRDefault="00D0698C" w:rsidP="00D0698C">
      <w:pPr>
        <w:keepNext/>
        <w:rPr>
          <w:rFonts w:ascii="Arial" w:hAnsi="Arial" w:cs="Arial"/>
          <w:sz w:val="20"/>
          <w:szCs w:val="20"/>
        </w:rPr>
      </w:pPr>
      <w:r w:rsidRPr="0041458F">
        <w:rPr>
          <w:rFonts w:ascii="Arial" w:eastAsia="PMingLiU" w:hAnsi="Arial" w:cs="Arial"/>
          <w:sz w:val="20"/>
          <w:szCs w:val="20"/>
          <w:lang w:eastAsia="zh-TW"/>
        </w:rPr>
        <w:t>In S-band for example, in case of full frequency reuse (FRF=1), each cell is configured with a bandwidth of 30MHz, while in case of FRF-3, each cell is configured with a bandwidth of 10MHz as the system bandwidth is divided into the three neighboring cells to decrease interference.</w:t>
      </w:r>
    </w:p>
    <w:p w:rsidR="00C67EA3" w:rsidRDefault="00D0698C" w:rsidP="00C67EA3">
      <w:pPr>
        <w:keepNext/>
        <w:jc w:val="center"/>
      </w:pPr>
      <w:r w:rsidRPr="0041458F">
        <w:rPr>
          <w:rFonts w:ascii="Arial" w:eastAsia="PMingLiU" w:hAnsi="Arial" w:cs="Arial"/>
          <w:noProof/>
          <w:sz w:val="20"/>
          <w:szCs w:val="20"/>
          <w:lang w:val="fr-FR" w:eastAsia="fr-FR"/>
        </w:rPr>
        <w:drawing>
          <wp:inline distT="0" distB="0" distL="0" distR="0" wp14:anchorId="09CE1981" wp14:editId="42B516BF">
            <wp:extent cx="3740400" cy="1933200"/>
            <wp:effectExtent l="0" t="0" r="0" b="0"/>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40400" cy="1933200"/>
                    </a:xfrm>
                    <a:prstGeom prst="rect">
                      <a:avLst/>
                    </a:prstGeom>
                    <a:noFill/>
                  </pic:spPr>
                </pic:pic>
              </a:graphicData>
            </a:graphic>
          </wp:inline>
        </w:drawing>
      </w:r>
    </w:p>
    <w:p w:rsidR="00D0698C" w:rsidRPr="0041458F" w:rsidRDefault="00C67EA3" w:rsidP="00C67EA3">
      <w:pPr>
        <w:pStyle w:val="Lgende"/>
        <w:rPr>
          <w:rFonts w:ascii="Arial" w:eastAsia="PMingLiU" w:hAnsi="Arial" w:cs="Arial"/>
          <w:lang w:eastAsia="zh-TW"/>
        </w:rPr>
      </w:pPr>
      <w:r>
        <w:t xml:space="preserve">Figure </w:t>
      </w:r>
      <w:r w:rsidR="004063B3">
        <w:fldChar w:fldCharType="begin"/>
      </w:r>
      <w:r w:rsidR="004063B3">
        <w:instrText xml:space="preserve"> SEQ Figure \* ARABIC </w:instrText>
      </w:r>
      <w:r w:rsidR="004063B3">
        <w:fldChar w:fldCharType="separate"/>
      </w:r>
      <w:r w:rsidR="00212F20">
        <w:rPr>
          <w:noProof/>
        </w:rPr>
        <w:t>1</w:t>
      </w:r>
      <w:r w:rsidR="004063B3">
        <w:rPr>
          <w:noProof/>
        </w:rPr>
        <w:fldChar w:fldCharType="end"/>
      </w:r>
      <w:r w:rsidRPr="004B4B0A">
        <w:t xml:space="preserve"> Frequency Reuse (FRF-3) and Full Frequency reuse (FRF-1)</w:t>
      </w:r>
    </w:p>
    <w:p w:rsidR="00C67EA3" w:rsidRDefault="00C67EA3" w:rsidP="00D0698C">
      <w:pPr>
        <w:rPr>
          <w:rFonts w:ascii="Arial" w:eastAsia="PMingLiU" w:hAnsi="Arial" w:cs="Arial"/>
          <w:sz w:val="20"/>
          <w:szCs w:val="20"/>
          <w:lang w:eastAsia="zh-TW"/>
        </w:rPr>
      </w:pPr>
    </w:p>
    <w:p w:rsidR="00D0698C" w:rsidRPr="0041458F" w:rsidRDefault="00D0698C" w:rsidP="00D0698C">
      <w:pPr>
        <w:rPr>
          <w:rFonts w:ascii="Arial" w:eastAsia="PMingLiU" w:hAnsi="Arial" w:cs="Arial"/>
          <w:sz w:val="20"/>
          <w:szCs w:val="20"/>
          <w:lang w:eastAsia="zh-TW"/>
        </w:rPr>
      </w:pPr>
      <w:r w:rsidRPr="0041458F">
        <w:rPr>
          <w:rFonts w:ascii="Arial" w:eastAsia="PMingLiU" w:hAnsi="Arial" w:cs="Arial"/>
          <w:sz w:val="20"/>
          <w:szCs w:val="20"/>
          <w:lang w:eastAsia="zh-TW"/>
        </w:rPr>
        <w:t xml:space="preserve">Conducted NTN System level simulations have shown potential gains of FRF-3 scheme. Considering a LEO-1200 S-Band scenario, the SLS results provided in </w:t>
      </w:r>
      <w:sdt>
        <w:sdtPr>
          <w:rPr>
            <w:rFonts w:ascii="Arial" w:eastAsia="PMingLiU" w:hAnsi="Arial" w:cs="Arial"/>
            <w:sz w:val="20"/>
            <w:szCs w:val="20"/>
            <w:lang w:eastAsia="zh-TW"/>
          </w:rPr>
          <w:id w:val="-567259971"/>
          <w:citation/>
        </w:sdtPr>
        <w:sdtEndPr/>
        <w:sdtContent>
          <w:r w:rsidRPr="0041458F">
            <w:rPr>
              <w:rFonts w:ascii="Arial" w:eastAsia="PMingLiU" w:hAnsi="Arial" w:cs="Arial"/>
              <w:sz w:val="20"/>
              <w:szCs w:val="20"/>
              <w:lang w:eastAsia="zh-TW"/>
            </w:rPr>
            <w:fldChar w:fldCharType="begin"/>
          </w:r>
          <w:r w:rsidRPr="0041458F">
            <w:rPr>
              <w:rFonts w:ascii="Arial" w:eastAsia="PMingLiU" w:hAnsi="Arial" w:cs="Arial"/>
              <w:sz w:val="20"/>
              <w:szCs w:val="20"/>
              <w:lang w:eastAsia="zh-TW"/>
            </w:rPr>
            <w:instrText xml:space="preserve"> CITATION Stu \l 1036 </w:instrText>
          </w:r>
          <w:r w:rsidRPr="0041458F">
            <w:rPr>
              <w:rFonts w:ascii="Arial" w:eastAsia="PMingLiU" w:hAnsi="Arial" w:cs="Arial"/>
              <w:sz w:val="20"/>
              <w:szCs w:val="20"/>
              <w:lang w:eastAsia="zh-TW"/>
            </w:rPr>
            <w:fldChar w:fldCharType="separate"/>
          </w:r>
          <w:r w:rsidR="007675EB" w:rsidRPr="007675EB">
            <w:rPr>
              <w:rFonts w:ascii="Arial" w:eastAsia="PMingLiU" w:hAnsi="Arial" w:cs="Arial"/>
              <w:noProof/>
              <w:sz w:val="20"/>
              <w:szCs w:val="20"/>
              <w:lang w:eastAsia="zh-TW"/>
            </w:rPr>
            <w:t>[1]</w:t>
          </w:r>
          <w:r w:rsidRPr="0041458F">
            <w:rPr>
              <w:rFonts w:ascii="Arial" w:eastAsia="PMingLiU" w:hAnsi="Arial" w:cs="Arial"/>
              <w:sz w:val="20"/>
              <w:szCs w:val="20"/>
              <w:lang w:eastAsia="zh-TW"/>
            </w:rPr>
            <w:fldChar w:fldCharType="end"/>
          </w:r>
        </w:sdtContent>
      </w:sdt>
      <w:r w:rsidRPr="0041458F">
        <w:rPr>
          <w:rFonts w:ascii="Arial" w:eastAsia="PMingLiU" w:hAnsi="Arial" w:cs="Arial"/>
          <w:sz w:val="20"/>
          <w:szCs w:val="20"/>
          <w:lang w:eastAsia="zh-TW"/>
        </w:rPr>
        <w:t xml:space="preserve"> and displayed in the </w:t>
      </w:r>
      <w:r w:rsidRPr="0041458F">
        <w:rPr>
          <w:rFonts w:ascii="Arial" w:eastAsia="PMingLiU" w:hAnsi="Arial" w:cs="Arial"/>
          <w:sz w:val="20"/>
          <w:szCs w:val="20"/>
          <w:lang w:eastAsia="zh-TW"/>
        </w:rPr>
        <w:fldChar w:fldCharType="begin"/>
      </w:r>
      <w:r w:rsidRPr="0041458F">
        <w:rPr>
          <w:rFonts w:ascii="Arial" w:eastAsia="PMingLiU" w:hAnsi="Arial" w:cs="Arial"/>
          <w:sz w:val="20"/>
          <w:szCs w:val="20"/>
          <w:lang w:eastAsia="zh-TW"/>
        </w:rPr>
        <w:instrText xml:space="preserve"> REF _Ref47366960 \h  \* MERGEFORMAT </w:instrText>
      </w:r>
      <w:r w:rsidRPr="0041458F">
        <w:rPr>
          <w:rFonts w:ascii="Arial" w:eastAsia="PMingLiU" w:hAnsi="Arial" w:cs="Arial"/>
          <w:sz w:val="20"/>
          <w:szCs w:val="20"/>
          <w:lang w:eastAsia="zh-TW"/>
        </w:rPr>
      </w:r>
      <w:r w:rsidRPr="0041458F">
        <w:rPr>
          <w:rFonts w:ascii="Arial" w:eastAsia="PMingLiU" w:hAnsi="Arial" w:cs="Arial"/>
          <w:sz w:val="20"/>
          <w:szCs w:val="20"/>
          <w:lang w:eastAsia="zh-TW"/>
        </w:rPr>
        <w:fldChar w:fldCharType="separate"/>
      </w:r>
      <w:r w:rsidRPr="0041458F">
        <w:rPr>
          <w:rFonts w:ascii="Arial" w:hAnsi="Arial" w:cs="Arial"/>
          <w:sz w:val="20"/>
          <w:szCs w:val="20"/>
        </w:rPr>
        <w:t xml:space="preserve">Figure </w:t>
      </w:r>
      <w:r>
        <w:rPr>
          <w:rFonts w:ascii="Arial" w:hAnsi="Arial" w:cs="Arial"/>
          <w:noProof/>
          <w:sz w:val="20"/>
          <w:szCs w:val="20"/>
        </w:rPr>
        <w:t>14</w:t>
      </w:r>
      <w:r w:rsidRPr="0041458F">
        <w:rPr>
          <w:rFonts w:ascii="Arial" w:hAnsi="Arial" w:cs="Arial"/>
          <w:sz w:val="20"/>
          <w:szCs w:val="20"/>
        </w:rPr>
        <w:t xml:space="preserve"> </w:t>
      </w:r>
      <w:r w:rsidRPr="0041458F">
        <w:rPr>
          <w:rFonts w:ascii="Arial" w:eastAsia="PMingLiU" w:hAnsi="Arial" w:cs="Arial"/>
          <w:sz w:val="20"/>
          <w:szCs w:val="20"/>
          <w:lang w:eastAsia="zh-TW"/>
        </w:rPr>
        <w:fldChar w:fldCharType="end"/>
      </w:r>
      <w:r w:rsidRPr="0041458F">
        <w:rPr>
          <w:rFonts w:ascii="Arial" w:eastAsia="PMingLiU" w:hAnsi="Arial" w:cs="Arial"/>
          <w:sz w:val="20"/>
          <w:szCs w:val="20"/>
          <w:lang w:eastAsia="zh-TW"/>
        </w:rPr>
        <w:t>, show that for 100% RU (Resource Usage) the majority (more than 80%) of the UEs experience a higher throughput for the case with FRF-3 than for the case with full frequency reuse.</w:t>
      </w:r>
    </w:p>
    <w:p w:rsidR="00D0698C" w:rsidRPr="0041458F" w:rsidRDefault="00D0698C" w:rsidP="00D0698C">
      <w:pPr>
        <w:jc w:val="center"/>
        <w:rPr>
          <w:rFonts w:ascii="Arial" w:eastAsia="PMingLiU" w:hAnsi="Arial" w:cs="Arial"/>
          <w:sz w:val="20"/>
          <w:szCs w:val="20"/>
          <w:lang w:eastAsia="zh-TW"/>
        </w:rPr>
      </w:pPr>
      <w:r w:rsidRPr="0041458F">
        <w:rPr>
          <w:rFonts w:ascii="Arial" w:eastAsia="PMingLiU" w:hAnsi="Arial" w:cs="Arial"/>
          <w:noProof/>
          <w:sz w:val="20"/>
          <w:szCs w:val="20"/>
          <w:lang w:val="fr-FR" w:eastAsia="fr-FR"/>
        </w:rPr>
        <w:lastRenderedPageBreak/>
        <w:drawing>
          <wp:inline distT="0" distB="0" distL="0" distR="0" wp14:anchorId="0F7B4430" wp14:editId="06F39FA9">
            <wp:extent cx="4024800" cy="30132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24800" cy="3013200"/>
                    </a:xfrm>
                    <a:prstGeom prst="rect">
                      <a:avLst/>
                    </a:prstGeom>
                    <a:noFill/>
                  </pic:spPr>
                </pic:pic>
              </a:graphicData>
            </a:graphic>
          </wp:inline>
        </w:drawing>
      </w:r>
    </w:p>
    <w:p w:rsidR="00D0698C" w:rsidRPr="0041458F" w:rsidRDefault="00D0698C" w:rsidP="00D0698C">
      <w:pPr>
        <w:pStyle w:val="Lgende"/>
        <w:rPr>
          <w:rFonts w:ascii="Arial" w:eastAsia="PMingLiU" w:hAnsi="Arial" w:cs="Arial"/>
          <w:lang w:eastAsia="zh-TW"/>
        </w:rPr>
      </w:pPr>
      <w:bookmarkStart w:id="3" w:name="_Ref47366960"/>
      <w:r w:rsidRPr="0041458F">
        <w:rPr>
          <w:rFonts w:ascii="Arial" w:hAnsi="Arial" w:cs="Arial"/>
        </w:rPr>
        <w:t xml:space="preserve">Figure </w:t>
      </w:r>
      <w:r>
        <w:rPr>
          <w:rFonts w:ascii="Arial" w:hAnsi="Arial" w:cs="Arial"/>
        </w:rPr>
        <w:t>2</w:t>
      </w:r>
      <w:r w:rsidRPr="0041458F">
        <w:rPr>
          <w:rFonts w:ascii="Arial" w:hAnsi="Arial" w:cs="Arial"/>
        </w:rPr>
        <w:t xml:space="preserve"> FRF 1 and FRF </w:t>
      </w:r>
      <w:r w:rsidR="00B8284A">
        <w:rPr>
          <w:rFonts w:ascii="Arial" w:hAnsi="Arial" w:cs="Arial"/>
        </w:rPr>
        <w:t>3</w:t>
      </w:r>
      <w:r w:rsidRPr="0041458F">
        <w:rPr>
          <w:rFonts w:ascii="Arial" w:hAnsi="Arial" w:cs="Arial"/>
        </w:rPr>
        <w:t xml:space="preserve"> comparison</w:t>
      </w:r>
      <w:bookmarkEnd w:id="3"/>
    </w:p>
    <w:p w:rsidR="00D0698C" w:rsidRPr="0041458F" w:rsidRDefault="00D0698C" w:rsidP="00D0698C">
      <w:pPr>
        <w:rPr>
          <w:rFonts w:ascii="Arial" w:eastAsia="PMingLiU" w:hAnsi="Arial" w:cs="Arial"/>
          <w:sz w:val="20"/>
          <w:szCs w:val="20"/>
          <w:lang w:eastAsia="zh-TW"/>
        </w:rPr>
      </w:pPr>
      <w:r w:rsidRPr="0041458F">
        <w:rPr>
          <w:rFonts w:ascii="Arial" w:eastAsia="PMingLiU" w:hAnsi="Arial" w:cs="Arial"/>
          <w:sz w:val="20"/>
          <w:szCs w:val="20"/>
          <w:lang w:eastAsia="zh-TW"/>
        </w:rPr>
        <w:t xml:space="preserve">The FRF-3 improves the overall SINR but the available cell channel bandwidth is to be divided by a factor of 3; thus, reducing the cell capacity.  </w:t>
      </w:r>
    </w:p>
    <w:p w:rsidR="00D0698C" w:rsidRPr="0041458F" w:rsidRDefault="00D0698C" w:rsidP="00D0698C">
      <w:pPr>
        <w:pStyle w:val="Observation"/>
        <w:numPr>
          <w:ilvl w:val="0"/>
          <w:numId w:val="27"/>
        </w:numPr>
        <w:tabs>
          <w:tab w:val="left" w:pos="1701"/>
        </w:tabs>
        <w:spacing w:after="200" w:line="276" w:lineRule="auto"/>
        <w:ind w:left="1701" w:hanging="1701"/>
        <w:jc w:val="left"/>
        <w:rPr>
          <w:sz w:val="20"/>
          <w:szCs w:val="20"/>
        </w:rPr>
      </w:pPr>
      <w:r w:rsidRPr="0041458F">
        <w:rPr>
          <w:sz w:val="20"/>
          <w:szCs w:val="20"/>
        </w:rPr>
        <w:t xml:space="preserve">For loaded cells, Frequency Reuse schemes are needed to mitigate the inter-cell/inter-beam interference and </w:t>
      </w:r>
      <w:r>
        <w:rPr>
          <w:sz w:val="20"/>
          <w:szCs w:val="20"/>
        </w:rPr>
        <w:t>improve</w:t>
      </w:r>
      <w:r w:rsidRPr="0041458F">
        <w:rPr>
          <w:sz w:val="20"/>
          <w:szCs w:val="20"/>
        </w:rPr>
        <w:t xml:space="preserve"> the overall SINR</w:t>
      </w:r>
    </w:p>
    <w:p w:rsidR="00D0698C" w:rsidRPr="0041458F" w:rsidRDefault="00D0698C" w:rsidP="00D0698C">
      <w:pPr>
        <w:pStyle w:val="Observation"/>
        <w:numPr>
          <w:ilvl w:val="0"/>
          <w:numId w:val="27"/>
        </w:numPr>
        <w:tabs>
          <w:tab w:val="left" w:pos="1701"/>
        </w:tabs>
        <w:spacing w:after="200" w:line="276" w:lineRule="auto"/>
        <w:ind w:left="1701" w:hanging="1701"/>
        <w:jc w:val="left"/>
        <w:rPr>
          <w:sz w:val="20"/>
          <w:szCs w:val="20"/>
        </w:rPr>
      </w:pPr>
      <w:r w:rsidRPr="0041458F">
        <w:rPr>
          <w:sz w:val="20"/>
          <w:szCs w:val="20"/>
        </w:rPr>
        <w:t>Spatial Frequency reuse schemes reduce significantly the inter-beam Co-channel interference but inherently limiting the per-beam bandwidth and the system capacity</w:t>
      </w:r>
    </w:p>
    <w:p w:rsidR="00D0698C" w:rsidRPr="0041458F" w:rsidRDefault="00D0698C" w:rsidP="00D0698C">
      <w:pPr>
        <w:rPr>
          <w:rFonts w:ascii="Arial" w:eastAsia="PMingLiU" w:hAnsi="Arial" w:cs="Arial"/>
          <w:sz w:val="20"/>
          <w:szCs w:val="20"/>
          <w:lang w:eastAsia="zh-TW"/>
        </w:rPr>
      </w:pPr>
      <w:r w:rsidRPr="0041458F">
        <w:rPr>
          <w:rFonts w:ascii="Arial" w:eastAsia="PMingLiU" w:hAnsi="Arial" w:cs="Arial"/>
          <w:sz w:val="20"/>
          <w:szCs w:val="20"/>
          <w:lang w:eastAsia="zh-TW"/>
        </w:rPr>
        <w:t xml:space="preserve">In NTN, one component carrier (CC) supports a scalable bandwidth, 5, 10, 15, 20, 25, and 30 MHz for frequency range FR1, and a scalable bandwidth, 50, 100, 200, 400MHz for frequency range FR2, as shown in </w:t>
      </w:r>
      <w:r w:rsidRPr="0041458F">
        <w:rPr>
          <w:rFonts w:ascii="Arial" w:eastAsia="PMingLiU" w:hAnsi="Arial" w:cs="Arial"/>
          <w:sz w:val="20"/>
          <w:szCs w:val="20"/>
          <w:lang w:eastAsia="zh-TW"/>
        </w:rPr>
        <w:fldChar w:fldCharType="begin"/>
      </w:r>
      <w:r w:rsidRPr="0041458F">
        <w:rPr>
          <w:rFonts w:ascii="Arial" w:eastAsia="PMingLiU" w:hAnsi="Arial" w:cs="Arial"/>
          <w:sz w:val="20"/>
          <w:szCs w:val="20"/>
          <w:lang w:eastAsia="zh-TW"/>
        </w:rPr>
        <w:instrText xml:space="preserve"> REF _Ref47368770 \h  \* MERGEFORMAT </w:instrText>
      </w:r>
      <w:r w:rsidRPr="0041458F">
        <w:rPr>
          <w:rFonts w:ascii="Arial" w:eastAsia="PMingLiU" w:hAnsi="Arial" w:cs="Arial"/>
          <w:sz w:val="20"/>
          <w:szCs w:val="20"/>
          <w:lang w:eastAsia="zh-TW"/>
        </w:rPr>
      </w:r>
      <w:r w:rsidRPr="0041458F">
        <w:rPr>
          <w:rFonts w:ascii="Arial" w:eastAsia="PMingLiU" w:hAnsi="Arial" w:cs="Arial"/>
          <w:sz w:val="20"/>
          <w:szCs w:val="20"/>
          <w:lang w:eastAsia="zh-TW"/>
        </w:rPr>
        <w:fldChar w:fldCharType="separate"/>
      </w:r>
      <w:r w:rsidRPr="0041458F">
        <w:rPr>
          <w:rFonts w:ascii="Arial" w:hAnsi="Arial" w:cs="Arial"/>
          <w:sz w:val="20"/>
          <w:szCs w:val="20"/>
        </w:rPr>
        <w:t xml:space="preserve">Table </w:t>
      </w:r>
      <w:r w:rsidRPr="0041458F">
        <w:rPr>
          <w:rFonts w:ascii="Arial" w:hAnsi="Arial" w:cs="Arial"/>
          <w:noProof/>
          <w:sz w:val="20"/>
          <w:szCs w:val="20"/>
        </w:rPr>
        <w:t>8</w:t>
      </w:r>
      <w:r w:rsidRPr="0041458F">
        <w:rPr>
          <w:rFonts w:ascii="Arial" w:hAnsi="Arial" w:cs="Arial"/>
          <w:sz w:val="20"/>
          <w:szCs w:val="20"/>
        </w:rPr>
        <w:t xml:space="preserve"> </w:t>
      </w:r>
      <w:r w:rsidRPr="0041458F">
        <w:rPr>
          <w:rFonts w:ascii="Arial" w:eastAsia="PMingLiU" w:hAnsi="Arial" w:cs="Arial"/>
          <w:sz w:val="20"/>
          <w:szCs w:val="20"/>
          <w:lang w:eastAsia="zh-TW"/>
        </w:rPr>
        <w:fldChar w:fldCharType="end"/>
      </w:r>
      <w:r w:rsidRPr="0041458F">
        <w:rPr>
          <w:rFonts w:ascii="Arial" w:eastAsia="PMingLiU" w:hAnsi="Arial" w:cs="Arial"/>
          <w:sz w:val="20"/>
          <w:szCs w:val="20"/>
          <w:lang w:eastAsia="zh-TW"/>
        </w:rPr>
        <w:t>.</w:t>
      </w:r>
    </w:p>
    <w:p w:rsidR="00D0698C" w:rsidRPr="0041458F" w:rsidRDefault="00D0698C" w:rsidP="00D0698C">
      <w:pPr>
        <w:rPr>
          <w:rFonts w:ascii="Arial" w:eastAsia="PMingLiU" w:hAnsi="Arial" w:cs="Arial"/>
          <w:sz w:val="20"/>
          <w:szCs w:val="20"/>
          <w:lang w:eastAsia="zh-TW"/>
        </w:rPr>
      </w:pPr>
      <w:r w:rsidRPr="0041458F">
        <w:rPr>
          <w:rFonts w:ascii="Arial" w:eastAsia="PMingLiU" w:hAnsi="Arial" w:cs="Arial"/>
          <w:sz w:val="20"/>
          <w:szCs w:val="20"/>
          <w:lang w:eastAsia="zh-TW"/>
        </w:rPr>
        <w:t>Furthermore, a CC is associated with various RF Requirements (out-of-band emission..) which may reduce the system frequency bandwidth. with guard band ratio from 20% to 2% in FR1 and with guard band ratio from 8% to 5% in FR2.</w:t>
      </w:r>
    </w:p>
    <w:p w:rsidR="00D0698C" w:rsidRPr="0041458F" w:rsidRDefault="00D0698C" w:rsidP="00D0698C">
      <w:pPr>
        <w:pStyle w:val="Lgende"/>
        <w:rPr>
          <w:rFonts w:ascii="Arial" w:eastAsia="PMingLiU" w:hAnsi="Arial" w:cs="Arial"/>
          <w:b w:val="0"/>
          <w:lang w:eastAsia="zh-TW"/>
        </w:rPr>
      </w:pPr>
    </w:p>
    <w:p w:rsidR="00212F20" w:rsidRDefault="00212F20" w:rsidP="00212F20">
      <w:pPr>
        <w:pStyle w:val="Lgende"/>
        <w:keepNext/>
      </w:pPr>
      <w:r>
        <w:t xml:space="preserve">Table </w:t>
      </w:r>
      <w:r w:rsidR="004063B3">
        <w:fldChar w:fldCharType="begin"/>
      </w:r>
      <w:r w:rsidR="004063B3">
        <w:instrText xml:space="preserve"> SEQ Table \* ARABIC </w:instrText>
      </w:r>
      <w:r w:rsidR="004063B3">
        <w:fldChar w:fldCharType="separate"/>
      </w:r>
      <w:r>
        <w:rPr>
          <w:noProof/>
        </w:rPr>
        <w:t>1</w:t>
      </w:r>
      <w:r w:rsidR="004063B3">
        <w:rPr>
          <w:noProof/>
        </w:rPr>
        <w:fldChar w:fldCharType="end"/>
      </w:r>
      <w:r>
        <w:t xml:space="preserve"> </w:t>
      </w:r>
      <w:r w:rsidRPr="006B3444">
        <w:t>Supported NR NTN carrier bandwidths and transmission bandwidth configuration</w:t>
      </w:r>
    </w:p>
    <w:tbl>
      <w:tblPr>
        <w:tblStyle w:val="Ombrageclair"/>
        <w:tblW w:w="9232" w:type="dxa"/>
        <w:jc w:val="center"/>
        <w:tblLook w:val="06A0" w:firstRow="1" w:lastRow="0" w:firstColumn="1" w:lastColumn="0" w:noHBand="1" w:noVBand="1"/>
      </w:tblPr>
      <w:tblGrid>
        <w:gridCol w:w="1187"/>
        <w:gridCol w:w="905"/>
        <w:gridCol w:w="1190"/>
        <w:gridCol w:w="1190"/>
        <w:gridCol w:w="1190"/>
        <w:gridCol w:w="1190"/>
        <w:gridCol w:w="1190"/>
        <w:gridCol w:w="1190"/>
      </w:tblGrid>
      <w:tr w:rsidR="00D0698C" w:rsidRPr="0041458F" w:rsidTr="0017008D">
        <w:trPr>
          <w:cnfStyle w:val="100000000000" w:firstRow="1" w:lastRow="0" w:firstColumn="0" w:lastColumn="0" w:oddVBand="0" w:evenVBand="0" w:oddHBand="0" w:evenHBand="0" w:firstRowFirstColumn="0" w:firstRowLastColumn="0" w:lastRowFirstColumn="0" w:lastRowLastColumn="0"/>
          <w:trHeight w:val="724"/>
          <w:jc w:val="center"/>
        </w:trPr>
        <w:tc>
          <w:tcPr>
            <w:cnfStyle w:val="001000000000" w:firstRow="0" w:lastRow="0" w:firstColumn="1" w:lastColumn="0" w:oddVBand="0" w:evenVBand="0" w:oddHBand="0" w:evenHBand="0" w:firstRowFirstColumn="0" w:firstRowLastColumn="0" w:lastRowFirstColumn="0" w:lastRowLastColumn="0"/>
            <w:tcW w:w="1187" w:type="dxa"/>
            <w:vMerge w:val="restart"/>
            <w:vAlign w:val="center"/>
            <w:hideMark/>
          </w:tcPr>
          <w:p w:rsidR="00D0698C" w:rsidRPr="0041458F" w:rsidRDefault="00D0698C" w:rsidP="0017008D">
            <w:pPr>
              <w:textAlignment w:val="bottom"/>
              <w:rPr>
                <w:rFonts w:ascii="Arial" w:eastAsia="Times New Roman" w:hAnsi="Arial" w:cs="Arial"/>
                <w:color w:val="000000" w:themeColor="text1"/>
                <w:sz w:val="20"/>
                <w:szCs w:val="20"/>
                <w:lang w:val="fr-FR" w:eastAsia="fr-FR"/>
              </w:rPr>
            </w:pPr>
            <w:r w:rsidRPr="0041458F">
              <w:rPr>
                <w:rFonts w:ascii="Arial" w:eastAsiaTheme="minorEastAsia" w:hAnsi="Arial" w:cs="Arial"/>
                <w:color w:val="000000" w:themeColor="text1"/>
                <w:kern w:val="24"/>
                <w:sz w:val="20"/>
                <w:szCs w:val="20"/>
                <w:lang w:eastAsia="fr-FR"/>
              </w:rPr>
              <w:t>FR1</w:t>
            </w:r>
          </w:p>
        </w:tc>
        <w:tc>
          <w:tcPr>
            <w:tcW w:w="905" w:type="dxa"/>
            <w:vAlign w:val="center"/>
            <w:hideMark/>
          </w:tcPr>
          <w:p w:rsidR="00D0698C" w:rsidRPr="0041458F" w:rsidRDefault="00D0698C" w:rsidP="0017008D">
            <w:pPr>
              <w:textAlignment w:val="bottom"/>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SCS</w:t>
            </w:r>
          </w:p>
          <w:p w:rsidR="00D0698C" w:rsidRPr="0041458F" w:rsidRDefault="00D0698C" w:rsidP="0017008D">
            <w:pPr>
              <w:textAlignment w:val="bottom"/>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(kHz)</w:t>
            </w:r>
          </w:p>
        </w:tc>
        <w:tc>
          <w:tcPr>
            <w:tcW w:w="1190" w:type="dxa"/>
            <w:vAlign w:val="center"/>
            <w:hideMark/>
          </w:tcPr>
          <w:p w:rsidR="00D0698C" w:rsidRPr="0041458F" w:rsidRDefault="00D0698C" w:rsidP="0017008D">
            <w:pPr>
              <w:textAlignment w:val="bottom"/>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5 MHz</w:t>
            </w:r>
          </w:p>
        </w:tc>
        <w:tc>
          <w:tcPr>
            <w:tcW w:w="1190" w:type="dxa"/>
            <w:vAlign w:val="center"/>
            <w:hideMark/>
          </w:tcPr>
          <w:p w:rsidR="00D0698C" w:rsidRPr="0041458F" w:rsidRDefault="00D0698C" w:rsidP="0017008D">
            <w:pPr>
              <w:textAlignment w:val="bottom"/>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10 MHz</w:t>
            </w:r>
          </w:p>
        </w:tc>
        <w:tc>
          <w:tcPr>
            <w:tcW w:w="1190" w:type="dxa"/>
            <w:vAlign w:val="center"/>
            <w:hideMark/>
          </w:tcPr>
          <w:p w:rsidR="00D0698C" w:rsidRPr="0041458F" w:rsidRDefault="00D0698C" w:rsidP="0017008D">
            <w:pPr>
              <w:textAlignment w:val="bottom"/>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15 MHz</w:t>
            </w:r>
          </w:p>
        </w:tc>
        <w:tc>
          <w:tcPr>
            <w:tcW w:w="1190" w:type="dxa"/>
            <w:vAlign w:val="center"/>
            <w:hideMark/>
          </w:tcPr>
          <w:p w:rsidR="00D0698C" w:rsidRPr="0041458F" w:rsidRDefault="00D0698C" w:rsidP="0017008D">
            <w:pPr>
              <w:textAlignment w:val="bottom"/>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20 MHz</w:t>
            </w:r>
          </w:p>
        </w:tc>
        <w:tc>
          <w:tcPr>
            <w:tcW w:w="1190" w:type="dxa"/>
            <w:vAlign w:val="center"/>
            <w:hideMark/>
          </w:tcPr>
          <w:p w:rsidR="00D0698C" w:rsidRPr="0041458F" w:rsidRDefault="00D0698C" w:rsidP="0017008D">
            <w:pPr>
              <w:textAlignment w:val="bottom"/>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25 MHz</w:t>
            </w:r>
          </w:p>
        </w:tc>
        <w:tc>
          <w:tcPr>
            <w:tcW w:w="1190" w:type="dxa"/>
            <w:vAlign w:val="center"/>
            <w:hideMark/>
          </w:tcPr>
          <w:p w:rsidR="00D0698C" w:rsidRPr="0041458F" w:rsidRDefault="00D0698C" w:rsidP="0017008D">
            <w:pPr>
              <w:textAlignment w:val="bottom"/>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 xml:space="preserve">30 </w:t>
            </w:r>
            <w:r w:rsidRPr="0041458F">
              <w:rPr>
                <w:rFonts w:ascii="Arial" w:eastAsiaTheme="minorEastAsia" w:hAnsi="Arial" w:cs="Arial"/>
                <w:color w:val="000000" w:themeColor="text1"/>
                <w:kern w:val="24"/>
                <w:sz w:val="20"/>
                <w:szCs w:val="20"/>
                <w:lang w:eastAsia="fr-FR"/>
              </w:rPr>
              <w:t>MHz</w:t>
            </w:r>
          </w:p>
        </w:tc>
      </w:tr>
      <w:tr w:rsidR="00D0698C" w:rsidRPr="0041458F" w:rsidTr="0017008D">
        <w:trPr>
          <w:trHeight w:val="248"/>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rsidR="00D0698C" w:rsidRPr="0041458F" w:rsidRDefault="00D0698C" w:rsidP="0017008D">
            <w:pPr>
              <w:rPr>
                <w:rFonts w:ascii="Arial" w:eastAsia="Times New Roman" w:hAnsi="Arial" w:cs="Arial"/>
                <w:color w:val="000000" w:themeColor="text1"/>
                <w:sz w:val="20"/>
                <w:szCs w:val="20"/>
                <w:lang w:val="fr-FR" w:eastAsia="fr-FR"/>
              </w:rPr>
            </w:pPr>
          </w:p>
        </w:tc>
        <w:tc>
          <w:tcPr>
            <w:tcW w:w="905" w:type="dxa"/>
            <w:vMerge w:val="restart"/>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15</w:t>
            </w:r>
          </w:p>
        </w:tc>
        <w:tc>
          <w:tcPr>
            <w:tcW w:w="1190" w:type="dxa"/>
            <w:vAlign w:val="center"/>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25</w:t>
            </w:r>
          </w:p>
        </w:tc>
        <w:tc>
          <w:tcPr>
            <w:tcW w:w="1190" w:type="dxa"/>
            <w:vAlign w:val="center"/>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52</w:t>
            </w:r>
          </w:p>
        </w:tc>
        <w:tc>
          <w:tcPr>
            <w:tcW w:w="1190" w:type="dxa"/>
            <w:vAlign w:val="center"/>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79</w:t>
            </w:r>
          </w:p>
        </w:tc>
        <w:tc>
          <w:tcPr>
            <w:tcW w:w="1190" w:type="dxa"/>
            <w:vAlign w:val="center"/>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106</w:t>
            </w:r>
          </w:p>
        </w:tc>
        <w:tc>
          <w:tcPr>
            <w:tcW w:w="1190" w:type="dxa"/>
            <w:vAlign w:val="center"/>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133</w:t>
            </w:r>
          </w:p>
        </w:tc>
        <w:tc>
          <w:tcPr>
            <w:tcW w:w="1190" w:type="dxa"/>
            <w:vAlign w:val="center"/>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160</w:t>
            </w:r>
          </w:p>
        </w:tc>
      </w:tr>
      <w:tr w:rsidR="00D0698C" w:rsidRPr="0041458F" w:rsidTr="0017008D">
        <w:trPr>
          <w:trHeight w:val="331"/>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rsidR="00D0698C" w:rsidRPr="0041458F" w:rsidRDefault="00D0698C" w:rsidP="0017008D">
            <w:pPr>
              <w:rPr>
                <w:rFonts w:ascii="Arial" w:eastAsia="Times New Roman" w:hAnsi="Arial" w:cs="Arial"/>
                <w:color w:val="000000" w:themeColor="text1"/>
                <w:sz w:val="20"/>
                <w:szCs w:val="20"/>
                <w:lang w:val="fr-FR" w:eastAsia="fr-FR"/>
              </w:rPr>
            </w:pPr>
          </w:p>
        </w:tc>
        <w:tc>
          <w:tcPr>
            <w:tcW w:w="0" w:type="auto"/>
            <w:vMerge/>
            <w:vAlign w:val="center"/>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p>
        </w:tc>
        <w:tc>
          <w:tcPr>
            <w:tcW w:w="1190"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4.50 MHz</w:t>
            </w:r>
          </w:p>
        </w:tc>
        <w:tc>
          <w:tcPr>
            <w:tcW w:w="1190"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9.36 MHz</w:t>
            </w:r>
          </w:p>
        </w:tc>
        <w:tc>
          <w:tcPr>
            <w:tcW w:w="1190"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14.22 MHz</w:t>
            </w:r>
          </w:p>
        </w:tc>
        <w:tc>
          <w:tcPr>
            <w:tcW w:w="1190"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19.08 MHz</w:t>
            </w:r>
          </w:p>
        </w:tc>
        <w:tc>
          <w:tcPr>
            <w:tcW w:w="1190"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23.94 MHz</w:t>
            </w:r>
          </w:p>
        </w:tc>
        <w:tc>
          <w:tcPr>
            <w:tcW w:w="1190"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28.8</w:t>
            </w:r>
          </w:p>
        </w:tc>
      </w:tr>
      <w:tr w:rsidR="00D0698C" w:rsidRPr="0041458F" w:rsidTr="0017008D">
        <w:trPr>
          <w:trHeight w:val="248"/>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rsidR="00D0698C" w:rsidRPr="0041458F" w:rsidRDefault="00D0698C" w:rsidP="0017008D">
            <w:pPr>
              <w:rPr>
                <w:rFonts w:ascii="Arial" w:eastAsia="Times New Roman" w:hAnsi="Arial" w:cs="Arial"/>
                <w:color w:val="000000" w:themeColor="text1"/>
                <w:sz w:val="20"/>
                <w:szCs w:val="20"/>
                <w:lang w:val="fr-FR" w:eastAsia="fr-FR"/>
              </w:rPr>
            </w:pPr>
          </w:p>
        </w:tc>
        <w:tc>
          <w:tcPr>
            <w:tcW w:w="905" w:type="dxa"/>
            <w:vMerge w:val="restart"/>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30</w:t>
            </w:r>
          </w:p>
        </w:tc>
        <w:tc>
          <w:tcPr>
            <w:tcW w:w="1190" w:type="dxa"/>
            <w:vAlign w:val="center"/>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11</w:t>
            </w:r>
          </w:p>
        </w:tc>
        <w:tc>
          <w:tcPr>
            <w:tcW w:w="1190" w:type="dxa"/>
            <w:vAlign w:val="center"/>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24</w:t>
            </w:r>
          </w:p>
        </w:tc>
        <w:tc>
          <w:tcPr>
            <w:tcW w:w="1190" w:type="dxa"/>
            <w:vAlign w:val="center"/>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38</w:t>
            </w:r>
          </w:p>
        </w:tc>
        <w:tc>
          <w:tcPr>
            <w:tcW w:w="1190" w:type="dxa"/>
            <w:vAlign w:val="center"/>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51</w:t>
            </w:r>
          </w:p>
        </w:tc>
        <w:tc>
          <w:tcPr>
            <w:tcW w:w="1190" w:type="dxa"/>
            <w:vAlign w:val="center"/>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65</w:t>
            </w:r>
          </w:p>
        </w:tc>
        <w:tc>
          <w:tcPr>
            <w:tcW w:w="1190" w:type="dxa"/>
            <w:vAlign w:val="center"/>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78</w:t>
            </w:r>
          </w:p>
        </w:tc>
      </w:tr>
      <w:tr w:rsidR="00D0698C" w:rsidRPr="0041458F" w:rsidTr="0017008D">
        <w:trPr>
          <w:trHeight w:val="331"/>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rsidR="00D0698C" w:rsidRPr="0041458F" w:rsidRDefault="00D0698C" w:rsidP="0017008D">
            <w:pPr>
              <w:rPr>
                <w:rFonts w:ascii="Arial" w:eastAsia="Times New Roman" w:hAnsi="Arial" w:cs="Arial"/>
                <w:color w:val="000000" w:themeColor="text1"/>
                <w:sz w:val="20"/>
                <w:szCs w:val="20"/>
                <w:lang w:val="fr-FR" w:eastAsia="fr-FR"/>
              </w:rPr>
            </w:pPr>
          </w:p>
        </w:tc>
        <w:tc>
          <w:tcPr>
            <w:tcW w:w="0" w:type="auto"/>
            <w:vMerge/>
            <w:vAlign w:val="center"/>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p>
        </w:tc>
        <w:tc>
          <w:tcPr>
            <w:tcW w:w="1190"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3.96 MHz</w:t>
            </w:r>
          </w:p>
        </w:tc>
        <w:tc>
          <w:tcPr>
            <w:tcW w:w="1190"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8.64 MHz</w:t>
            </w:r>
          </w:p>
        </w:tc>
        <w:tc>
          <w:tcPr>
            <w:tcW w:w="1190"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13.68 MHz</w:t>
            </w:r>
          </w:p>
        </w:tc>
        <w:tc>
          <w:tcPr>
            <w:tcW w:w="1190"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18.36 MHz</w:t>
            </w:r>
          </w:p>
        </w:tc>
        <w:tc>
          <w:tcPr>
            <w:tcW w:w="1190"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23.40 MHz</w:t>
            </w:r>
          </w:p>
        </w:tc>
        <w:tc>
          <w:tcPr>
            <w:tcW w:w="1190"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28.08</w:t>
            </w:r>
          </w:p>
        </w:tc>
      </w:tr>
      <w:tr w:rsidR="00D0698C" w:rsidRPr="0041458F" w:rsidTr="0017008D">
        <w:trPr>
          <w:trHeight w:val="248"/>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rsidR="00D0698C" w:rsidRPr="0041458F" w:rsidRDefault="00D0698C" w:rsidP="0017008D">
            <w:pPr>
              <w:rPr>
                <w:rFonts w:ascii="Arial" w:eastAsia="Times New Roman" w:hAnsi="Arial" w:cs="Arial"/>
                <w:color w:val="000000" w:themeColor="text1"/>
                <w:sz w:val="20"/>
                <w:szCs w:val="20"/>
                <w:lang w:val="fr-FR" w:eastAsia="fr-FR"/>
              </w:rPr>
            </w:pPr>
          </w:p>
        </w:tc>
        <w:tc>
          <w:tcPr>
            <w:tcW w:w="905" w:type="dxa"/>
            <w:vMerge w:val="restart"/>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60</w:t>
            </w:r>
          </w:p>
        </w:tc>
        <w:tc>
          <w:tcPr>
            <w:tcW w:w="1190" w:type="dxa"/>
            <w:vAlign w:val="center"/>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N/A</w:t>
            </w:r>
          </w:p>
        </w:tc>
        <w:tc>
          <w:tcPr>
            <w:tcW w:w="1190" w:type="dxa"/>
            <w:vAlign w:val="center"/>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11</w:t>
            </w:r>
          </w:p>
        </w:tc>
        <w:tc>
          <w:tcPr>
            <w:tcW w:w="1190" w:type="dxa"/>
            <w:vAlign w:val="center"/>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18</w:t>
            </w:r>
          </w:p>
        </w:tc>
        <w:tc>
          <w:tcPr>
            <w:tcW w:w="1190" w:type="dxa"/>
            <w:vAlign w:val="center"/>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24</w:t>
            </w:r>
          </w:p>
        </w:tc>
        <w:tc>
          <w:tcPr>
            <w:tcW w:w="1190" w:type="dxa"/>
            <w:vAlign w:val="center"/>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31</w:t>
            </w:r>
          </w:p>
        </w:tc>
        <w:tc>
          <w:tcPr>
            <w:tcW w:w="1190" w:type="dxa"/>
            <w:vAlign w:val="center"/>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38</w:t>
            </w:r>
          </w:p>
        </w:tc>
      </w:tr>
      <w:tr w:rsidR="00D0698C" w:rsidRPr="0041458F" w:rsidTr="0017008D">
        <w:trPr>
          <w:trHeight w:val="331"/>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rsidR="00D0698C" w:rsidRPr="0041458F" w:rsidRDefault="00D0698C" w:rsidP="0017008D">
            <w:pPr>
              <w:rPr>
                <w:rFonts w:ascii="Arial" w:eastAsia="Times New Roman" w:hAnsi="Arial" w:cs="Arial"/>
                <w:color w:val="000000" w:themeColor="text1"/>
                <w:sz w:val="20"/>
                <w:szCs w:val="20"/>
                <w:lang w:val="fr-FR" w:eastAsia="fr-FR"/>
              </w:rPr>
            </w:pPr>
          </w:p>
        </w:tc>
        <w:tc>
          <w:tcPr>
            <w:tcW w:w="0" w:type="auto"/>
            <w:vMerge/>
            <w:vAlign w:val="center"/>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p>
        </w:tc>
        <w:tc>
          <w:tcPr>
            <w:tcW w:w="1190"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N.A</w:t>
            </w:r>
          </w:p>
        </w:tc>
        <w:tc>
          <w:tcPr>
            <w:tcW w:w="1190"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7.92 MHz</w:t>
            </w:r>
          </w:p>
        </w:tc>
        <w:tc>
          <w:tcPr>
            <w:tcW w:w="1190"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12.96 MHz</w:t>
            </w:r>
          </w:p>
        </w:tc>
        <w:tc>
          <w:tcPr>
            <w:tcW w:w="1190"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17.28 MHz</w:t>
            </w:r>
          </w:p>
        </w:tc>
        <w:tc>
          <w:tcPr>
            <w:tcW w:w="1190"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22.32 MHz</w:t>
            </w:r>
          </w:p>
        </w:tc>
        <w:tc>
          <w:tcPr>
            <w:tcW w:w="1190"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27.36</w:t>
            </w:r>
          </w:p>
        </w:tc>
      </w:tr>
    </w:tbl>
    <w:p w:rsidR="00D0698C" w:rsidRPr="0041458F" w:rsidRDefault="00D0698C" w:rsidP="00D0698C">
      <w:pPr>
        <w:pStyle w:val="Lgende"/>
        <w:rPr>
          <w:rFonts w:ascii="Arial" w:eastAsia="PMingLiU" w:hAnsi="Arial" w:cs="Arial"/>
          <w:b w:val="0"/>
          <w:lang w:eastAsia="zh-TW"/>
        </w:rPr>
      </w:pPr>
    </w:p>
    <w:tbl>
      <w:tblPr>
        <w:tblStyle w:val="Ombrageclair"/>
        <w:tblW w:w="9258" w:type="dxa"/>
        <w:jc w:val="center"/>
        <w:tblLook w:val="06A0" w:firstRow="1" w:lastRow="0" w:firstColumn="1" w:lastColumn="0" w:noHBand="1" w:noVBand="1"/>
      </w:tblPr>
      <w:tblGrid>
        <w:gridCol w:w="1601"/>
        <w:gridCol w:w="1131"/>
        <w:gridCol w:w="1649"/>
        <w:gridCol w:w="1578"/>
        <w:gridCol w:w="1626"/>
        <w:gridCol w:w="1673"/>
      </w:tblGrid>
      <w:tr w:rsidR="00D0698C" w:rsidRPr="0041458F" w:rsidTr="0017008D">
        <w:trPr>
          <w:cnfStyle w:val="100000000000" w:firstRow="1" w:lastRow="0" w:firstColumn="0" w:lastColumn="0" w:oddVBand="0" w:evenVBand="0" w:oddHBand="0" w:evenHBand="0" w:firstRowFirstColumn="0" w:firstRowLastColumn="0" w:lastRowFirstColumn="0" w:lastRowLastColumn="0"/>
          <w:trHeight w:val="744"/>
          <w:jc w:val="center"/>
        </w:trPr>
        <w:tc>
          <w:tcPr>
            <w:cnfStyle w:val="001000000000" w:firstRow="0" w:lastRow="0" w:firstColumn="1" w:lastColumn="0" w:oddVBand="0" w:evenVBand="0" w:oddHBand="0" w:evenHBand="0" w:firstRowFirstColumn="0" w:firstRowLastColumn="0" w:lastRowFirstColumn="0" w:lastRowLastColumn="0"/>
            <w:tcW w:w="1601" w:type="dxa"/>
            <w:vMerge w:val="restart"/>
            <w:vAlign w:val="center"/>
            <w:hideMark/>
          </w:tcPr>
          <w:p w:rsidR="00D0698C" w:rsidRPr="0041458F" w:rsidRDefault="00D0698C" w:rsidP="0017008D">
            <w:pPr>
              <w:textAlignment w:val="bottom"/>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FR2</w:t>
            </w:r>
          </w:p>
        </w:tc>
        <w:tc>
          <w:tcPr>
            <w:tcW w:w="1131" w:type="dxa"/>
            <w:vAlign w:val="center"/>
            <w:hideMark/>
          </w:tcPr>
          <w:p w:rsidR="00D0698C" w:rsidRPr="0041458F" w:rsidRDefault="00D0698C" w:rsidP="0017008D">
            <w:pPr>
              <w:textAlignment w:val="bottom"/>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SCS</w:t>
            </w:r>
          </w:p>
          <w:p w:rsidR="00D0698C" w:rsidRPr="0041458F" w:rsidRDefault="00D0698C" w:rsidP="0017008D">
            <w:pPr>
              <w:textAlignment w:val="bottom"/>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(kHz)</w:t>
            </w:r>
          </w:p>
        </w:tc>
        <w:tc>
          <w:tcPr>
            <w:tcW w:w="1649" w:type="dxa"/>
            <w:vAlign w:val="center"/>
            <w:hideMark/>
          </w:tcPr>
          <w:p w:rsidR="00D0698C" w:rsidRPr="0041458F" w:rsidRDefault="00D0698C" w:rsidP="0017008D">
            <w:pPr>
              <w:textAlignment w:val="bottom"/>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50 MHz</w:t>
            </w:r>
          </w:p>
        </w:tc>
        <w:tc>
          <w:tcPr>
            <w:tcW w:w="1578" w:type="dxa"/>
            <w:vAlign w:val="center"/>
            <w:hideMark/>
          </w:tcPr>
          <w:p w:rsidR="00D0698C" w:rsidRPr="0041458F" w:rsidRDefault="00D0698C" w:rsidP="0017008D">
            <w:pPr>
              <w:textAlignment w:val="bottom"/>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100 MHz</w:t>
            </w:r>
          </w:p>
        </w:tc>
        <w:tc>
          <w:tcPr>
            <w:tcW w:w="1626" w:type="dxa"/>
            <w:vAlign w:val="center"/>
            <w:hideMark/>
          </w:tcPr>
          <w:p w:rsidR="00D0698C" w:rsidRPr="0041458F" w:rsidRDefault="00D0698C" w:rsidP="0017008D">
            <w:pPr>
              <w:textAlignment w:val="bottom"/>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200 MHz</w:t>
            </w:r>
          </w:p>
        </w:tc>
        <w:tc>
          <w:tcPr>
            <w:tcW w:w="1673" w:type="dxa"/>
            <w:vAlign w:val="center"/>
            <w:hideMark/>
          </w:tcPr>
          <w:p w:rsidR="00D0698C" w:rsidRPr="0041458F" w:rsidRDefault="00D0698C" w:rsidP="0017008D">
            <w:pPr>
              <w:textAlignment w:val="bottom"/>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400 MHz</w:t>
            </w:r>
          </w:p>
        </w:tc>
      </w:tr>
      <w:tr w:rsidR="00D0698C" w:rsidRPr="0041458F" w:rsidTr="0017008D">
        <w:trPr>
          <w:trHeight w:val="284"/>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rsidR="00D0698C" w:rsidRPr="0041458F" w:rsidRDefault="00D0698C" w:rsidP="0017008D">
            <w:pPr>
              <w:textAlignment w:val="bottom"/>
              <w:rPr>
                <w:rFonts w:ascii="Arial" w:eastAsiaTheme="minorEastAsia" w:hAnsi="Arial" w:cs="Arial"/>
                <w:color w:val="000000" w:themeColor="text1"/>
                <w:kern w:val="24"/>
                <w:sz w:val="20"/>
                <w:szCs w:val="20"/>
                <w:lang w:eastAsia="fr-FR"/>
              </w:rPr>
            </w:pPr>
          </w:p>
        </w:tc>
        <w:tc>
          <w:tcPr>
            <w:tcW w:w="1131" w:type="dxa"/>
            <w:vMerge w:val="restart"/>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60</w:t>
            </w:r>
          </w:p>
        </w:tc>
        <w:tc>
          <w:tcPr>
            <w:tcW w:w="1649"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66</w:t>
            </w:r>
          </w:p>
        </w:tc>
        <w:tc>
          <w:tcPr>
            <w:tcW w:w="1578"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132</w:t>
            </w:r>
          </w:p>
        </w:tc>
        <w:tc>
          <w:tcPr>
            <w:tcW w:w="1626"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264</w:t>
            </w:r>
          </w:p>
        </w:tc>
        <w:tc>
          <w:tcPr>
            <w:tcW w:w="1673"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N.A</w:t>
            </w:r>
          </w:p>
        </w:tc>
      </w:tr>
      <w:tr w:rsidR="00D0698C" w:rsidRPr="0041458F" w:rsidTr="0017008D">
        <w:trPr>
          <w:trHeight w:val="34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rsidR="00D0698C" w:rsidRPr="0041458F" w:rsidRDefault="00D0698C" w:rsidP="0017008D">
            <w:pPr>
              <w:textAlignment w:val="bottom"/>
              <w:rPr>
                <w:rFonts w:ascii="Arial" w:eastAsiaTheme="minorEastAsia" w:hAnsi="Arial" w:cs="Arial"/>
                <w:color w:val="000000" w:themeColor="text1"/>
                <w:kern w:val="24"/>
                <w:sz w:val="20"/>
                <w:szCs w:val="20"/>
                <w:lang w:eastAsia="fr-FR"/>
              </w:rPr>
            </w:pPr>
          </w:p>
        </w:tc>
        <w:tc>
          <w:tcPr>
            <w:tcW w:w="0" w:type="auto"/>
            <w:vMerge/>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p>
        </w:tc>
        <w:tc>
          <w:tcPr>
            <w:tcW w:w="1649"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47.52 MHz</w:t>
            </w:r>
          </w:p>
        </w:tc>
        <w:tc>
          <w:tcPr>
            <w:tcW w:w="1578"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95.04 MHz</w:t>
            </w:r>
          </w:p>
        </w:tc>
        <w:tc>
          <w:tcPr>
            <w:tcW w:w="1626"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190.08 MHz</w:t>
            </w:r>
          </w:p>
        </w:tc>
        <w:tc>
          <w:tcPr>
            <w:tcW w:w="1673"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N/A</w:t>
            </w:r>
          </w:p>
        </w:tc>
      </w:tr>
      <w:tr w:rsidR="00D0698C" w:rsidRPr="0041458F" w:rsidTr="0017008D">
        <w:trPr>
          <w:trHeight w:val="284"/>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rsidR="00D0698C" w:rsidRPr="0041458F" w:rsidRDefault="00D0698C" w:rsidP="0017008D">
            <w:pPr>
              <w:textAlignment w:val="bottom"/>
              <w:rPr>
                <w:rFonts w:ascii="Arial" w:eastAsiaTheme="minorEastAsia" w:hAnsi="Arial" w:cs="Arial"/>
                <w:color w:val="000000" w:themeColor="text1"/>
                <w:kern w:val="24"/>
                <w:sz w:val="20"/>
                <w:szCs w:val="20"/>
                <w:lang w:eastAsia="fr-FR"/>
              </w:rPr>
            </w:pPr>
          </w:p>
        </w:tc>
        <w:tc>
          <w:tcPr>
            <w:tcW w:w="1131" w:type="dxa"/>
            <w:vMerge w:val="restart"/>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120</w:t>
            </w:r>
          </w:p>
        </w:tc>
        <w:tc>
          <w:tcPr>
            <w:tcW w:w="1649"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32</w:t>
            </w:r>
          </w:p>
        </w:tc>
        <w:tc>
          <w:tcPr>
            <w:tcW w:w="1578"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66</w:t>
            </w:r>
          </w:p>
        </w:tc>
        <w:tc>
          <w:tcPr>
            <w:tcW w:w="1626"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132</w:t>
            </w:r>
          </w:p>
        </w:tc>
        <w:tc>
          <w:tcPr>
            <w:tcW w:w="1673"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264</w:t>
            </w:r>
          </w:p>
        </w:tc>
      </w:tr>
      <w:tr w:rsidR="00D0698C" w:rsidRPr="0041458F" w:rsidTr="0017008D">
        <w:trPr>
          <w:trHeight w:val="34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rsidR="00D0698C" w:rsidRPr="0041458F" w:rsidRDefault="00D0698C" w:rsidP="0017008D">
            <w:pPr>
              <w:textAlignment w:val="bottom"/>
              <w:rPr>
                <w:rFonts w:ascii="Arial" w:eastAsiaTheme="minorEastAsia" w:hAnsi="Arial" w:cs="Arial"/>
                <w:color w:val="000000" w:themeColor="text1"/>
                <w:kern w:val="24"/>
                <w:sz w:val="20"/>
                <w:szCs w:val="20"/>
                <w:lang w:eastAsia="fr-FR"/>
              </w:rPr>
            </w:pPr>
          </w:p>
        </w:tc>
        <w:tc>
          <w:tcPr>
            <w:tcW w:w="0" w:type="auto"/>
            <w:vMerge/>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p>
        </w:tc>
        <w:tc>
          <w:tcPr>
            <w:tcW w:w="1649"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46.08 MHz</w:t>
            </w:r>
          </w:p>
        </w:tc>
        <w:tc>
          <w:tcPr>
            <w:tcW w:w="1578"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95.04 MHz</w:t>
            </w:r>
          </w:p>
        </w:tc>
        <w:tc>
          <w:tcPr>
            <w:tcW w:w="1626"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190.08 MHz</w:t>
            </w:r>
          </w:p>
        </w:tc>
        <w:tc>
          <w:tcPr>
            <w:tcW w:w="1673"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380.16 MHz</w:t>
            </w:r>
          </w:p>
        </w:tc>
      </w:tr>
    </w:tbl>
    <w:p w:rsidR="00D0698C" w:rsidRDefault="00D0698C" w:rsidP="00D0698C">
      <w:pPr>
        <w:rPr>
          <w:rFonts w:ascii="Arial" w:eastAsia="PMingLiU" w:hAnsi="Arial" w:cs="Arial"/>
          <w:sz w:val="20"/>
          <w:szCs w:val="20"/>
          <w:lang w:eastAsia="zh-TW"/>
        </w:rPr>
      </w:pPr>
    </w:p>
    <w:p w:rsidR="00D0698C" w:rsidRPr="0041458F" w:rsidRDefault="00D0698C" w:rsidP="00D0698C">
      <w:pPr>
        <w:rPr>
          <w:rFonts w:ascii="Arial" w:eastAsia="PMingLiU" w:hAnsi="Arial" w:cs="Arial"/>
          <w:sz w:val="20"/>
          <w:szCs w:val="20"/>
          <w:lang w:eastAsia="zh-TW"/>
        </w:rPr>
      </w:pPr>
      <w:r w:rsidRPr="0041458F">
        <w:rPr>
          <w:rFonts w:ascii="Arial" w:eastAsia="PMingLiU" w:hAnsi="Arial" w:cs="Arial"/>
          <w:sz w:val="20"/>
          <w:szCs w:val="20"/>
          <w:lang w:eastAsia="zh-TW"/>
        </w:rPr>
        <w:t xml:space="preserve">The bandwidth per cell must be adapted based on the frequency factor and the polarization re-use option considered. Considering the supported NR NTN carrier bandwidths, given in </w:t>
      </w:r>
      <w:r w:rsidRPr="0041458F">
        <w:rPr>
          <w:rFonts w:ascii="Arial" w:eastAsia="PMingLiU" w:hAnsi="Arial" w:cs="Arial"/>
          <w:sz w:val="20"/>
          <w:szCs w:val="20"/>
          <w:lang w:eastAsia="zh-TW"/>
        </w:rPr>
        <w:fldChar w:fldCharType="begin"/>
      </w:r>
      <w:r w:rsidRPr="0041458F">
        <w:rPr>
          <w:rFonts w:ascii="Arial" w:eastAsia="PMingLiU" w:hAnsi="Arial" w:cs="Arial"/>
          <w:sz w:val="20"/>
          <w:szCs w:val="20"/>
          <w:lang w:eastAsia="zh-TW"/>
        </w:rPr>
        <w:instrText xml:space="preserve"> REF _Ref47368770 \h  \* MERGEFORMAT </w:instrText>
      </w:r>
      <w:r w:rsidRPr="0041458F">
        <w:rPr>
          <w:rFonts w:ascii="Arial" w:eastAsia="PMingLiU" w:hAnsi="Arial" w:cs="Arial"/>
          <w:sz w:val="20"/>
          <w:szCs w:val="20"/>
          <w:lang w:eastAsia="zh-TW"/>
        </w:rPr>
      </w:r>
      <w:r w:rsidRPr="0041458F">
        <w:rPr>
          <w:rFonts w:ascii="Arial" w:eastAsia="PMingLiU" w:hAnsi="Arial" w:cs="Arial"/>
          <w:sz w:val="20"/>
          <w:szCs w:val="20"/>
          <w:lang w:eastAsia="zh-TW"/>
        </w:rPr>
        <w:fldChar w:fldCharType="separate"/>
      </w:r>
      <w:r w:rsidRPr="0041458F">
        <w:rPr>
          <w:rFonts w:ascii="Arial" w:hAnsi="Arial" w:cs="Arial"/>
          <w:sz w:val="20"/>
          <w:szCs w:val="20"/>
        </w:rPr>
        <w:t xml:space="preserve">Table </w:t>
      </w:r>
      <w:r w:rsidRPr="0041458F">
        <w:rPr>
          <w:rFonts w:ascii="Arial" w:hAnsi="Arial" w:cs="Arial"/>
          <w:noProof/>
          <w:sz w:val="20"/>
          <w:szCs w:val="20"/>
        </w:rPr>
        <w:t>8</w:t>
      </w:r>
      <w:r w:rsidRPr="0041458F">
        <w:rPr>
          <w:rFonts w:ascii="Arial" w:hAnsi="Arial" w:cs="Arial"/>
          <w:sz w:val="20"/>
          <w:szCs w:val="20"/>
        </w:rPr>
        <w:t xml:space="preserve"> </w:t>
      </w:r>
      <w:r w:rsidRPr="0041458F">
        <w:rPr>
          <w:rFonts w:ascii="Arial" w:eastAsia="PMingLiU" w:hAnsi="Arial" w:cs="Arial"/>
          <w:sz w:val="20"/>
          <w:szCs w:val="20"/>
          <w:lang w:eastAsia="zh-TW"/>
        </w:rPr>
        <w:fldChar w:fldCharType="end"/>
      </w:r>
      <w:r w:rsidRPr="0041458F">
        <w:rPr>
          <w:rFonts w:ascii="Arial" w:eastAsia="PMingLiU" w:hAnsi="Arial" w:cs="Arial"/>
          <w:sz w:val="20"/>
          <w:szCs w:val="20"/>
          <w:lang w:eastAsia="zh-TW"/>
        </w:rPr>
        <w:t xml:space="preserve">, and depending on the available system frequency bandwidth, not all CC bandwidth could be used with a given FRF, specifically if the CCs allocated for different neighbor cells should have the same bandwidth. </w:t>
      </w:r>
    </w:p>
    <w:p w:rsidR="00D0698C" w:rsidRPr="0041458F" w:rsidRDefault="00D0698C" w:rsidP="00D0698C">
      <w:pPr>
        <w:rPr>
          <w:rFonts w:ascii="Arial" w:eastAsia="PMingLiU" w:hAnsi="Arial" w:cs="Arial"/>
          <w:sz w:val="20"/>
          <w:szCs w:val="20"/>
          <w:lang w:eastAsia="zh-TW"/>
        </w:rPr>
      </w:pPr>
      <w:r w:rsidRPr="0041458F">
        <w:rPr>
          <w:rFonts w:ascii="Arial" w:eastAsia="PMingLiU" w:hAnsi="Arial" w:cs="Arial"/>
          <w:sz w:val="20"/>
          <w:szCs w:val="20"/>
          <w:lang w:eastAsia="zh-TW"/>
        </w:rPr>
        <w:t>Furthermore, for more flexibility, the BWP can be used to replace component carrier (CC) as will be discussed in an upcoming clause.</w:t>
      </w:r>
    </w:p>
    <w:p w:rsidR="00D0698C" w:rsidRPr="0041458F" w:rsidRDefault="00D0698C" w:rsidP="00D0698C">
      <w:pPr>
        <w:pStyle w:val="Proposal"/>
        <w:numPr>
          <w:ilvl w:val="0"/>
          <w:numId w:val="26"/>
        </w:numPr>
        <w:tabs>
          <w:tab w:val="clear" w:pos="1304"/>
          <w:tab w:val="left" w:pos="1701"/>
        </w:tabs>
        <w:spacing w:after="200" w:line="276" w:lineRule="auto"/>
        <w:ind w:left="1701" w:hanging="1701"/>
        <w:jc w:val="left"/>
        <w:rPr>
          <w:sz w:val="20"/>
          <w:szCs w:val="20"/>
        </w:rPr>
      </w:pPr>
      <w:r w:rsidRPr="0041458F">
        <w:rPr>
          <w:sz w:val="20"/>
          <w:szCs w:val="20"/>
        </w:rPr>
        <w:t>To increase the per-beam bandwidth while ensuring excellent interference isolation between beams, other frequency separation techniques such as polarization re-use scheme should be considered</w:t>
      </w:r>
    </w:p>
    <w:p w:rsidR="00D0698C" w:rsidRPr="0041458F" w:rsidRDefault="00D0698C" w:rsidP="00D0698C">
      <w:pPr>
        <w:pStyle w:val="Titre2"/>
        <w:keepLines/>
        <w:tabs>
          <w:tab w:val="clear" w:pos="576"/>
        </w:tabs>
        <w:autoSpaceDE/>
        <w:autoSpaceDN/>
        <w:adjustRightInd/>
        <w:snapToGrid/>
        <w:spacing w:before="200" w:after="240" w:line="276" w:lineRule="auto"/>
        <w:jc w:val="left"/>
        <w:rPr>
          <w:lang w:val="de-DE"/>
        </w:rPr>
      </w:pPr>
      <w:proofErr w:type="spellStart"/>
      <w:r w:rsidRPr="0041458F">
        <w:rPr>
          <w:lang w:val="de-DE"/>
        </w:rPr>
        <w:t>Polarization</w:t>
      </w:r>
      <w:proofErr w:type="spellEnd"/>
      <w:r w:rsidRPr="0041458F">
        <w:rPr>
          <w:lang w:val="de-DE"/>
        </w:rPr>
        <w:t xml:space="preserve"> </w:t>
      </w:r>
      <w:proofErr w:type="spellStart"/>
      <w:r w:rsidRPr="0041458F">
        <w:rPr>
          <w:lang w:val="de-DE"/>
        </w:rPr>
        <w:t>re-use</w:t>
      </w:r>
      <w:proofErr w:type="spellEnd"/>
      <w:r w:rsidRPr="0041458F">
        <w:rPr>
          <w:lang w:val="de-DE"/>
        </w:rPr>
        <w:t xml:space="preserve"> </w:t>
      </w:r>
      <w:proofErr w:type="spellStart"/>
      <w:r w:rsidRPr="0041458F">
        <w:rPr>
          <w:lang w:val="de-DE"/>
        </w:rPr>
        <w:t>support</w:t>
      </w:r>
      <w:proofErr w:type="spellEnd"/>
    </w:p>
    <w:p w:rsidR="00D0698C" w:rsidRPr="0041458F" w:rsidRDefault="00D0698C" w:rsidP="00D0698C">
      <w:pPr>
        <w:rPr>
          <w:rFonts w:ascii="Arial" w:eastAsia="PMingLiU" w:hAnsi="Arial" w:cs="Arial"/>
          <w:sz w:val="20"/>
          <w:szCs w:val="20"/>
          <w:lang w:eastAsia="zh-TW"/>
        </w:rPr>
      </w:pPr>
      <w:r w:rsidRPr="0041458F">
        <w:rPr>
          <w:rFonts w:ascii="Arial" w:eastAsia="PMingLiU" w:hAnsi="Arial" w:cs="Arial"/>
          <w:sz w:val="20"/>
          <w:szCs w:val="20"/>
          <w:lang w:eastAsia="zh-TW"/>
        </w:rPr>
        <w:t>Traditional frequency reuse though simple in implementation is suffering from quite reduced spectral efficiency. To increase the per-beam bandwidth while ensuring excellent interference isolation between beams, polarization re-use scheme can be used together with frequency reuse as shown on the figure 15: Neighboring cells use different polarization modes to mitigate inter-cell interference: e.g. Right-Hand-Circular (RHC) which follows a clockwise pattern, and Left-Hand-Circular (LHC) which follows a counterclockwise pattern.</w:t>
      </w:r>
    </w:p>
    <w:p w:rsidR="00D0698C" w:rsidRPr="0041458F" w:rsidRDefault="0099483F" w:rsidP="00D0698C">
      <w:pPr>
        <w:rPr>
          <w:rFonts w:ascii="Arial" w:eastAsia="PMingLiU" w:hAnsi="Arial" w:cs="Arial"/>
          <w:sz w:val="20"/>
          <w:szCs w:val="20"/>
          <w:lang w:eastAsia="zh-TW"/>
        </w:rPr>
      </w:pPr>
      <w:r w:rsidRPr="0099483F">
        <w:rPr>
          <w:rFonts w:ascii="Arial" w:eastAsia="PMingLiU" w:hAnsi="Arial" w:cs="Arial"/>
          <w:sz w:val="20"/>
          <w:szCs w:val="20"/>
          <w:lang w:eastAsia="zh-TW"/>
        </w:rPr>
        <w:t xml:space="preserve">NTN should support UEs with circularly polarized antennas and polarization re-use </w:t>
      </w:r>
      <w:proofErr w:type="spellStart"/>
      <w:r w:rsidRPr="0099483F">
        <w:rPr>
          <w:rFonts w:ascii="Arial" w:eastAsia="PMingLiU" w:hAnsi="Arial" w:cs="Arial"/>
          <w:sz w:val="20"/>
          <w:szCs w:val="20"/>
          <w:lang w:eastAsia="zh-TW"/>
        </w:rPr>
        <w:t>schemes</w:t>
      </w:r>
      <w:r>
        <w:rPr>
          <w:rFonts w:ascii="Arial" w:eastAsia="PMingLiU" w:hAnsi="Arial" w:cs="Arial"/>
          <w:sz w:val="20"/>
          <w:szCs w:val="20"/>
          <w:lang w:eastAsia="zh-TW"/>
        </w:rPr>
        <w:t>.</w:t>
      </w:r>
      <w:r w:rsidR="00D0698C" w:rsidRPr="0041458F">
        <w:rPr>
          <w:rFonts w:ascii="Arial" w:eastAsia="PMingLiU" w:hAnsi="Arial" w:cs="Arial"/>
          <w:sz w:val="20"/>
          <w:szCs w:val="20"/>
          <w:lang w:eastAsia="zh-TW"/>
        </w:rPr>
        <w:t>To</w:t>
      </w:r>
      <w:proofErr w:type="spellEnd"/>
      <w:r w:rsidR="00D0698C" w:rsidRPr="0041458F">
        <w:rPr>
          <w:rFonts w:ascii="Arial" w:eastAsia="PMingLiU" w:hAnsi="Arial" w:cs="Arial"/>
          <w:sz w:val="20"/>
          <w:szCs w:val="20"/>
          <w:lang w:eastAsia="zh-TW"/>
        </w:rPr>
        <w:t xml:space="preserve"> prevent depolarization loss in case of UE with only linear polarization capability, a combination of the two Rx branches in the UE may be used in the downlink, and the satellite reception may implement dual polarization per beam in the uplink.</w:t>
      </w:r>
    </w:p>
    <w:p w:rsidR="00D0698C" w:rsidRPr="0041458F" w:rsidRDefault="00D0698C" w:rsidP="00D0698C">
      <w:pPr>
        <w:pStyle w:val="Proposal"/>
        <w:numPr>
          <w:ilvl w:val="0"/>
          <w:numId w:val="26"/>
        </w:numPr>
        <w:tabs>
          <w:tab w:val="clear" w:pos="1304"/>
          <w:tab w:val="left" w:pos="1701"/>
        </w:tabs>
        <w:spacing w:after="200" w:line="276" w:lineRule="auto"/>
        <w:ind w:left="1701" w:hanging="1701"/>
        <w:jc w:val="left"/>
        <w:rPr>
          <w:sz w:val="20"/>
          <w:szCs w:val="20"/>
        </w:rPr>
      </w:pPr>
      <w:r w:rsidRPr="0041458F">
        <w:rPr>
          <w:sz w:val="20"/>
          <w:szCs w:val="20"/>
        </w:rPr>
        <w:t xml:space="preserve">NTN should support co-existence of UEs with circularly polarized antennas and linearly polarized antennas on both S-band and </w:t>
      </w:r>
      <w:proofErr w:type="spellStart"/>
      <w:r w:rsidRPr="0041458F">
        <w:rPr>
          <w:sz w:val="20"/>
          <w:szCs w:val="20"/>
        </w:rPr>
        <w:t>Ka</w:t>
      </w:r>
      <w:proofErr w:type="spellEnd"/>
      <w:r w:rsidRPr="0041458F">
        <w:rPr>
          <w:sz w:val="20"/>
          <w:szCs w:val="20"/>
        </w:rPr>
        <w:t>-band</w:t>
      </w:r>
    </w:p>
    <w:p w:rsidR="00C67EA3" w:rsidRDefault="00D0698C" w:rsidP="00F13464">
      <w:pPr>
        <w:keepNext/>
        <w:jc w:val="center"/>
      </w:pPr>
      <w:r w:rsidRPr="0041458F">
        <w:rPr>
          <w:rFonts w:ascii="Arial" w:eastAsia="PMingLiU" w:hAnsi="Arial" w:cs="Arial"/>
          <w:noProof/>
          <w:sz w:val="20"/>
          <w:szCs w:val="20"/>
          <w:lang w:val="fr-FR" w:eastAsia="fr-FR"/>
        </w:rPr>
        <w:drawing>
          <wp:inline distT="0" distB="0" distL="0" distR="0" wp14:anchorId="4B40CF0A" wp14:editId="105398C3">
            <wp:extent cx="6364800" cy="1890000"/>
            <wp:effectExtent l="0" t="0" r="0" b="0"/>
            <wp:docPr id="298" name="Imag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64800" cy="1890000"/>
                    </a:xfrm>
                    <a:prstGeom prst="rect">
                      <a:avLst/>
                    </a:prstGeom>
                    <a:noFill/>
                  </pic:spPr>
                </pic:pic>
              </a:graphicData>
            </a:graphic>
          </wp:inline>
        </w:drawing>
      </w:r>
    </w:p>
    <w:p w:rsidR="00D0698C" w:rsidRPr="0041458F" w:rsidRDefault="00C67EA3" w:rsidP="00C67EA3">
      <w:pPr>
        <w:pStyle w:val="Lgende"/>
        <w:rPr>
          <w:rFonts w:ascii="Arial" w:hAnsi="Arial" w:cs="Arial"/>
        </w:rPr>
      </w:pPr>
      <w:r>
        <w:t xml:space="preserve">Figure </w:t>
      </w:r>
      <w:r w:rsidR="004063B3">
        <w:fldChar w:fldCharType="begin"/>
      </w:r>
      <w:r w:rsidR="004063B3">
        <w:instrText xml:space="preserve"> SEQ Figure \* ARABIC </w:instrText>
      </w:r>
      <w:r w:rsidR="004063B3">
        <w:fldChar w:fldCharType="separate"/>
      </w:r>
      <w:r w:rsidR="00212F20">
        <w:rPr>
          <w:noProof/>
        </w:rPr>
        <w:t>2</w:t>
      </w:r>
      <w:r w:rsidR="004063B3">
        <w:rPr>
          <w:noProof/>
        </w:rPr>
        <w:fldChar w:fldCharType="end"/>
      </w:r>
      <w:r>
        <w:t xml:space="preserve"> </w:t>
      </w:r>
      <w:r w:rsidRPr="00342539">
        <w:t>Polarization re-use scheme used together with frequency reuse</w:t>
      </w:r>
    </w:p>
    <w:p w:rsidR="00C67EA3" w:rsidRDefault="00C67EA3" w:rsidP="00D0698C">
      <w:pPr>
        <w:rPr>
          <w:rFonts w:ascii="Arial" w:eastAsia="PMingLiU" w:hAnsi="Arial" w:cs="Arial"/>
          <w:sz w:val="20"/>
          <w:szCs w:val="20"/>
          <w:lang w:eastAsia="zh-TW"/>
        </w:rPr>
      </w:pPr>
    </w:p>
    <w:p w:rsidR="00D0698C" w:rsidRPr="0041458F" w:rsidRDefault="00D0698C" w:rsidP="00D0698C">
      <w:pPr>
        <w:rPr>
          <w:rFonts w:ascii="Arial" w:eastAsia="PMingLiU" w:hAnsi="Arial" w:cs="Arial"/>
          <w:sz w:val="20"/>
          <w:szCs w:val="20"/>
          <w:lang w:eastAsia="zh-TW"/>
        </w:rPr>
      </w:pPr>
      <w:r w:rsidRPr="0041458F">
        <w:rPr>
          <w:rFonts w:ascii="Arial" w:eastAsia="PMingLiU" w:hAnsi="Arial" w:cs="Arial"/>
          <w:sz w:val="20"/>
          <w:szCs w:val="20"/>
          <w:lang w:eastAsia="zh-TW"/>
        </w:rPr>
        <w:t xml:space="preserve">Additionally, there are other advantages of circular polarization such as its robustness against the Faraday effect which affects linear polarization especially at lower frequencies and it is more resistant to signal degradation due to atmospheric conditions. </w:t>
      </w:r>
    </w:p>
    <w:p w:rsidR="00D0698C" w:rsidRPr="0041458F" w:rsidRDefault="00D0698C" w:rsidP="00D0698C">
      <w:pPr>
        <w:rPr>
          <w:rFonts w:ascii="Arial" w:eastAsia="PMingLiU" w:hAnsi="Arial" w:cs="Arial"/>
          <w:sz w:val="20"/>
          <w:szCs w:val="20"/>
          <w:lang w:eastAsia="zh-TW"/>
        </w:rPr>
      </w:pPr>
      <w:r w:rsidRPr="0041458F">
        <w:rPr>
          <w:rFonts w:ascii="Arial" w:eastAsia="PMingLiU" w:hAnsi="Arial" w:cs="Arial"/>
          <w:sz w:val="20"/>
          <w:szCs w:val="20"/>
          <w:lang w:eastAsia="zh-TW"/>
        </w:rPr>
        <w:t xml:space="preserve">More importantly, circular polarization can be used to increase the cell capacity: Both directions (RHC and LHC) can be used simultaneously on the same PRBs. </w:t>
      </w:r>
    </w:p>
    <w:p w:rsidR="00D0698C" w:rsidRPr="0041458F" w:rsidRDefault="00D0698C" w:rsidP="00D0698C">
      <w:pPr>
        <w:pStyle w:val="Observation"/>
        <w:numPr>
          <w:ilvl w:val="0"/>
          <w:numId w:val="27"/>
        </w:numPr>
        <w:tabs>
          <w:tab w:val="left" w:pos="1701"/>
        </w:tabs>
        <w:spacing w:after="200" w:line="276" w:lineRule="auto"/>
        <w:ind w:left="1701" w:hanging="1701"/>
        <w:jc w:val="left"/>
        <w:rPr>
          <w:sz w:val="20"/>
          <w:szCs w:val="20"/>
        </w:rPr>
      </w:pPr>
      <w:r w:rsidRPr="0041458F">
        <w:rPr>
          <w:sz w:val="20"/>
          <w:szCs w:val="20"/>
        </w:rPr>
        <w:t xml:space="preserve">Circular polarization can be used to double the cell capacity </w:t>
      </w:r>
    </w:p>
    <w:p w:rsidR="00D0698C" w:rsidRPr="0041458F" w:rsidRDefault="00D0698C" w:rsidP="00D0698C">
      <w:pPr>
        <w:pStyle w:val="Titre1"/>
        <w:keepLines/>
        <w:tabs>
          <w:tab w:val="clear" w:pos="432"/>
        </w:tabs>
        <w:autoSpaceDE/>
        <w:autoSpaceDN/>
        <w:adjustRightInd/>
        <w:snapToGrid/>
        <w:spacing w:before="480" w:after="200" w:line="276" w:lineRule="auto"/>
        <w:jc w:val="left"/>
      </w:pPr>
      <w:r>
        <w:lastRenderedPageBreak/>
        <w:t xml:space="preserve">Beam Management </w:t>
      </w:r>
      <w:r w:rsidRPr="0041458F">
        <w:t>and BWP support</w:t>
      </w:r>
    </w:p>
    <w:p w:rsidR="00D0698C" w:rsidRPr="0041458F" w:rsidRDefault="00D0698C" w:rsidP="00D0698C">
      <w:pPr>
        <w:pStyle w:val="Titre2"/>
        <w:keepLines/>
        <w:tabs>
          <w:tab w:val="clear" w:pos="576"/>
        </w:tabs>
        <w:autoSpaceDE/>
        <w:autoSpaceDN/>
        <w:adjustRightInd/>
        <w:snapToGrid/>
        <w:spacing w:before="200" w:after="240" w:line="276" w:lineRule="auto"/>
        <w:jc w:val="left"/>
      </w:pPr>
      <w:r w:rsidRPr="0041458F">
        <w:t>Definitions</w:t>
      </w:r>
    </w:p>
    <w:p w:rsidR="00D0698C" w:rsidRPr="0041458F" w:rsidRDefault="00D0698C" w:rsidP="00D0698C">
      <w:pPr>
        <w:pStyle w:val="Paragraphedeliste"/>
        <w:numPr>
          <w:ilvl w:val="0"/>
          <w:numId w:val="28"/>
        </w:numPr>
        <w:suppressAutoHyphens/>
        <w:overflowPunct w:val="0"/>
        <w:spacing w:after="120" w:line="276" w:lineRule="auto"/>
        <w:contextualSpacing/>
        <w:textAlignment w:val="baseline"/>
        <w:rPr>
          <w:rFonts w:ascii="Arial" w:eastAsia="PMingLiU" w:hAnsi="Arial" w:cs="Arial"/>
          <w:sz w:val="20"/>
          <w:szCs w:val="20"/>
          <w:lang w:eastAsia="zh-TW"/>
        </w:rPr>
      </w:pPr>
      <w:r w:rsidRPr="0041458F">
        <w:rPr>
          <w:rFonts w:ascii="Arial" w:eastAsia="PMingLiU" w:hAnsi="Arial" w:cs="Arial"/>
          <w:b/>
          <w:sz w:val="20"/>
          <w:szCs w:val="20"/>
          <w:lang w:eastAsia="zh-TW"/>
        </w:rPr>
        <w:t>Beam</w:t>
      </w:r>
      <w:r w:rsidRPr="0041458F">
        <w:rPr>
          <w:rFonts w:ascii="Arial" w:eastAsia="PMingLiU" w:hAnsi="Arial" w:cs="Arial"/>
          <w:sz w:val="20"/>
          <w:szCs w:val="20"/>
          <w:lang w:eastAsia="zh-TW"/>
        </w:rPr>
        <w:t>: A beam is the main lobe of the radiation pattern of an antenna array</w:t>
      </w:r>
    </w:p>
    <w:p w:rsidR="00D0698C" w:rsidRPr="0041458F" w:rsidRDefault="00D0698C" w:rsidP="00D0698C">
      <w:pPr>
        <w:pStyle w:val="Paragraphedeliste"/>
        <w:numPr>
          <w:ilvl w:val="0"/>
          <w:numId w:val="28"/>
        </w:numPr>
        <w:suppressAutoHyphens/>
        <w:overflowPunct w:val="0"/>
        <w:spacing w:after="120" w:line="276" w:lineRule="auto"/>
        <w:contextualSpacing/>
        <w:textAlignment w:val="baseline"/>
        <w:rPr>
          <w:rFonts w:ascii="Arial" w:eastAsia="PMingLiU" w:hAnsi="Arial" w:cs="Arial"/>
          <w:sz w:val="20"/>
          <w:szCs w:val="20"/>
          <w:lang w:eastAsia="zh-TW"/>
        </w:rPr>
      </w:pPr>
      <w:r w:rsidRPr="0041458F">
        <w:rPr>
          <w:rFonts w:ascii="Arial" w:eastAsia="PMingLiU" w:hAnsi="Arial" w:cs="Arial"/>
          <w:b/>
          <w:sz w:val="20"/>
          <w:szCs w:val="20"/>
          <w:lang w:eastAsia="zh-TW"/>
        </w:rPr>
        <w:t>Antenna port</w:t>
      </w:r>
      <w:r w:rsidRPr="0041458F">
        <w:rPr>
          <w:rFonts w:ascii="Arial" w:eastAsia="PMingLiU" w:hAnsi="Arial" w:cs="Arial"/>
          <w:sz w:val="20"/>
          <w:szCs w:val="20"/>
          <w:lang w:eastAsia="zh-TW"/>
        </w:rPr>
        <w:t xml:space="preserve">: </w:t>
      </w:r>
    </w:p>
    <w:p w:rsidR="00D0698C" w:rsidRPr="0041458F" w:rsidRDefault="00D0698C" w:rsidP="00D0698C">
      <w:pPr>
        <w:pStyle w:val="Paragraphedeliste"/>
        <w:numPr>
          <w:ilvl w:val="1"/>
          <w:numId w:val="28"/>
        </w:numPr>
        <w:suppressAutoHyphens/>
        <w:overflowPunct w:val="0"/>
        <w:spacing w:after="120" w:line="276" w:lineRule="auto"/>
        <w:contextualSpacing/>
        <w:textAlignment w:val="baseline"/>
        <w:rPr>
          <w:rFonts w:ascii="Arial" w:eastAsia="PMingLiU" w:hAnsi="Arial" w:cs="Arial"/>
          <w:sz w:val="20"/>
          <w:szCs w:val="20"/>
          <w:lang w:eastAsia="zh-TW"/>
        </w:rPr>
      </w:pPr>
      <w:r w:rsidRPr="0041458F">
        <w:rPr>
          <w:rFonts w:ascii="Arial" w:eastAsia="PMingLiU" w:hAnsi="Arial" w:cs="Arial"/>
          <w:sz w:val="20"/>
          <w:szCs w:val="20"/>
          <w:lang w:eastAsia="zh-TW"/>
        </w:rPr>
        <w:t>As per</w:t>
      </w:r>
      <w:r w:rsidR="00AD28A8">
        <w:rPr>
          <w:rFonts w:ascii="Arial" w:eastAsia="PMingLiU" w:hAnsi="Arial" w:cs="Arial"/>
          <w:sz w:val="20"/>
          <w:szCs w:val="20"/>
          <w:lang w:eastAsia="zh-TW"/>
        </w:rPr>
        <w:t xml:space="preserve"> [7]</w:t>
      </w:r>
      <w:r w:rsidRPr="0041458F">
        <w:rPr>
          <w:rFonts w:ascii="Arial" w:eastAsia="PMingLiU" w:hAnsi="Arial" w:cs="Arial"/>
          <w:sz w:val="20"/>
          <w:szCs w:val="20"/>
          <w:lang w:eastAsia="zh-TW"/>
        </w:rPr>
        <w:t xml:space="preserve"> an antenna port is defined such that the channel over which a symbol on the antenna port is conveyed can be inferred from the channel over which another symbol on the same antenna port is conveyed.</w:t>
      </w:r>
    </w:p>
    <w:p w:rsidR="00D0698C" w:rsidRPr="0041458F" w:rsidRDefault="00D0698C" w:rsidP="00D0698C">
      <w:pPr>
        <w:pStyle w:val="Paragraphedeliste"/>
        <w:numPr>
          <w:ilvl w:val="1"/>
          <w:numId w:val="28"/>
        </w:numPr>
        <w:suppressAutoHyphens/>
        <w:overflowPunct w:val="0"/>
        <w:spacing w:after="120" w:line="276" w:lineRule="auto"/>
        <w:contextualSpacing/>
        <w:textAlignment w:val="baseline"/>
        <w:rPr>
          <w:rFonts w:ascii="Arial" w:eastAsia="PMingLiU" w:hAnsi="Arial" w:cs="Arial"/>
          <w:sz w:val="20"/>
          <w:szCs w:val="20"/>
          <w:lang w:eastAsia="zh-TW"/>
        </w:rPr>
      </w:pPr>
      <w:r>
        <w:rPr>
          <w:rFonts w:ascii="Arial" w:eastAsia="PMingLiU" w:hAnsi="Arial" w:cs="Arial"/>
          <w:sz w:val="20"/>
          <w:szCs w:val="20"/>
          <w:lang w:eastAsia="zh-TW"/>
        </w:rPr>
        <w:t xml:space="preserve">Simply put, it is </w:t>
      </w:r>
      <w:r w:rsidRPr="0041458F">
        <w:rPr>
          <w:rFonts w:ascii="Arial" w:eastAsia="PMingLiU" w:hAnsi="Arial" w:cs="Arial"/>
          <w:sz w:val="20"/>
          <w:szCs w:val="20"/>
          <w:lang w:eastAsia="zh-TW"/>
        </w:rPr>
        <w:t>a logical entity distinguished by a separate Reference Signal sequence</w:t>
      </w:r>
    </w:p>
    <w:p w:rsidR="00D0698C" w:rsidRPr="0041458F" w:rsidRDefault="00D0698C" w:rsidP="00D0698C">
      <w:pPr>
        <w:pStyle w:val="Paragraphedeliste"/>
        <w:numPr>
          <w:ilvl w:val="0"/>
          <w:numId w:val="28"/>
        </w:numPr>
        <w:suppressAutoHyphens/>
        <w:overflowPunct w:val="0"/>
        <w:spacing w:after="120" w:line="276" w:lineRule="auto"/>
        <w:contextualSpacing/>
        <w:textAlignment w:val="baseline"/>
        <w:rPr>
          <w:rFonts w:ascii="Arial" w:eastAsia="PMingLiU" w:hAnsi="Arial" w:cs="Arial"/>
          <w:sz w:val="20"/>
          <w:szCs w:val="20"/>
          <w:lang w:eastAsia="zh-TW"/>
        </w:rPr>
      </w:pPr>
      <w:r w:rsidRPr="0041458F">
        <w:rPr>
          <w:rFonts w:ascii="Arial" w:eastAsia="PMingLiU" w:hAnsi="Arial" w:cs="Arial"/>
          <w:b/>
          <w:sz w:val="20"/>
          <w:szCs w:val="20"/>
          <w:lang w:eastAsia="zh-TW"/>
        </w:rPr>
        <w:t>Satellite beam</w:t>
      </w:r>
      <w:r w:rsidRPr="0041458F">
        <w:rPr>
          <w:rFonts w:ascii="Arial" w:eastAsia="PMingLiU" w:hAnsi="Arial" w:cs="Arial"/>
          <w:sz w:val="20"/>
          <w:szCs w:val="20"/>
          <w:lang w:eastAsia="zh-TW"/>
        </w:rPr>
        <w:t>: a beam created by Satellite Active Antenna System. A satellite beam may not be identified by the UE</w:t>
      </w:r>
    </w:p>
    <w:p w:rsidR="00D0698C" w:rsidRPr="0041458F" w:rsidRDefault="00D0698C" w:rsidP="00D0698C">
      <w:pPr>
        <w:pStyle w:val="Paragraphedeliste"/>
        <w:numPr>
          <w:ilvl w:val="0"/>
          <w:numId w:val="28"/>
        </w:numPr>
        <w:spacing w:after="200" w:line="276" w:lineRule="auto"/>
        <w:contextualSpacing/>
        <w:jc w:val="left"/>
        <w:rPr>
          <w:rFonts w:ascii="Arial" w:eastAsia="PMingLiU" w:hAnsi="Arial" w:cs="Arial"/>
          <w:sz w:val="20"/>
          <w:szCs w:val="20"/>
          <w:lang w:eastAsia="zh-TW"/>
        </w:rPr>
      </w:pPr>
      <w:r w:rsidRPr="0041458F">
        <w:rPr>
          <w:rFonts w:ascii="Arial" w:eastAsia="PMingLiU" w:hAnsi="Arial" w:cs="Arial"/>
          <w:b/>
          <w:sz w:val="20"/>
          <w:szCs w:val="20"/>
          <w:lang w:eastAsia="zh-TW"/>
        </w:rPr>
        <w:t>NR beam</w:t>
      </w:r>
      <w:r w:rsidRPr="0041458F">
        <w:rPr>
          <w:rFonts w:ascii="Arial" w:eastAsia="PMingLiU" w:hAnsi="Arial" w:cs="Arial"/>
          <w:sz w:val="20"/>
          <w:szCs w:val="20"/>
          <w:lang w:eastAsia="zh-TW"/>
        </w:rPr>
        <w:t xml:space="preserve">: a beam which is associated with an antenna port/CSI Reference signal. </w:t>
      </w:r>
      <w:r>
        <w:rPr>
          <w:rFonts w:ascii="Arial" w:eastAsia="PMingLiU" w:hAnsi="Arial" w:cs="Arial"/>
          <w:sz w:val="20"/>
          <w:szCs w:val="20"/>
          <w:lang w:eastAsia="zh-TW"/>
        </w:rPr>
        <w:t xml:space="preserve">It can be </w:t>
      </w:r>
      <w:r w:rsidRPr="0041458F">
        <w:rPr>
          <w:rFonts w:ascii="Arial" w:eastAsia="PMingLiU" w:hAnsi="Arial" w:cs="Arial"/>
          <w:sz w:val="20"/>
          <w:szCs w:val="20"/>
          <w:lang w:eastAsia="zh-TW"/>
        </w:rPr>
        <w:t>identified by the UE</w:t>
      </w:r>
    </w:p>
    <w:p w:rsidR="00D0698C" w:rsidRPr="0041458F" w:rsidRDefault="00D0698C" w:rsidP="00D0698C">
      <w:pPr>
        <w:pStyle w:val="Titre2"/>
        <w:keepLines/>
        <w:tabs>
          <w:tab w:val="clear" w:pos="576"/>
        </w:tabs>
        <w:autoSpaceDE/>
        <w:autoSpaceDN/>
        <w:adjustRightInd/>
        <w:snapToGrid/>
        <w:spacing w:before="200" w:after="240" w:line="276" w:lineRule="auto"/>
        <w:jc w:val="left"/>
        <w:rPr>
          <w:rFonts w:eastAsia="PMingLiU"/>
          <w:lang w:eastAsia="zh-TW"/>
        </w:rPr>
      </w:pPr>
      <w:r w:rsidRPr="0041458F">
        <w:t>NR Beams and NR Cell to Satellite beams mapping</w:t>
      </w:r>
    </w:p>
    <w:p w:rsidR="00D0698C" w:rsidRPr="0041458F" w:rsidRDefault="0099483F" w:rsidP="00D0698C">
      <w:pPr>
        <w:pStyle w:val="Paragraphedeliste"/>
        <w:ind w:left="0"/>
        <w:rPr>
          <w:rFonts w:ascii="Arial" w:eastAsia="PMingLiU" w:hAnsi="Arial" w:cs="Arial"/>
          <w:sz w:val="20"/>
          <w:szCs w:val="20"/>
          <w:lang w:eastAsia="zh-TW"/>
        </w:rPr>
      </w:pPr>
      <w:r>
        <w:rPr>
          <w:rFonts w:ascii="Arial" w:eastAsia="PMingLiU" w:hAnsi="Arial" w:cs="Arial"/>
          <w:sz w:val="20"/>
          <w:szCs w:val="20"/>
          <w:lang w:eastAsia="zh-TW"/>
        </w:rPr>
        <w:t xml:space="preserve">NR </w:t>
      </w:r>
      <w:r w:rsidR="00D0698C" w:rsidRPr="0041458F">
        <w:rPr>
          <w:rFonts w:ascii="Arial" w:eastAsia="PMingLiU" w:hAnsi="Arial" w:cs="Arial"/>
          <w:sz w:val="20"/>
          <w:szCs w:val="20"/>
          <w:lang w:eastAsia="zh-TW"/>
        </w:rPr>
        <w:t xml:space="preserve">Beamforming needs channel knowledge at the transmitter. Regular beam management operations are based on the control messages which are periodically exchanged between the gNB and the UE. </w:t>
      </w:r>
    </w:p>
    <w:p w:rsidR="00D0698C" w:rsidRDefault="00D0698C" w:rsidP="00D0698C">
      <w:pPr>
        <w:pStyle w:val="Paragraphedeliste"/>
        <w:ind w:left="0"/>
        <w:rPr>
          <w:rFonts w:ascii="Arial" w:eastAsia="PMingLiU" w:hAnsi="Arial" w:cs="Arial"/>
          <w:sz w:val="20"/>
          <w:szCs w:val="20"/>
          <w:lang w:eastAsia="zh-TW"/>
        </w:rPr>
      </w:pPr>
      <w:r w:rsidRPr="0041458F">
        <w:rPr>
          <w:rFonts w:ascii="Arial" w:eastAsia="PMingLiU" w:hAnsi="Arial" w:cs="Arial"/>
          <w:sz w:val="20"/>
          <w:szCs w:val="20"/>
          <w:lang w:eastAsia="zh-TW"/>
        </w:rPr>
        <w:t xml:space="preserve">In NTN, it will be challenging to implement an optimal and dynamic/fast beamforming towards the users. There are different reasons for that: FDD is assumed for core specification work for NR-NTN. As in FDD there is no channel reciprocity, channel information cannot be obtained from UL Sounding Reference Signals (SRS). Also, the propagation delay in NTN may impact the validity of L1 beam measurement. Furthermore, the generated satellite beams are with a large size (tens or maybe hundreds of Km). </w:t>
      </w:r>
    </w:p>
    <w:p w:rsidR="00AD28A8" w:rsidRPr="0041458F" w:rsidRDefault="00AD28A8" w:rsidP="00D0698C">
      <w:pPr>
        <w:pStyle w:val="Paragraphedeliste"/>
        <w:ind w:left="0"/>
        <w:rPr>
          <w:rFonts w:ascii="Arial" w:eastAsia="PMingLiU" w:hAnsi="Arial" w:cs="Arial"/>
          <w:sz w:val="20"/>
          <w:szCs w:val="20"/>
          <w:lang w:eastAsia="zh-TW"/>
        </w:rPr>
      </w:pPr>
    </w:p>
    <w:p w:rsidR="00D0698C" w:rsidRPr="0041458F" w:rsidRDefault="00D0698C" w:rsidP="00D0698C">
      <w:pPr>
        <w:pStyle w:val="Observation"/>
        <w:numPr>
          <w:ilvl w:val="0"/>
          <w:numId w:val="27"/>
        </w:numPr>
        <w:tabs>
          <w:tab w:val="left" w:pos="1701"/>
        </w:tabs>
        <w:spacing w:after="200" w:line="276" w:lineRule="auto"/>
        <w:ind w:left="1701" w:hanging="1701"/>
        <w:jc w:val="left"/>
        <w:rPr>
          <w:sz w:val="20"/>
          <w:szCs w:val="20"/>
        </w:rPr>
      </w:pPr>
      <w:r w:rsidRPr="0041458F">
        <w:rPr>
          <w:sz w:val="20"/>
          <w:szCs w:val="20"/>
        </w:rPr>
        <w:t>In NTN it might be challenging to implement an optimal and dynamic/fast beamforming towards the users</w:t>
      </w:r>
    </w:p>
    <w:p w:rsidR="00D0698C" w:rsidRPr="0041458F" w:rsidRDefault="00D0698C" w:rsidP="00D0698C">
      <w:pPr>
        <w:pStyle w:val="Paragraphedeliste"/>
        <w:ind w:left="0"/>
        <w:rPr>
          <w:rFonts w:ascii="Arial" w:eastAsia="PMingLiU" w:hAnsi="Arial" w:cs="Arial"/>
          <w:sz w:val="20"/>
          <w:szCs w:val="20"/>
          <w:lang w:eastAsia="zh-TW"/>
        </w:rPr>
      </w:pPr>
      <w:r w:rsidRPr="0041458F">
        <w:rPr>
          <w:rFonts w:ascii="Arial" w:eastAsia="PMingLiU" w:hAnsi="Arial" w:cs="Arial"/>
          <w:sz w:val="20"/>
          <w:szCs w:val="20"/>
          <w:lang w:eastAsia="zh-TW"/>
        </w:rPr>
        <w:t>Therefore, a different approach should be taken in NTN: the gNB should operates on a set of predefined satellite beams in UL and DL. For Earth fixed beam scenario: Beams are static and do not move (from UE perspective) but beams should be steered to cover Earth fixed cell area.</w:t>
      </w:r>
      <w:r w:rsidRPr="0041458F">
        <w:rPr>
          <w:rFonts w:ascii="Arial" w:hAnsi="Arial" w:cs="Arial"/>
          <w:sz w:val="20"/>
          <w:szCs w:val="20"/>
        </w:rPr>
        <w:t xml:space="preserve"> </w:t>
      </w:r>
      <w:r w:rsidRPr="0041458F">
        <w:rPr>
          <w:rFonts w:ascii="Arial" w:eastAsia="PMingLiU" w:hAnsi="Arial" w:cs="Arial"/>
          <w:sz w:val="20"/>
          <w:szCs w:val="20"/>
          <w:lang w:eastAsia="zh-TW"/>
        </w:rPr>
        <w:t>In case of</w:t>
      </w:r>
      <w:r w:rsidRPr="0041458F">
        <w:rPr>
          <w:rFonts w:ascii="Arial" w:hAnsi="Arial" w:cs="Arial"/>
          <w:sz w:val="20"/>
          <w:szCs w:val="20"/>
        </w:rPr>
        <w:t xml:space="preserve"> </w:t>
      </w:r>
      <w:r w:rsidRPr="0041458F">
        <w:rPr>
          <w:rFonts w:ascii="Arial" w:eastAsia="PMingLiU" w:hAnsi="Arial" w:cs="Arial"/>
          <w:sz w:val="20"/>
          <w:szCs w:val="20"/>
          <w:lang w:eastAsia="zh-TW"/>
        </w:rPr>
        <w:t>LEO based Earth moving cells, the satellite beams are moving on the ground</w:t>
      </w:r>
      <w:r w:rsidR="00621832">
        <w:rPr>
          <w:rFonts w:ascii="Arial" w:eastAsia="PMingLiU" w:hAnsi="Arial" w:cs="Arial"/>
          <w:sz w:val="20"/>
          <w:szCs w:val="20"/>
          <w:lang w:eastAsia="zh-TW"/>
        </w:rPr>
        <w:t xml:space="preserve"> and</w:t>
      </w:r>
      <w:r w:rsidRPr="0041458F">
        <w:rPr>
          <w:rFonts w:ascii="Arial" w:eastAsia="PMingLiU" w:hAnsi="Arial" w:cs="Arial"/>
          <w:sz w:val="20"/>
          <w:szCs w:val="20"/>
          <w:lang w:eastAsia="zh-TW"/>
        </w:rPr>
        <w:t xml:space="preserve"> the Users </w:t>
      </w:r>
      <w:r>
        <w:rPr>
          <w:rFonts w:ascii="Arial" w:eastAsia="PMingLiU" w:hAnsi="Arial" w:cs="Arial"/>
          <w:sz w:val="20"/>
          <w:szCs w:val="20"/>
          <w:lang w:eastAsia="zh-TW"/>
        </w:rPr>
        <w:t>are</w:t>
      </w:r>
      <w:r w:rsidRPr="0041458F">
        <w:rPr>
          <w:rFonts w:ascii="Arial" w:eastAsia="PMingLiU" w:hAnsi="Arial" w:cs="Arial"/>
          <w:sz w:val="20"/>
          <w:szCs w:val="20"/>
          <w:lang w:eastAsia="zh-TW"/>
        </w:rPr>
        <w:t xml:space="preserve"> </w:t>
      </w:r>
      <w:r w:rsidR="00621832">
        <w:rPr>
          <w:rFonts w:ascii="Arial" w:eastAsia="PMingLiU" w:hAnsi="Arial" w:cs="Arial"/>
          <w:sz w:val="20"/>
          <w:szCs w:val="20"/>
          <w:lang w:eastAsia="zh-TW"/>
        </w:rPr>
        <w:t>jumping</w:t>
      </w:r>
      <w:r w:rsidR="00621832" w:rsidRPr="0041458F">
        <w:rPr>
          <w:rFonts w:ascii="Arial" w:eastAsia="PMingLiU" w:hAnsi="Arial" w:cs="Arial"/>
          <w:sz w:val="20"/>
          <w:szCs w:val="20"/>
          <w:lang w:eastAsia="zh-TW"/>
        </w:rPr>
        <w:t xml:space="preserve"> </w:t>
      </w:r>
      <w:r w:rsidR="00621832">
        <w:rPr>
          <w:rFonts w:ascii="Arial" w:eastAsia="PMingLiU" w:hAnsi="Arial" w:cs="Arial"/>
          <w:sz w:val="20"/>
          <w:szCs w:val="20"/>
          <w:lang w:eastAsia="zh-TW"/>
        </w:rPr>
        <w:t>from beam to beam</w:t>
      </w:r>
      <w:r w:rsidRPr="0041458F">
        <w:rPr>
          <w:rFonts w:ascii="Arial" w:eastAsia="PMingLiU" w:hAnsi="Arial" w:cs="Arial"/>
          <w:sz w:val="20"/>
          <w:szCs w:val="20"/>
          <w:lang w:eastAsia="zh-TW"/>
        </w:rPr>
        <w:t xml:space="preserve">. </w:t>
      </w:r>
    </w:p>
    <w:p w:rsidR="00D0698C" w:rsidRDefault="00D0698C" w:rsidP="00D0698C">
      <w:pPr>
        <w:pStyle w:val="Paragraphedeliste"/>
        <w:ind w:left="0"/>
        <w:rPr>
          <w:rFonts w:ascii="Arial" w:eastAsia="PMingLiU" w:hAnsi="Arial" w:cs="Arial"/>
          <w:sz w:val="20"/>
          <w:szCs w:val="20"/>
          <w:lang w:eastAsia="zh-TW"/>
        </w:rPr>
      </w:pPr>
      <w:r w:rsidRPr="0041458F">
        <w:rPr>
          <w:rFonts w:ascii="Arial" w:eastAsia="PMingLiU" w:hAnsi="Arial" w:cs="Arial"/>
          <w:sz w:val="20"/>
          <w:szCs w:val="20"/>
          <w:lang w:eastAsia="zh-TW"/>
        </w:rPr>
        <w:t xml:space="preserve">From our perspective, there are </w:t>
      </w:r>
      <w:r>
        <w:rPr>
          <w:rFonts w:ascii="Arial" w:eastAsia="PMingLiU" w:hAnsi="Arial" w:cs="Arial"/>
          <w:sz w:val="20"/>
          <w:szCs w:val="20"/>
          <w:lang w:eastAsia="zh-TW"/>
        </w:rPr>
        <w:t>mainly 3</w:t>
      </w:r>
      <w:r w:rsidRPr="0041458F">
        <w:rPr>
          <w:rFonts w:ascii="Arial" w:eastAsia="PMingLiU" w:hAnsi="Arial" w:cs="Arial"/>
          <w:sz w:val="20"/>
          <w:szCs w:val="20"/>
          <w:lang w:eastAsia="zh-TW"/>
        </w:rPr>
        <w:t xml:space="preserve"> options which can be considered for the mapping of NR beams and NR cells to the satellite beams:</w:t>
      </w:r>
    </w:p>
    <w:p w:rsidR="00D0698C" w:rsidRPr="0041458F" w:rsidRDefault="00D0698C" w:rsidP="00D0698C">
      <w:pPr>
        <w:pStyle w:val="Paragraphedeliste"/>
        <w:ind w:left="0"/>
        <w:rPr>
          <w:rFonts w:ascii="Arial" w:eastAsia="PMingLiU" w:hAnsi="Arial" w:cs="Arial"/>
          <w:sz w:val="20"/>
          <w:szCs w:val="20"/>
          <w:lang w:eastAsia="zh-TW"/>
        </w:rPr>
      </w:pPr>
    </w:p>
    <w:p w:rsidR="00D0698C" w:rsidRPr="0041458F" w:rsidRDefault="00D0698C" w:rsidP="00D0698C">
      <w:pPr>
        <w:pStyle w:val="Paragraphedeliste"/>
        <w:numPr>
          <w:ilvl w:val="0"/>
          <w:numId w:val="29"/>
        </w:numPr>
        <w:suppressAutoHyphens/>
        <w:overflowPunct w:val="0"/>
        <w:spacing w:after="120" w:line="276" w:lineRule="auto"/>
        <w:contextualSpacing/>
        <w:textAlignment w:val="baseline"/>
        <w:rPr>
          <w:rFonts w:ascii="Arial" w:eastAsia="PMingLiU" w:hAnsi="Arial" w:cs="Arial"/>
          <w:sz w:val="20"/>
          <w:szCs w:val="20"/>
          <w:lang w:eastAsia="zh-TW"/>
        </w:rPr>
      </w:pPr>
      <w:r>
        <w:rPr>
          <w:rFonts w:ascii="Arial" w:eastAsia="PMingLiU" w:hAnsi="Arial" w:cs="Arial"/>
          <w:b/>
          <w:sz w:val="20"/>
          <w:szCs w:val="20"/>
          <w:lang w:eastAsia="zh-TW"/>
        </w:rPr>
        <w:t>Option 1;</w:t>
      </w:r>
      <w:r w:rsidRPr="0041458F">
        <w:rPr>
          <w:rFonts w:ascii="Arial" w:eastAsia="PMingLiU" w:hAnsi="Arial" w:cs="Arial"/>
          <w:b/>
          <w:sz w:val="20"/>
          <w:szCs w:val="20"/>
          <w:lang w:eastAsia="zh-TW"/>
        </w:rPr>
        <w:t xml:space="preserve"> Single NR cell per satellite beam and single NR beam cell</w:t>
      </w:r>
      <w:r w:rsidRPr="0041458F">
        <w:rPr>
          <w:rFonts w:ascii="Arial" w:eastAsia="PMingLiU" w:hAnsi="Arial" w:cs="Arial"/>
          <w:sz w:val="20"/>
          <w:szCs w:val="20"/>
          <w:lang w:eastAsia="zh-TW"/>
        </w:rPr>
        <w:t xml:space="preserve">:  </w:t>
      </w:r>
    </w:p>
    <w:p w:rsidR="00D0698C" w:rsidRPr="0041458F" w:rsidRDefault="00D0698C" w:rsidP="00D0698C">
      <w:pPr>
        <w:rPr>
          <w:rFonts w:ascii="Arial" w:eastAsia="PMingLiU" w:hAnsi="Arial" w:cs="Arial"/>
          <w:sz w:val="20"/>
          <w:szCs w:val="20"/>
          <w:lang w:eastAsia="zh-TW"/>
        </w:rPr>
      </w:pPr>
      <w:r w:rsidRPr="0041458F">
        <w:rPr>
          <w:rFonts w:ascii="Arial" w:eastAsia="PMingLiU" w:hAnsi="Arial" w:cs="Arial"/>
          <w:sz w:val="20"/>
          <w:szCs w:val="20"/>
          <w:lang w:eastAsia="zh-TW"/>
        </w:rPr>
        <w:t>Option (1) which might be considered as a baseline consist in one-to-one mapping of NR cells to Satellite beams. In option 1, the NR beamforming is not used; the cells are single NR beam cells. NR Beam management operation is not needed.</w:t>
      </w:r>
    </w:p>
    <w:p w:rsidR="00B47AEA" w:rsidRDefault="00D0698C" w:rsidP="00B47AEA">
      <w:pPr>
        <w:keepNext/>
        <w:jc w:val="center"/>
      </w:pPr>
      <w:r w:rsidRPr="0041458F">
        <w:rPr>
          <w:rFonts w:ascii="Arial" w:eastAsia="PMingLiU" w:hAnsi="Arial" w:cs="Arial"/>
          <w:noProof/>
          <w:sz w:val="20"/>
          <w:szCs w:val="20"/>
          <w:lang w:val="fr-FR" w:eastAsia="fr-FR"/>
        </w:rPr>
        <w:drawing>
          <wp:inline distT="0" distB="0" distL="0" distR="0" wp14:anchorId="72183A6B" wp14:editId="268602F3">
            <wp:extent cx="5886000" cy="2073600"/>
            <wp:effectExtent l="19050" t="19050" r="19685" b="22225"/>
            <wp:docPr id="288" name="Imag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86000" cy="2073600"/>
                    </a:xfrm>
                    <a:prstGeom prst="rect">
                      <a:avLst/>
                    </a:prstGeom>
                    <a:noFill/>
                    <a:ln>
                      <a:solidFill>
                        <a:schemeClr val="accent1"/>
                      </a:solidFill>
                    </a:ln>
                  </pic:spPr>
                </pic:pic>
              </a:graphicData>
            </a:graphic>
          </wp:inline>
        </w:drawing>
      </w:r>
    </w:p>
    <w:p w:rsidR="00D0698C" w:rsidRDefault="00B47AEA" w:rsidP="00B47AEA">
      <w:pPr>
        <w:pStyle w:val="Lgende"/>
      </w:pPr>
      <w:r>
        <w:t xml:space="preserve">Figure </w:t>
      </w:r>
      <w:r w:rsidR="004063B3">
        <w:fldChar w:fldCharType="begin"/>
      </w:r>
      <w:r w:rsidR="004063B3">
        <w:instrText xml:space="preserve"> SEQ Figure \* ARABIC </w:instrText>
      </w:r>
      <w:r w:rsidR="004063B3">
        <w:fldChar w:fldCharType="separate"/>
      </w:r>
      <w:r w:rsidR="00212F20">
        <w:rPr>
          <w:noProof/>
        </w:rPr>
        <w:t>3</w:t>
      </w:r>
      <w:r w:rsidR="004063B3">
        <w:rPr>
          <w:noProof/>
        </w:rPr>
        <w:fldChar w:fldCharType="end"/>
      </w:r>
      <w:r>
        <w:t xml:space="preserve"> </w:t>
      </w:r>
      <w:r w:rsidRPr="00DA3178">
        <w:t>Single NR cell per satellite beam and single NR beam cell</w:t>
      </w:r>
    </w:p>
    <w:p w:rsidR="00D0698C" w:rsidRPr="00F368A3" w:rsidRDefault="00D0698C" w:rsidP="00D0698C">
      <w:pPr>
        <w:pStyle w:val="Observation"/>
        <w:numPr>
          <w:ilvl w:val="0"/>
          <w:numId w:val="27"/>
        </w:numPr>
        <w:tabs>
          <w:tab w:val="left" w:pos="1701"/>
        </w:tabs>
        <w:spacing w:after="200" w:line="276" w:lineRule="auto"/>
        <w:ind w:left="1701" w:hanging="1701"/>
        <w:jc w:val="left"/>
        <w:rPr>
          <w:sz w:val="20"/>
          <w:szCs w:val="20"/>
        </w:rPr>
      </w:pPr>
      <w:r w:rsidRPr="0041458F">
        <w:rPr>
          <w:sz w:val="20"/>
          <w:szCs w:val="20"/>
        </w:rPr>
        <w:lastRenderedPageBreak/>
        <w:t>Option (1) Single NR cell per satellite beam and single NR beam cell can be used as a baseline. With this option NR Beam management operation is not needed</w:t>
      </w:r>
    </w:p>
    <w:p w:rsidR="00D0698C" w:rsidRPr="0041458F" w:rsidRDefault="00D0698C" w:rsidP="00D0698C">
      <w:pPr>
        <w:pStyle w:val="Paragraphedeliste"/>
        <w:numPr>
          <w:ilvl w:val="0"/>
          <w:numId w:val="29"/>
        </w:numPr>
        <w:suppressAutoHyphens/>
        <w:overflowPunct w:val="0"/>
        <w:spacing w:after="120" w:line="276" w:lineRule="auto"/>
        <w:contextualSpacing/>
        <w:textAlignment w:val="baseline"/>
        <w:rPr>
          <w:rFonts w:ascii="Arial" w:eastAsia="PMingLiU" w:hAnsi="Arial" w:cs="Arial"/>
          <w:b/>
          <w:sz w:val="20"/>
          <w:szCs w:val="20"/>
          <w:lang w:eastAsia="zh-TW"/>
        </w:rPr>
      </w:pPr>
      <w:r>
        <w:rPr>
          <w:rFonts w:ascii="Arial" w:eastAsia="PMingLiU" w:hAnsi="Arial" w:cs="Arial"/>
          <w:b/>
          <w:sz w:val="20"/>
          <w:szCs w:val="20"/>
          <w:lang w:eastAsia="zh-TW"/>
        </w:rPr>
        <w:t>Option 2;</w:t>
      </w:r>
      <w:r w:rsidRPr="0041458F">
        <w:rPr>
          <w:rFonts w:ascii="Arial" w:eastAsia="PMingLiU" w:hAnsi="Arial" w:cs="Arial"/>
          <w:b/>
          <w:sz w:val="20"/>
          <w:szCs w:val="20"/>
          <w:lang w:eastAsia="zh-TW"/>
        </w:rPr>
        <w:t xml:space="preserve"> Multi-Satellite beam NR cell and single NR beam cell: Cell splitting  </w:t>
      </w:r>
    </w:p>
    <w:p w:rsidR="00D0698C" w:rsidRDefault="00D0698C" w:rsidP="00D0698C">
      <w:pPr>
        <w:pStyle w:val="Paragraphedeliste"/>
        <w:ind w:left="0"/>
        <w:rPr>
          <w:rFonts w:ascii="Arial" w:eastAsia="PMingLiU" w:hAnsi="Arial" w:cs="Arial"/>
          <w:sz w:val="20"/>
          <w:szCs w:val="20"/>
          <w:lang w:eastAsia="zh-TW"/>
        </w:rPr>
      </w:pPr>
    </w:p>
    <w:p w:rsidR="00D0698C" w:rsidRDefault="00D0698C" w:rsidP="00D0698C">
      <w:pPr>
        <w:pStyle w:val="Paragraphedeliste"/>
        <w:ind w:left="0"/>
        <w:rPr>
          <w:rFonts w:ascii="Arial" w:eastAsia="PMingLiU" w:hAnsi="Arial" w:cs="Arial"/>
          <w:sz w:val="20"/>
          <w:szCs w:val="20"/>
          <w:lang w:eastAsia="zh-TW"/>
        </w:rPr>
      </w:pPr>
      <w:r w:rsidRPr="0041458F">
        <w:rPr>
          <w:rFonts w:ascii="Arial" w:eastAsia="PMingLiU" w:hAnsi="Arial" w:cs="Arial"/>
          <w:sz w:val="20"/>
          <w:szCs w:val="20"/>
          <w:lang w:eastAsia="zh-TW"/>
        </w:rPr>
        <w:t>In Option (2), two or more satellite beams are used for the same PCI. But, NR beamforming is not used. This option can be useful to split the NR cell across several satellite beam</w:t>
      </w:r>
      <w:r>
        <w:rPr>
          <w:rFonts w:ascii="Arial" w:eastAsia="PMingLiU" w:hAnsi="Arial" w:cs="Arial"/>
          <w:sz w:val="20"/>
          <w:szCs w:val="20"/>
          <w:lang w:eastAsia="zh-TW"/>
        </w:rPr>
        <w:t>s</w:t>
      </w:r>
      <w:r w:rsidRPr="0041458F">
        <w:rPr>
          <w:rFonts w:ascii="Arial" w:eastAsia="PMingLiU" w:hAnsi="Arial" w:cs="Arial"/>
          <w:sz w:val="20"/>
          <w:szCs w:val="20"/>
          <w:lang w:eastAsia="zh-TW"/>
        </w:rPr>
        <w:t xml:space="preserve"> (to extend cell coverage). Regular beam management op</w:t>
      </w:r>
      <w:r>
        <w:rPr>
          <w:rFonts w:ascii="Arial" w:eastAsia="PMingLiU" w:hAnsi="Arial" w:cs="Arial"/>
          <w:sz w:val="20"/>
          <w:szCs w:val="20"/>
          <w:lang w:eastAsia="zh-TW"/>
        </w:rPr>
        <w:t>eration (beam Indication, beam m</w:t>
      </w:r>
      <w:r w:rsidRPr="0041458F">
        <w:rPr>
          <w:rFonts w:ascii="Arial" w:eastAsia="PMingLiU" w:hAnsi="Arial" w:cs="Arial"/>
          <w:sz w:val="20"/>
          <w:szCs w:val="20"/>
          <w:lang w:eastAsia="zh-TW"/>
        </w:rPr>
        <w:t xml:space="preserve">easurements and reporting, beam recovery, tracking and refinement)  is not used. The  beam level mobility is not needed for the UE mobility within the cell. </w:t>
      </w:r>
    </w:p>
    <w:p w:rsidR="00E059B5" w:rsidRPr="0041458F" w:rsidRDefault="00E059B5" w:rsidP="00D0698C">
      <w:pPr>
        <w:pStyle w:val="Paragraphedeliste"/>
        <w:ind w:left="0"/>
        <w:rPr>
          <w:rFonts w:ascii="Arial" w:eastAsia="PMingLiU" w:hAnsi="Arial" w:cs="Arial"/>
          <w:sz w:val="20"/>
          <w:szCs w:val="20"/>
          <w:lang w:eastAsia="zh-TW"/>
        </w:rPr>
      </w:pPr>
    </w:p>
    <w:p w:rsidR="00B47AEA" w:rsidRDefault="00D0698C" w:rsidP="00B47AEA">
      <w:pPr>
        <w:keepNext/>
        <w:jc w:val="center"/>
      </w:pPr>
      <w:r w:rsidRPr="0041458F">
        <w:rPr>
          <w:rFonts w:ascii="Arial" w:eastAsia="PMingLiU" w:hAnsi="Arial" w:cs="Arial"/>
          <w:noProof/>
          <w:sz w:val="20"/>
          <w:szCs w:val="20"/>
          <w:lang w:val="fr-FR" w:eastAsia="fr-FR"/>
        </w:rPr>
        <w:drawing>
          <wp:inline distT="0" distB="0" distL="0" distR="0" wp14:anchorId="7E2BE34A" wp14:editId="74BB84DE">
            <wp:extent cx="5886000" cy="2163600"/>
            <wp:effectExtent l="19050" t="19050" r="19685" b="27305"/>
            <wp:docPr id="55"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86000" cy="2163600"/>
                    </a:xfrm>
                    <a:prstGeom prst="rect">
                      <a:avLst/>
                    </a:prstGeom>
                    <a:noFill/>
                    <a:ln>
                      <a:solidFill>
                        <a:schemeClr val="accent1"/>
                      </a:solidFill>
                    </a:ln>
                  </pic:spPr>
                </pic:pic>
              </a:graphicData>
            </a:graphic>
          </wp:inline>
        </w:drawing>
      </w:r>
    </w:p>
    <w:p w:rsidR="00D0698C" w:rsidRDefault="00B47AEA" w:rsidP="00B47AEA">
      <w:pPr>
        <w:pStyle w:val="Lgende"/>
      </w:pPr>
      <w:r>
        <w:t xml:space="preserve">Figure </w:t>
      </w:r>
      <w:r w:rsidR="004063B3">
        <w:fldChar w:fldCharType="begin"/>
      </w:r>
      <w:r w:rsidR="004063B3">
        <w:instrText xml:space="preserve"> SEQ Figure \* ARABIC </w:instrText>
      </w:r>
      <w:r w:rsidR="004063B3">
        <w:fldChar w:fldCharType="separate"/>
      </w:r>
      <w:r w:rsidR="00212F20">
        <w:rPr>
          <w:noProof/>
        </w:rPr>
        <w:t>4</w:t>
      </w:r>
      <w:r w:rsidR="004063B3">
        <w:rPr>
          <w:noProof/>
        </w:rPr>
        <w:fldChar w:fldCharType="end"/>
      </w:r>
      <w:r>
        <w:t xml:space="preserve"> </w:t>
      </w:r>
      <w:r w:rsidRPr="008C2D47">
        <w:t>Multi-Satellite beam NR cell and single NR beam cell: Cell splitting</w:t>
      </w:r>
    </w:p>
    <w:p w:rsidR="00D0698C" w:rsidRPr="0041458F" w:rsidRDefault="00D0698C" w:rsidP="00D0698C">
      <w:pPr>
        <w:pStyle w:val="Paragraphedeliste"/>
        <w:numPr>
          <w:ilvl w:val="0"/>
          <w:numId w:val="29"/>
        </w:numPr>
        <w:suppressAutoHyphens/>
        <w:overflowPunct w:val="0"/>
        <w:spacing w:after="120" w:line="276" w:lineRule="auto"/>
        <w:contextualSpacing/>
        <w:textAlignment w:val="baseline"/>
        <w:rPr>
          <w:rFonts w:ascii="Arial" w:eastAsia="PMingLiU" w:hAnsi="Arial" w:cs="Arial"/>
          <w:sz w:val="20"/>
          <w:szCs w:val="20"/>
          <w:lang w:eastAsia="zh-TW"/>
        </w:rPr>
      </w:pPr>
      <w:r>
        <w:rPr>
          <w:rFonts w:ascii="Arial" w:eastAsia="PMingLiU" w:hAnsi="Arial" w:cs="Arial"/>
          <w:b/>
          <w:sz w:val="20"/>
          <w:szCs w:val="20"/>
          <w:lang w:eastAsia="zh-TW"/>
        </w:rPr>
        <w:t>Option 3;</w:t>
      </w:r>
      <w:r w:rsidRPr="0041458F">
        <w:rPr>
          <w:rFonts w:ascii="Arial" w:eastAsia="PMingLiU" w:hAnsi="Arial" w:cs="Arial"/>
          <w:b/>
          <w:sz w:val="20"/>
          <w:szCs w:val="20"/>
          <w:lang w:eastAsia="zh-TW"/>
        </w:rPr>
        <w:t xml:space="preserve"> Multi-Satellite beam cell and multi NR beam cell</w:t>
      </w:r>
      <w:r w:rsidRPr="0041458F">
        <w:rPr>
          <w:rFonts w:ascii="Arial" w:eastAsia="PMingLiU" w:hAnsi="Arial" w:cs="Arial"/>
          <w:sz w:val="20"/>
          <w:szCs w:val="20"/>
          <w:lang w:eastAsia="zh-TW"/>
        </w:rPr>
        <w:t xml:space="preserve">:  </w:t>
      </w:r>
    </w:p>
    <w:p w:rsidR="00D0698C" w:rsidRPr="0041458F" w:rsidRDefault="00D0698C" w:rsidP="00D0698C">
      <w:pPr>
        <w:pStyle w:val="Paragraphedeliste"/>
        <w:ind w:left="0"/>
        <w:rPr>
          <w:rFonts w:ascii="Arial" w:eastAsia="PMingLiU" w:hAnsi="Arial" w:cs="Arial"/>
          <w:sz w:val="20"/>
          <w:szCs w:val="20"/>
          <w:lang w:eastAsia="zh-TW"/>
        </w:rPr>
      </w:pPr>
    </w:p>
    <w:p w:rsidR="00D0698C" w:rsidRPr="0041458F" w:rsidRDefault="00D0698C" w:rsidP="00D0698C">
      <w:pPr>
        <w:pStyle w:val="Paragraphedeliste"/>
        <w:ind w:left="0"/>
        <w:rPr>
          <w:rFonts w:ascii="Arial" w:eastAsia="PMingLiU" w:hAnsi="Arial" w:cs="Arial"/>
          <w:sz w:val="20"/>
          <w:szCs w:val="20"/>
          <w:lang w:eastAsia="zh-TW"/>
        </w:rPr>
      </w:pPr>
      <w:r w:rsidRPr="0041458F">
        <w:rPr>
          <w:rFonts w:ascii="Arial" w:eastAsia="PMingLiU" w:hAnsi="Arial" w:cs="Arial"/>
          <w:sz w:val="20"/>
          <w:szCs w:val="20"/>
          <w:lang w:eastAsia="zh-TW"/>
        </w:rPr>
        <w:t xml:space="preserve">Option (3) corresponds to a multi-NR beam cell: multiple NR beams per NR cell (typically 4 NR beams/cell in Frequency Range 1). With this option, the same cell (PCI) is mapped to two or more satellite beams. Each NR beam is transmitted using a satellite beam or multiple satellite beams. Option (3) is to be used with beam management operation. </w:t>
      </w:r>
    </w:p>
    <w:p w:rsidR="00D0698C" w:rsidRPr="0041458F" w:rsidRDefault="00D0698C" w:rsidP="00D0698C">
      <w:pPr>
        <w:pStyle w:val="Paragraphedeliste"/>
        <w:ind w:left="0"/>
        <w:rPr>
          <w:rFonts w:ascii="Arial" w:eastAsia="PMingLiU" w:hAnsi="Arial" w:cs="Arial"/>
          <w:sz w:val="20"/>
          <w:szCs w:val="20"/>
          <w:lang w:eastAsia="zh-TW"/>
        </w:rPr>
      </w:pPr>
    </w:p>
    <w:p w:rsidR="00883208" w:rsidRDefault="00D0698C" w:rsidP="00883208">
      <w:pPr>
        <w:pStyle w:val="Paragraphedeliste"/>
        <w:keepNext/>
        <w:ind w:left="0"/>
        <w:jc w:val="center"/>
      </w:pPr>
      <w:r w:rsidRPr="0041458F">
        <w:rPr>
          <w:rFonts w:ascii="Arial" w:eastAsia="PMingLiU" w:hAnsi="Arial" w:cs="Arial"/>
          <w:noProof/>
          <w:sz w:val="20"/>
          <w:szCs w:val="20"/>
          <w:lang w:val="fr-FR" w:eastAsia="fr-FR"/>
        </w:rPr>
        <w:drawing>
          <wp:inline distT="0" distB="0" distL="0" distR="0" wp14:anchorId="58E52392" wp14:editId="699279AB">
            <wp:extent cx="5886000" cy="2163600"/>
            <wp:effectExtent l="19050" t="19050" r="19685" b="27305"/>
            <wp:docPr id="57" name="Imag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86000" cy="2163600"/>
                    </a:xfrm>
                    <a:prstGeom prst="rect">
                      <a:avLst/>
                    </a:prstGeom>
                    <a:noFill/>
                    <a:ln>
                      <a:solidFill>
                        <a:schemeClr val="accent1"/>
                      </a:solidFill>
                    </a:ln>
                  </pic:spPr>
                </pic:pic>
              </a:graphicData>
            </a:graphic>
          </wp:inline>
        </w:drawing>
      </w:r>
    </w:p>
    <w:p w:rsidR="00D0698C" w:rsidRDefault="00883208" w:rsidP="00883208">
      <w:pPr>
        <w:pStyle w:val="Lgende"/>
      </w:pPr>
      <w:r>
        <w:t xml:space="preserve">Figure </w:t>
      </w:r>
      <w:r w:rsidR="004063B3">
        <w:fldChar w:fldCharType="begin"/>
      </w:r>
      <w:r w:rsidR="004063B3">
        <w:instrText xml:space="preserve"> SEQ Figure \* ARABIC </w:instrText>
      </w:r>
      <w:r w:rsidR="004063B3">
        <w:fldChar w:fldCharType="separate"/>
      </w:r>
      <w:r w:rsidR="00212F20">
        <w:rPr>
          <w:noProof/>
        </w:rPr>
        <w:t>5</w:t>
      </w:r>
      <w:r w:rsidR="004063B3">
        <w:rPr>
          <w:noProof/>
        </w:rPr>
        <w:fldChar w:fldCharType="end"/>
      </w:r>
      <w:r>
        <w:t xml:space="preserve"> </w:t>
      </w:r>
      <w:r w:rsidRPr="00E538DA">
        <w:t>Multi-Satellite beam cell and multi NR beam cell</w:t>
      </w:r>
    </w:p>
    <w:p w:rsidR="00D0698C" w:rsidRDefault="00D0698C" w:rsidP="00D0698C">
      <w:pPr>
        <w:pStyle w:val="Paragraphedeliste"/>
        <w:ind w:left="0"/>
        <w:rPr>
          <w:rFonts w:ascii="Arial" w:eastAsia="PMingLiU" w:hAnsi="Arial" w:cs="Arial"/>
          <w:sz w:val="20"/>
          <w:szCs w:val="20"/>
          <w:lang w:eastAsia="zh-TW"/>
        </w:rPr>
      </w:pPr>
    </w:p>
    <w:p w:rsidR="00C67EA3" w:rsidRDefault="00C67EA3" w:rsidP="00D0698C">
      <w:pPr>
        <w:pStyle w:val="Paragraphedeliste"/>
        <w:ind w:left="0"/>
        <w:rPr>
          <w:rFonts w:ascii="Arial" w:eastAsia="PMingLiU" w:hAnsi="Arial" w:cs="Arial"/>
          <w:sz w:val="20"/>
          <w:szCs w:val="20"/>
          <w:lang w:eastAsia="zh-TW"/>
        </w:rPr>
      </w:pPr>
    </w:p>
    <w:p w:rsidR="00D0698C" w:rsidRPr="00F368A3" w:rsidRDefault="00D0698C" w:rsidP="00D0698C">
      <w:pPr>
        <w:pStyle w:val="Observation"/>
        <w:numPr>
          <w:ilvl w:val="0"/>
          <w:numId w:val="27"/>
        </w:numPr>
        <w:tabs>
          <w:tab w:val="left" w:pos="1701"/>
        </w:tabs>
        <w:spacing w:after="200" w:line="276" w:lineRule="auto"/>
        <w:ind w:left="1701" w:hanging="1701"/>
        <w:jc w:val="left"/>
        <w:rPr>
          <w:sz w:val="20"/>
          <w:szCs w:val="20"/>
        </w:rPr>
      </w:pPr>
      <w:r w:rsidRPr="0041458F">
        <w:rPr>
          <w:sz w:val="20"/>
          <w:szCs w:val="20"/>
        </w:rPr>
        <w:t>The minimum size of NR beam is the satellite beam size</w:t>
      </w:r>
    </w:p>
    <w:p w:rsidR="00D0698C" w:rsidRPr="0041458F" w:rsidRDefault="00D0698C" w:rsidP="00D0698C">
      <w:pPr>
        <w:pStyle w:val="Titre2"/>
        <w:keepLines/>
        <w:tabs>
          <w:tab w:val="clear" w:pos="576"/>
        </w:tabs>
        <w:autoSpaceDE/>
        <w:autoSpaceDN/>
        <w:adjustRightInd/>
        <w:snapToGrid/>
        <w:spacing w:before="200" w:after="240" w:line="276" w:lineRule="auto"/>
        <w:jc w:val="left"/>
        <w:rPr>
          <w:lang w:val="de-DE"/>
        </w:rPr>
      </w:pPr>
      <w:r w:rsidRPr="0041458F">
        <w:rPr>
          <w:lang w:val="de-DE"/>
        </w:rPr>
        <w:t>NR Beam Management in NTN</w:t>
      </w:r>
    </w:p>
    <w:p w:rsidR="00D0698C" w:rsidRPr="0041458F" w:rsidRDefault="00D0698C" w:rsidP="00D0698C">
      <w:pPr>
        <w:rPr>
          <w:rFonts w:ascii="Arial" w:eastAsia="PMingLiU" w:hAnsi="Arial" w:cs="Arial"/>
          <w:sz w:val="20"/>
          <w:szCs w:val="20"/>
          <w:lang w:eastAsia="zh-TW"/>
        </w:rPr>
      </w:pPr>
      <w:r w:rsidRPr="0041458F">
        <w:rPr>
          <w:rFonts w:ascii="Arial" w:eastAsia="PMingLiU" w:hAnsi="Arial" w:cs="Arial"/>
          <w:sz w:val="20"/>
          <w:szCs w:val="20"/>
          <w:lang w:eastAsia="zh-TW"/>
        </w:rPr>
        <w:t>The Release-15/16 beam management is to be considered as baseline for 5G NTN.</w:t>
      </w:r>
    </w:p>
    <w:p w:rsidR="00D0698C" w:rsidRPr="0041458F" w:rsidRDefault="00D0698C" w:rsidP="00D0698C">
      <w:pPr>
        <w:rPr>
          <w:rFonts w:ascii="Arial" w:eastAsia="PMingLiU" w:hAnsi="Arial" w:cs="Arial"/>
          <w:sz w:val="20"/>
          <w:szCs w:val="20"/>
          <w:lang w:eastAsia="zh-TW"/>
        </w:rPr>
      </w:pPr>
      <w:r w:rsidRPr="0041458F">
        <w:rPr>
          <w:rFonts w:ascii="Arial" w:eastAsia="PMingLiU" w:hAnsi="Arial" w:cs="Arial"/>
          <w:sz w:val="20"/>
          <w:szCs w:val="20"/>
          <w:lang w:eastAsia="zh-TW"/>
        </w:rPr>
        <w:lastRenderedPageBreak/>
        <w:t>The beam management will be used with the option (3) described above</w:t>
      </w:r>
      <w:r w:rsidR="0099483F">
        <w:rPr>
          <w:rFonts w:ascii="Arial" w:eastAsia="PMingLiU" w:hAnsi="Arial" w:cs="Arial"/>
          <w:sz w:val="20"/>
          <w:szCs w:val="20"/>
          <w:lang w:eastAsia="zh-TW"/>
        </w:rPr>
        <w:t>. B</w:t>
      </w:r>
      <w:r w:rsidRPr="0041458F">
        <w:rPr>
          <w:rFonts w:ascii="Arial" w:eastAsia="PMingLiU" w:hAnsi="Arial" w:cs="Arial"/>
          <w:sz w:val="20"/>
          <w:szCs w:val="20"/>
          <w:lang w:eastAsia="zh-TW"/>
        </w:rPr>
        <w:t>eam level mobility is to be used to control the UE connected mode mobility instead of Handover procedure</w:t>
      </w:r>
      <w:r w:rsidR="0099483F">
        <w:rPr>
          <w:rFonts w:ascii="Arial" w:eastAsia="PMingLiU" w:hAnsi="Arial" w:cs="Arial"/>
          <w:sz w:val="20"/>
          <w:szCs w:val="20"/>
          <w:lang w:eastAsia="zh-TW"/>
        </w:rPr>
        <w:t>.</w:t>
      </w:r>
      <w:r w:rsidRPr="0041458F">
        <w:rPr>
          <w:rFonts w:ascii="Arial" w:eastAsia="PMingLiU" w:hAnsi="Arial" w:cs="Arial"/>
          <w:sz w:val="20"/>
          <w:szCs w:val="20"/>
          <w:lang w:eastAsia="zh-TW"/>
        </w:rPr>
        <w:t xml:space="preserve"> </w:t>
      </w:r>
      <w:r w:rsidR="0099483F">
        <w:rPr>
          <w:rFonts w:ascii="Arial" w:eastAsia="PMingLiU" w:hAnsi="Arial" w:cs="Arial"/>
          <w:sz w:val="20"/>
          <w:szCs w:val="20"/>
          <w:lang w:eastAsia="zh-TW"/>
        </w:rPr>
        <w:t xml:space="preserve">This is </w:t>
      </w:r>
      <w:r w:rsidRPr="0041458F">
        <w:rPr>
          <w:rFonts w:ascii="Arial" w:eastAsia="PMingLiU" w:hAnsi="Arial" w:cs="Arial"/>
          <w:sz w:val="20"/>
          <w:szCs w:val="20"/>
          <w:lang w:eastAsia="zh-TW"/>
        </w:rPr>
        <w:t xml:space="preserve">mainly beneficial in case of Earth moving cell as shown in </w:t>
      </w:r>
      <w:r>
        <w:rPr>
          <w:rFonts w:ascii="Arial" w:hAnsi="Arial" w:cs="Arial"/>
          <w:sz w:val="20"/>
          <w:szCs w:val="20"/>
        </w:rPr>
        <w:fldChar w:fldCharType="begin"/>
      </w:r>
      <w:r>
        <w:rPr>
          <w:rFonts w:ascii="Arial" w:eastAsia="PMingLiU" w:hAnsi="Arial" w:cs="Arial"/>
          <w:sz w:val="20"/>
          <w:szCs w:val="20"/>
          <w:lang w:eastAsia="zh-TW"/>
        </w:rPr>
        <w:instrText xml:space="preserve"> REF _Ref47535391 \h </w:instrText>
      </w:r>
      <w:r>
        <w:rPr>
          <w:rFonts w:ascii="Arial" w:hAnsi="Arial" w:cs="Arial"/>
          <w:sz w:val="20"/>
          <w:szCs w:val="20"/>
        </w:rPr>
      </w:r>
      <w:r>
        <w:rPr>
          <w:rFonts w:ascii="Arial" w:hAnsi="Arial" w:cs="Arial"/>
          <w:sz w:val="20"/>
          <w:szCs w:val="20"/>
        </w:rPr>
        <w:fldChar w:fldCharType="separate"/>
      </w:r>
      <w:r w:rsidRPr="0041458F">
        <w:rPr>
          <w:rFonts w:ascii="Arial" w:hAnsi="Arial" w:cs="Arial"/>
          <w:sz w:val="20"/>
          <w:szCs w:val="20"/>
        </w:rPr>
        <w:t xml:space="preserve">Figure </w:t>
      </w:r>
      <w:r>
        <w:rPr>
          <w:rFonts w:ascii="Arial" w:hAnsi="Arial" w:cs="Arial"/>
          <w:noProof/>
          <w:sz w:val="20"/>
          <w:szCs w:val="20"/>
        </w:rPr>
        <w:t>19</w:t>
      </w:r>
      <w:r w:rsidRPr="0041458F">
        <w:rPr>
          <w:rFonts w:ascii="Arial" w:hAnsi="Arial" w:cs="Arial"/>
          <w:sz w:val="20"/>
          <w:szCs w:val="20"/>
        </w:rPr>
        <w:t xml:space="preserve"> </w:t>
      </w:r>
      <w:r>
        <w:rPr>
          <w:rFonts w:ascii="Arial" w:hAnsi="Arial" w:cs="Arial"/>
          <w:sz w:val="20"/>
          <w:szCs w:val="20"/>
        </w:rPr>
        <w:fldChar w:fldCharType="end"/>
      </w:r>
      <w:r w:rsidRPr="0041458F">
        <w:rPr>
          <w:rFonts w:ascii="Arial" w:eastAsia="PMingLiU" w:hAnsi="Arial" w:cs="Arial"/>
          <w:sz w:val="20"/>
          <w:szCs w:val="20"/>
          <w:lang w:eastAsia="zh-TW"/>
        </w:rPr>
        <w:t>. As beam level mobility does not require explicit RRC signalling to be triggered - it is dealt with at lower layers and RRC is not required to know  which beam is being used at a given point in time. Thus, the UE moves inside the cell, handled by beam management without extra RRC signalling overhead.</w:t>
      </w:r>
    </w:p>
    <w:p w:rsidR="00D0698C" w:rsidRPr="0041458F" w:rsidRDefault="00D0698C" w:rsidP="00D0698C">
      <w:pPr>
        <w:pStyle w:val="Observation"/>
        <w:numPr>
          <w:ilvl w:val="0"/>
          <w:numId w:val="27"/>
        </w:numPr>
        <w:tabs>
          <w:tab w:val="left" w:pos="1701"/>
        </w:tabs>
        <w:spacing w:after="200" w:line="276" w:lineRule="auto"/>
        <w:ind w:left="1701" w:hanging="1701"/>
        <w:jc w:val="left"/>
        <w:rPr>
          <w:sz w:val="20"/>
          <w:szCs w:val="20"/>
        </w:rPr>
      </w:pPr>
      <w:r w:rsidRPr="0041458F">
        <w:rPr>
          <w:sz w:val="20"/>
          <w:szCs w:val="20"/>
        </w:rPr>
        <w:t>Beam management can be beneficial in case of multi-beam moving cell</w:t>
      </w:r>
    </w:p>
    <w:p w:rsidR="00883208" w:rsidRDefault="00D0698C" w:rsidP="00883208">
      <w:pPr>
        <w:keepNext/>
        <w:jc w:val="center"/>
      </w:pPr>
      <w:r w:rsidRPr="0041458F">
        <w:rPr>
          <w:rFonts w:ascii="Arial" w:hAnsi="Arial" w:cs="Arial"/>
          <w:noProof/>
          <w:sz w:val="20"/>
          <w:szCs w:val="20"/>
          <w:lang w:val="fr-FR" w:eastAsia="fr-FR"/>
        </w:rPr>
        <w:drawing>
          <wp:inline distT="0" distB="0" distL="0" distR="0" wp14:anchorId="335288F6" wp14:editId="005D182B">
            <wp:extent cx="3895200" cy="2955600"/>
            <wp:effectExtent l="0" t="0" r="0" b="0"/>
            <wp:docPr id="7179" name="Image 7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895200" cy="2955600"/>
                    </a:xfrm>
                    <a:prstGeom prst="rect">
                      <a:avLst/>
                    </a:prstGeom>
                  </pic:spPr>
                </pic:pic>
              </a:graphicData>
            </a:graphic>
          </wp:inline>
        </w:drawing>
      </w:r>
    </w:p>
    <w:p w:rsidR="00D0698C" w:rsidRPr="0041458F" w:rsidRDefault="00883208" w:rsidP="00883208">
      <w:pPr>
        <w:pStyle w:val="Lgende"/>
        <w:rPr>
          <w:rFonts w:ascii="Arial" w:hAnsi="Arial" w:cs="Arial"/>
        </w:rPr>
      </w:pPr>
      <w:r>
        <w:t xml:space="preserve">Figure </w:t>
      </w:r>
      <w:r w:rsidR="004063B3">
        <w:fldChar w:fldCharType="begin"/>
      </w:r>
      <w:r w:rsidR="004063B3">
        <w:instrText xml:space="preserve"> SEQ Figure \* ARABIC </w:instrText>
      </w:r>
      <w:r w:rsidR="004063B3">
        <w:fldChar w:fldCharType="separate"/>
      </w:r>
      <w:r w:rsidR="00212F20">
        <w:rPr>
          <w:noProof/>
        </w:rPr>
        <w:t>6</w:t>
      </w:r>
      <w:r w:rsidR="004063B3">
        <w:rPr>
          <w:noProof/>
        </w:rPr>
        <w:fldChar w:fldCharType="end"/>
      </w:r>
      <w:r>
        <w:t xml:space="preserve"> </w:t>
      </w:r>
      <w:r w:rsidRPr="00646CD3">
        <w:t>Multi-beam cell: 4 Beams per cell</w:t>
      </w:r>
    </w:p>
    <w:p w:rsidR="00883208" w:rsidRDefault="00883208" w:rsidP="00D0698C">
      <w:pPr>
        <w:pStyle w:val="Paragraphedeliste"/>
        <w:ind w:left="0"/>
        <w:rPr>
          <w:rFonts w:ascii="Arial" w:eastAsia="PMingLiU" w:hAnsi="Arial" w:cs="Arial"/>
          <w:sz w:val="20"/>
          <w:szCs w:val="20"/>
          <w:lang w:eastAsia="zh-TW"/>
        </w:rPr>
      </w:pPr>
    </w:p>
    <w:p w:rsidR="00D0698C" w:rsidRPr="0041458F" w:rsidRDefault="00D0698C" w:rsidP="00D0698C">
      <w:pPr>
        <w:pStyle w:val="Paragraphedeliste"/>
        <w:ind w:left="0"/>
        <w:rPr>
          <w:rFonts w:ascii="Arial" w:eastAsia="PMingLiU" w:hAnsi="Arial" w:cs="Arial"/>
          <w:sz w:val="20"/>
          <w:szCs w:val="20"/>
          <w:lang w:eastAsia="zh-TW"/>
        </w:rPr>
      </w:pPr>
      <w:r w:rsidRPr="0041458F">
        <w:rPr>
          <w:rFonts w:ascii="Arial" w:eastAsia="PMingLiU" w:hAnsi="Arial" w:cs="Arial"/>
          <w:sz w:val="20"/>
          <w:szCs w:val="20"/>
          <w:lang w:eastAsia="zh-TW"/>
        </w:rPr>
        <w:t xml:space="preserve">However, in NTN, when we use several beams per cell (option 3 described </w:t>
      </w:r>
      <w:r w:rsidR="00B037C2">
        <w:rPr>
          <w:rFonts w:ascii="Arial" w:eastAsia="PMingLiU" w:hAnsi="Arial" w:cs="Arial"/>
          <w:sz w:val="20"/>
          <w:szCs w:val="20"/>
          <w:lang w:eastAsia="zh-TW"/>
        </w:rPr>
        <w:t>above</w:t>
      </w:r>
      <w:r w:rsidRPr="0041458F">
        <w:rPr>
          <w:rFonts w:ascii="Arial" w:eastAsia="PMingLiU" w:hAnsi="Arial" w:cs="Arial"/>
          <w:sz w:val="20"/>
          <w:szCs w:val="20"/>
          <w:lang w:eastAsia="zh-TW"/>
        </w:rPr>
        <w:t>),</w:t>
      </w:r>
      <w:r>
        <w:rPr>
          <w:rFonts w:ascii="Arial" w:eastAsia="PMingLiU" w:hAnsi="Arial" w:cs="Arial"/>
          <w:sz w:val="20"/>
          <w:szCs w:val="20"/>
          <w:lang w:eastAsia="zh-TW"/>
        </w:rPr>
        <w:t xml:space="preserve"> </w:t>
      </w:r>
      <w:r w:rsidRPr="0041458F">
        <w:rPr>
          <w:rFonts w:ascii="Arial" w:eastAsia="PMingLiU" w:hAnsi="Arial" w:cs="Arial"/>
          <w:sz w:val="20"/>
          <w:szCs w:val="20"/>
          <w:lang w:eastAsia="zh-TW"/>
        </w:rPr>
        <w:t xml:space="preserve">we increase ipso facto the cell size. Therefore, cell air-interface capacity limit should be taken into account. We believe that deploying multi-beam cell and using beam management will not be applicable to all NTN deployment scenarios. </w:t>
      </w:r>
    </w:p>
    <w:p w:rsidR="00D0698C" w:rsidRPr="0041458F" w:rsidRDefault="00D0698C" w:rsidP="00D0698C">
      <w:pPr>
        <w:pStyle w:val="Paragraphedeliste"/>
        <w:ind w:left="0"/>
        <w:rPr>
          <w:rFonts w:ascii="Arial" w:eastAsia="PMingLiU" w:hAnsi="Arial" w:cs="Arial"/>
          <w:sz w:val="20"/>
          <w:szCs w:val="20"/>
          <w:lang w:eastAsia="zh-TW"/>
        </w:rPr>
      </w:pPr>
    </w:p>
    <w:p w:rsidR="00D0698C" w:rsidRPr="0041458F" w:rsidRDefault="00D0698C" w:rsidP="00D0698C">
      <w:pPr>
        <w:pStyle w:val="Paragraphedeliste"/>
        <w:ind w:left="0"/>
        <w:rPr>
          <w:rFonts w:ascii="Arial" w:eastAsia="PMingLiU" w:hAnsi="Arial" w:cs="Arial"/>
          <w:sz w:val="20"/>
          <w:szCs w:val="20"/>
          <w:lang w:eastAsia="zh-TW"/>
        </w:rPr>
      </w:pPr>
      <w:r w:rsidRPr="0041458F">
        <w:rPr>
          <w:rFonts w:ascii="Arial" w:eastAsia="PMingLiU" w:hAnsi="Arial" w:cs="Arial"/>
          <w:sz w:val="20"/>
          <w:szCs w:val="20"/>
          <w:lang w:eastAsia="zh-TW"/>
        </w:rPr>
        <w:t xml:space="preserve">For example, let’s consider a LEO scenario at 600Km, for which a typical beam is circular at nadir with a beam size of 60Km and becomes an ellipse with a size of 60Km by 175km at the edge of the coverage; The beam size depends on the satellite antenna size, the satellite altitude and it stretch as a function of elevation angle. </w:t>
      </w:r>
    </w:p>
    <w:p w:rsidR="00D0698C" w:rsidRPr="0041458F" w:rsidRDefault="00DA64CD" w:rsidP="00D0698C">
      <w:pPr>
        <w:pStyle w:val="Paragraphedeliste"/>
        <w:ind w:left="0"/>
        <w:rPr>
          <w:rFonts w:ascii="Arial" w:eastAsia="PMingLiU" w:hAnsi="Arial" w:cs="Arial"/>
          <w:sz w:val="20"/>
          <w:szCs w:val="20"/>
          <w:lang w:eastAsia="zh-TW"/>
        </w:rPr>
      </w:pPr>
      <w:r>
        <w:rPr>
          <w:rFonts w:ascii="Arial" w:eastAsia="PMingLiU" w:hAnsi="Arial" w:cs="Arial"/>
          <w:sz w:val="20"/>
          <w:szCs w:val="20"/>
          <w:lang w:eastAsia="zh-TW"/>
        </w:rPr>
        <w:t>T</w:t>
      </w:r>
      <w:r w:rsidRPr="0041458F">
        <w:rPr>
          <w:rFonts w:ascii="Arial" w:eastAsia="PMingLiU" w:hAnsi="Arial" w:cs="Arial"/>
          <w:sz w:val="20"/>
          <w:szCs w:val="20"/>
          <w:lang w:eastAsia="zh-TW"/>
        </w:rPr>
        <w:t xml:space="preserve">he </w:t>
      </w:r>
      <w:r w:rsidR="00D0698C" w:rsidRPr="0041458F">
        <w:rPr>
          <w:rFonts w:ascii="Arial" w:eastAsia="PMingLiU" w:hAnsi="Arial" w:cs="Arial"/>
          <w:sz w:val="20"/>
          <w:szCs w:val="20"/>
          <w:lang w:eastAsia="zh-TW"/>
        </w:rPr>
        <w:t xml:space="preserve">traffic model given in Table B.2-1 [6] </w:t>
      </w:r>
      <w:r>
        <w:rPr>
          <w:rFonts w:ascii="Arial" w:eastAsia="PMingLiU" w:hAnsi="Arial" w:cs="Arial"/>
          <w:sz w:val="20"/>
          <w:szCs w:val="20"/>
          <w:lang w:eastAsia="zh-TW"/>
        </w:rPr>
        <w:t xml:space="preserve">has been considered assuming </w:t>
      </w:r>
      <w:r w:rsidR="00D0698C" w:rsidRPr="0041458F">
        <w:rPr>
          <w:rFonts w:ascii="Arial" w:eastAsia="PMingLiU" w:hAnsi="Arial" w:cs="Arial"/>
          <w:sz w:val="20"/>
          <w:szCs w:val="20"/>
          <w:lang w:eastAsia="zh-TW"/>
        </w:rPr>
        <w:t>only pedestrian usage scenario: Overall UE density</w:t>
      </w:r>
      <w:r w:rsidRPr="0041458F">
        <w:rPr>
          <w:rFonts w:ascii="Arial" w:eastAsia="PMingLiU" w:hAnsi="Arial" w:cs="Arial"/>
          <w:sz w:val="20"/>
          <w:szCs w:val="20"/>
          <w:lang w:eastAsia="zh-TW"/>
        </w:rPr>
        <w:t>:</w:t>
      </w:r>
      <w:r>
        <w:rPr>
          <w:rFonts w:ascii="Arial" w:eastAsia="PMingLiU" w:hAnsi="Arial" w:cs="Arial"/>
          <w:sz w:val="20"/>
          <w:szCs w:val="20"/>
          <w:lang w:eastAsia="zh-TW"/>
        </w:rPr>
        <w:t xml:space="preserve"> is fixed at </w:t>
      </w:r>
      <w:r w:rsidR="00D0698C" w:rsidRPr="0041458F">
        <w:rPr>
          <w:rFonts w:ascii="Arial" w:eastAsia="PMingLiU" w:hAnsi="Arial" w:cs="Arial"/>
          <w:sz w:val="20"/>
          <w:szCs w:val="20"/>
          <w:lang w:eastAsia="zh-TW"/>
        </w:rPr>
        <w:t xml:space="preserve">100 UE per km2 and </w:t>
      </w:r>
      <w:r>
        <w:rPr>
          <w:rFonts w:ascii="Arial" w:eastAsia="PMingLiU" w:hAnsi="Arial" w:cs="Arial"/>
          <w:sz w:val="20"/>
          <w:szCs w:val="20"/>
          <w:lang w:eastAsia="zh-TW"/>
        </w:rPr>
        <w:t xml:space="preserve">the </w:t>
      </w:r>
      <w:r w:rsidR="00D0698C" w:rsidRPr="0041458F">
        <w:rPr>
          <w:rFonts w:ascii="Arial" w:eastAsia="PMingLiU" w:hAnsi="Arial" w:cs="Arial"/>
          <w:sz w:val="20"/>
          <w:szCs w:val="20"/>
          <w:lang w:eastAsia="zh-TW"/>
        </w:rPr>
        <w:t>percentage value of the amount of simultaneous active users</w:t>
      </w:r>
      <w:r>
        <w:rPr>
          <w:rFonts w:ascii="Arial" w:eastAsia="PMingLiU" w:hAnsi="Arial" w:cs="Arial"/>
          <w:sz w:val="20"/>
          <w:szCs w:val="20"/>
          <w:lang w:eastAsia="zh-TW"/>
        </w:rPr>
        <w:t xml:space="preserve"> at</w:t>
      </w:r>
      <w:r w:rsidRPr="0041458F">
        <w:rPr>
          <w:rFonts w:ascii="Arial" w:eastAsia="PMingLiU" w:hAnsi="Arial" w:cs="Arial"/>
          <w:sz w:val="20"/>
          <w:szCs w:val="20"/>
          <w:lang w:eastAsia="zh-TW"/>
        </w:rPr>
        <w:t xml:space="preserve"> </w:t>
      </w:r>
      <w:r w:rsidR="00D0698C" w:rsidRPr="0041458F">
        <w:rPr>
          <w:rFonts w:ascii="Arial" w:eastAsia="PMingLiU" w:hAnsi="Arial" w:cs="Arial"/>
          <w:sz w:val="20"/>
          <w:szCs w:val="20"/>
          <w:lang w:eastAsia="zh-TW"/>
        </w:rPr>
        <w:t>1.5 %</w:t>
      </w:r>
      <w:r>
        <w:rPr>
          <w:rFonts w:ascii="Arial" w:eastAsia="PMingLiU" w:hAnsi="Arial" w:cs="Arial"/>
          <w:sz w:val="20"/>
          <w:szCs w:val="20"/>
          <w:lang w:eastAsia="zh-TW"/>
        </w:rPr>
        <w:t>.</w:t>
      </w:r>
    </w:p>
    <w:p w:rsidR="00D0698C" w:rsidRPr="0041458F" w:rsidRDefault="00D0698C" w:rsidP="00D0698C">
      <w:pPr>
        <w:pStyle w:val="Paragraphedeliste"/>
        <w:ind w:left="0"/>
        <w:rPr>
          <w:rFonts w:ascii="Arial" w:eastAsia="PMingLiU" w:hAnsi="Arial" w:cs="Arial"/>
          <w:sz w:val="20"/>
          <w:szCs w:val="20"/>
          <w:lang w:eastAsia="zh-TW"/>
        </w:rPr>
      </w:pPr>
    </w:p>
    <w:p w:rsidR="00D0698C" w:rsidRDefault="00D0698C" w:rsidP="00D0698C">
      <w:pPr>
        <w:pStyle w:val="Paragraphedeliste"/>
        <w:ind w:left="0"/>
        <w:rPr>
          <w:rFonts w:ascii="Arial" w:eastAsia="PMingLiU" w:hAnsi="Arial" w:cs="Arial"/>
          <w:sz w:val="20"/>
          <w:szCs w:val="20"/>
          <w:lang w:eastAsia="zh-TW"/>
        </w:rPr>
      </w:pPr>
      <w:r w:rsidRPr="0041458F">
        <w:rPr>
          <w:rFonts w:ascii="Arial" w:eastAsia="PMingLiU" w:hAnsi="Arial" w:cs="Arial"/>
          <w:sz w:val="20"/>
          <w:szCs w:val="20"/>
          <w:lang w:eastAsia="zh-TW"/>
        </w:rPr>
        <w:t>When we compute the number of connected users per cell</w:t>
      </w:r>
      <w:r w:rsidR="00DA64CD">
        <w:rPr>
          <w:rFonts w:ascii="Arial" w:eastAsia="PMingLiU" w:hAnsi="Arial" w:cs="Arial"/>
          <w:sz w:val="20"/>
          <w:szCs w:val="20"/>
          <w:lang w:eastAsia="zh-TW"/>
        </w:rPr>
        <w:t>, w</w:t>
      </w:r>
      <w:r w:rsidR="00DA64CD" w:rsidRPr="0041458F">
        <w:rPr>
          <w:rFonts w:ascii="Arial" w:eastAsia="PMingLiU" w:hAnsi="Arial" w:cs="Arial"/>
          <w:sz w:val="20"/>
          <w:szCs w:val="20"/>
          <w:lang w:eastAsia="zh-TW"/>
        </w:rPr>
        <w:t xml:space="preserve">e </w:t>
      </w:r>
      <w:r w:rsidRPr="0041458F">
        <w:rPr>
          <w:rFonts w:ascii="Arial" w:eastAsia="PMingLiU" w:hAnsi="Arial" w:cs="Arial"/>
          <w:sz w:val="20"/>
          <w:szCs w:val="20"/>
          <w:lang w:eastAsia="zh-TW"/>
        </w:rPr>
        <w:t>can see that a high num</w:t>
      </w:r>
      <w:r>
        <w:rPr>
          <w:rFonts w:ascii="Arial" w:eastAsia="PMingLiU" w:hAnsi="Arial" w:cs="Arial"/>
          <w:sz w:val="20"/>
          <w:szCs w:val="20"/>
          <w:lang w:eastAsia="zh-TW"/>
        </w:rPr>
        <w:t xml:space="preserve">ber of users need to be served </w:t>
      </w:r>
      <w:r w:rsidRPr="0041458F">
        <w:rPr>
          <w:rFonts w:ascii="Arial" w:eastAsia="PMingLiU" w:hAnsi="Arial" w:cs="Arial"/>
          <w:sz w:val="20"/>
          <w:szCs w:val="20"/>
          <w:lang w:eastAsia="zh-TW"/>
        </w:rPr>
        <w:t xml:space="preserve">simultaneously in case of a multi-beam cell. Which might not be possible because of limited cell capacity, particularly in </w:t>
      </w:r>
      <w:r w:rsidR="00DA64CD">
        <w:rPr>
          <w:rFonts w:ascii="Arial" w:eastAsia="PMingLiU" w:hAnsi="Arial" w:cs="Arial"/>
          <w:sz w:val="20"/>
          <w:szCs w:val="20"/>
          <w:lang w:eastAsia="zh-TW"/>
        </w:rPr>
        <w:t>FR1</w:t>
      </w:r>
      <w:r w:rsidRPr="0041458F">
        <w:rPr>
          <w:rFonts w:ascii="Arial" w:eastAsia="PMingLiU" w:hAnsi="Arial" w:cs="Arial"/>
          <w:sz w:val="20"/>
          <w:szCs w:val="20"/>
          <w:lang w:eastAsia="zh-TW"/>
        </w:rPr>
        <w:t>.</w:t>
      </w:r>
    </w:p>
    <w:p w:rsidR="003560D7" w:rsidRPr="00F368A3" w:rsidRDefault="003560D7" w:rsidP="00D0698C">
      <w:pPr>
        <w:pStyle w:val="Paragraphedeliste"/>
        <w:ind w:left="0"/>
        <w:rPr>
          <w:rFonts w:ascii="Arial" w:eastAsia="PMingLiU" w:hAnsi="Arial" w:cs="Arial"/>
          <w:sz w:val="20"/>
          <w:szCs w:val="20"/>
          <w:lang w:eastAsia="zh-TW"/>
        </w:rPr>
      </w:pPr>
    </w:p>
    <w:p w:rsidR="00D0698C" w:rsidRPr="0041458F" w:rsidRDefault="00D0698C" w:rsidP="00D0698C">
      <w:pPr>
        <w:pStyle w:val="Lgende"/>
        <w:keepNext/>
        <w:rPr>
          <w:rFonts w:ascii="Arial" w:hAnsi="Arial" w:cs="Arial"/>
        </w:rPr>
      </w:pPr>
    </w:p>
    <w:p w:rsidR="00212F20" w:rsidRDefault="00212F20" w:rsidP="00212F20">
      <w:pPr>
        <w:pStyle w:val="Lgende"/>
        <w:keepNext/>
      </w:pPr>
      <w:r>
        <w:t xml:space="preserve">Table </w:t>
      </w:r>
      <w:r w:rsidR="004063B3">
        <w:fldChar w:fldCharType="begin"/>
      </w:r>
      <w:r w:rsidR="004063B3">
        <w:instrText xml:space="preserve"> SEQ Table \* ARABIC </w:instrText>
      </w:r>
      <w:r w:rsidR="004063B3">
        <w:fldChar w:fldCharType="separate"/>
      </w:r>
      <w:r>
        <w:rPr>
          <w:noProof/>
        </w:rPr>
        <w:t>2</w:t>
      </w:r>
      <w:r w:rsidR="004063B3">
        <w:rPr>
          <w:noProof/>
        </w:rPr>
        <w:fldChar w:fldCharType="end"/>
      </w:r>
      <w:r>
        <w:t xml:space="preserve"> </w:t>
      </w:r>
      <w:r w:rsidRPr="00797B19">
        <w:t>Multi satellite beam cell : 4 beams per cell</w:t>
      </w:r>
    </w:p>
    <w:tbl>
      <w:tblPr>
        <w:tblStyle w:val="Listeclaire-Accent5"/>
        <w:tblW w:w="5000" w:type="pct"/>
        <w:tblLook w:val="04A0" w:firstRow="1" w:lastRow="0" w:firstColumn="1" w:lastColumn="0" w:noHBand="0" w:noVBand="1"/>
      </w:tblPr>
      <w:tblGrid>
        <w:gridCol w:w="4295"/>
        <w:gridCol w:w="1280"/>
        <w:gridCol w:w="1856"/>
        <w:gridCol w:w="1856"/>
      </w:tblGrid>
      <w:tr w:rsidR="00D0698C" w:rsidRPr="0041458F" w:rsidTr="00212F20">
        <w:trPr>
          <w:cnfStyle w:val="100000000000" w:firstRow="1" w:lastRow="0" w:firstColumn="0" w:lastColumn="0" w:oddVBand="0" w:evenVBand="0" w:oddHBand="0" w:evenHBand="0" w:firstRowFirstColumn="0" w:firstRowLastColumn="0" w:lastRowFirstColumn="0" w:lastRowLastColumn="0"/>
          <w:trHeight w:val="491"/>
        </w:trPr>
        <w:tc>
          <w:tcPr>
            <w:cnfStyle w:val="001000000000" w:firstRow="0" w:lastRow="0" w:firstColumn="1" w:lastColumn="0" w:oddVBand="0" w:evenVBand="0" w:oddHBand="0" w:evenHBand="0" w:firstRowFirstColumn="0" w:firstRowLastColumn="0" w:lastRowFirstColumn="0" w:lastRowLastColumn="0"/>
            <w:tcW w:w="2312" w:type="pct"/>
            <w:vMerge w:val="restart"/>
            <w:hideMark/>
          </w:tcPr>
          <w:p w:rsidR="00D0698C" w:rsidRPr="0041458F" w:rsidRDefault="00D0698C" w:rsidP="0017008D">
            <w:pPr>
              <w:jc w:val="center"/>
              <w:rPr>
                <w:rFonts w:ascii="Arial" w:hAnsi="Arial" w:cs="Arial"/>
                <w:sz w:val="20"/>
                <w:szCs w:val="20"/>
                <w:lang w:val="fr-FR" w:eastAsia="fr-FR"/>
              </w:rPr>
            </w:pPr>
            <w:proofErr w:type="spellStart"/>
            <w:r w:rsidRPr="0041458F">
              <w:rPr>
                <w:rFonts w:ascii="Arial" w:hAnsi="Arial" w:cs="Arial"/>
                <w:sz w:val="20"/>
                <w:szCs w:val="20"/>
                <w:lang w:val="fr-FR" w:eastAsia="fr-FR"/>
              </w:rPr>
              <w:t>Beam</w:t>
            </w:r>
            <w:proofErr w:type="spellEnd"/>
            <w:r w:rsidRPr="0041458F">
              <w:rPr>
                <w:rFonts w:ascii="Arial" w:hAnsi="Arial" w:cs="Arial"/>
                <w:sz w:val="20"/>
                <w:szCs w:val="20"/>
                <w:lang w:val="fr-FR" w:eastAsia="fr-FR"/>
              </w:rPr>
              <w:t xml:space="preserve"> range (km)</w:t>
            </w:r>
          </w:p>
        </w:tc>
        <w:tc>
          <w:tcPr>
            <w:tcW w:w="689" w:type="pct"/>
            <w:vMerge w:val="restart"/>
            <w:hideMark/>
          </w:tcPr>
          <w:p w:rsidR="00D0698C" w:rsidRPr="0041458F" w:rsidRDefault="00D0698C" w:rsidP="0017008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fr-FR" w:eastAsia="fr-FR"/>
              </w:rPr>
            </w:pPr>
            <w:proofErr w:type="spellStart"/>
            <w:r w:rsidRPr="0041458F">
              <w:rPr>
                <w:rFonts w:ascii="Arial" w:hAnsi="Arial" w:cs="Arial"/>
                <w:sz w:val="20"/>
                <w:szCs w:val="20"/>
                <w:lang w:val="fr-FR" w:eastAsia="fr-FR"/>
              </w:rPr>
              <w:t>beam</w:t>
            </w:r>
            <w:proofErr w:type="spellEnd"/>
            <w:r w:rsidRPr="0041458F">
              <w:rPr>
                <w:rFonts w:ascii="Arial" w:hAnsi="Arial" w:cs="Arial"/>
                <w:sz w:val="20"/>
                <w:szCs w:val="20"/>
                <w:lang w:val="fr-FR" w:eastAsia="fr-FR"/>
              </w:rPr>
              <w:t xml:space="preserve"> area (Km^2)</w:t>
            </w:r>
          </w:p>
        </w:tc>
        <w:tc>
          <w:tcPr>
            <w:tcW w:w="999" w:type="pct"/>
            <w:vMerge w:val="restart"/>
            <w:hideMark/>
          </w:tcPr>
          <w:p w:rsidR="00D0698C" w:rsidRPr="0041458F" w:rsidRDefault="00D0698C" w:rsidP="0017008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fr-FR" w:eastAsia="fr-FR"/>
              </w:rPr>
            </w:pPr>
            <w:r w:rsidRPr="0041458F">
              <w:rPr>
                <w:rFonts w:ascii="Arial" w:hAnsi="Arial" w:cs="Arial"/>
                <w:sz w:val="20"/>
                <w:szCs w:val="20"/>
                <w:lang w:val="fr-FR" w:eastAsia="fr-FR"/>
              </w:rPr>
              <w:t>#</w:t>
            </w:r>
            <w:proofErr w:type="spellStart"/>
            <w:r w:rsidRPr="0041458F">
              <w:rPr>
                <w:rFonts w:ascii="Arial" w:hAnsi="Arial" w:cs="Arial"/>
                <w:sz w:val="20"/>
                <w:szCs w:val="20"/>
                <w:lang w:val="fr-FR" w:eastAsia="fr-FR"/>
              </w:rPr>
              <w:t>Connected</w:t>
            </w:r>
            <w:proofErr w:type="spellEnd"/>
            <w:r w:rsidRPr="0041458F">
              <w:rPr>
                <w:rFonts w:ascii="Arial" w:hAnsi="Arial" w:cs="Arial"/>
                <w:sz w:val="20"/>
                <w:szCs w:val="20"/>
                <w:lang w:val="fr-FR" w:eastAsia="fr-FR"/>
              </w:rPr>
              <w:t xml:space="preserve"> UE/</w:t>
            </w:r>
            <w:proofErr w:type="spellStart"/>
            <w:r w:rsidRPr="0041458F">
              <w:rPr>
                <w:rFonts w:ascii="Arial" w:hAnsi="Arial" w:cs="Arial"/>
                <w:sz w:val="20"/>
                <w:szCs w:val="20"/>
                <w:lang w:val="fr-FR" w:eastAsia="fr-FR"/>
              </w:rPr>
              <w:t>beam</w:t>
            </w:r>
            <w:proofErr w:type="spellEnd"/>
          </w:p>
        </w:tc>
        <w:tc>
          <w:tcPr>
            <w:tcW w:w="999" w:type="pct"/>
            <w:vMerge w:val="restart"/>
            <w:hideMark/>
          </w:tcPr>
          <w:p w:rsidR="00D0698C" w:rsidRPr="0041458F" w:rsidRDefault="00D0698C" w:rsidP="0017008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eastAsia="fr-FR"/>
              </w:rPr>
            </w:pPr>
            <w:r w:rsidRPr="0041458F">
              <w:rPr>
                <w:rFonts w:ascii="Arial" w:hAnsi="Arial" w:cs="Arial"/>
                <w:sz w:val="20"/>
                <w:szCs w:val="20"/>
                <w:lang w:eastAsia="fr-FR"/>
              </w:rPr>
              <w:t>#Connected UE/cell</w:t>
            </w:r>
          </w:p>
          <w:p w:rsidR="00D0698C" w:rsidRPr="0041458F" w:rsidRDefault="00D0698C" w:rsidP="0017008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eastAsia="fr-FR"/>
              </w:rPr>
            </w:pPr>
            <w:r w:rsidRPr="0041458F">
              <w:rPr>
                <w:rFonts w:ascii="Arial" w:hAnsi="Arial" w:cs="Arial"/>
                <w:sz w:val="20"/>
                <w:szCs w:val="20"/>
                <w:lang w:eastAsia="fr-FR"/>
              </w:rPr>
              <w:t>(4 beams per cell)</w:t>
            </w:r>
          </w:p>
        </w:tc>
      </w:tr>
      <w:tr w:rsidR="00D0698C" w:rsidRPr="0041458F" w:rsidTr="00212F20">
        <w:trPr>
          <w:cnfStyle w:val="000000100000" w:firstRow="0" w:lastRow="0" w:firstColumn="0" w:lastColumn="0" w:oddVBand="0" w:evenVBand="0" w:oddHBand="1" w:evenHBand="0" w:firstRowFirstColumn="0" w:firstRowLastColumn="0" w:lastRowFirstColumn="0" w:lastRowLastColumn="0"/>
          <w:trHeight w:val="491"/>
        </w:trPr>
        <w:tc>
          <w:tcPr>
            <w:cnfStyle w:val="001000000000" w:firstRow="0" w:lastRow="0" w:firstColumn="1" w:lastColumn="0" w:oddVBand="0" w:evenVBand="0" w:oddHBand="0" w:evenHBand="0" w:firstRowFirstColumn="0" w:firstRowLastColumn="0" w:lastRowFirstColumn="0" w:lastRowLastColumn="0"/>
            <w:tcW w:w="2312" w:type="pct"/>
            <w:vMerge/>
            <w:hideMark/>
          </w:tcPr>
          <w:p w:rsidR="00D0698C" w:rsidRPr="0041458F" w:rsidRDefault="00D0698C" w:rsidP="0017008D">
            <w:pPr>
              <w:rPr>
                <w:rFonts w:ascii="Arial" w:hAnsi="Arial" w:cs="Arial"/>
                <w:color w:val="000000"/>
                <w:sz w:val="20"/>
                <w:szCs w:val="20"/>
                <w:lang w:eastAsia="fr-FR"/>
              </w:rPr>
            </w:pPr>
          </w:p>
        </w:tc>
        <w:tc>
          <w:tcPr>
            <w:tcW w:w="689" w:type="pct"/>
            <w:vMerge/>
            <w:hideMark/>
          </w:tcPr>
          <w:p w:rsidR="00D0698C" w:rsidRPr="0041458F" w:rsidRDefault="00D0698C" w:rsidP="0017008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fr-FR"/>
              </w:rPr>
            </w:pPr>
          </w:p>
        </w:tc>
        <w:tc>
          <w:tcPr>
            <w:tcW w:w="999" w:type="pct"/>
            <w:vMerge/>
            <w:hideMark/>
          </w:tcPr>
          <w:p w:rsidR="00D0698C" w:rsidRPr="0041458F" w:rsidRDefault="00D0698C" w:rsidP="0017008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fr-FR"/>
              </w:rPr>
            </w:pPr>
          </w:p>
        </w:tc>
        <w:tc>
          <w:tcPr>
            <w:tcW w:w="999" w:type="pct"/>
            <w:vMerge/>
            <w:hideMark/>
          </w:tcPr>
          <w:p w:rsidR="00D0698C" w:rsidRPr="0041458F" w:rsidRDefault="00D0698C" w:rsidP="0017008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fr-FR"/>
              </w:rPr>
            </w:pPr>
          </w:p>
        </w:tc>
      </w:tr>
      <w:tr w:rsidR="00D0698C" w:rsidRPr="0041458F" w:rsidTr="00212F20">
        <w:trPr>
          <w:trHeight w:val="464"/>
        </w:trPr>
        <w:tc>
          <w:tcPr>
            <w:cnfStyle w:val="001000000000" w:firstRow="0" w:lastRow="0" w:firstColumn="1" w:lastColumn="0" w:oddVBand="0" w:evenVBand="0" w:oddHBand="0" w:evenHBand="0" w:firstRowFirstColumn="0" w:firstRowLastColumn="0" w:lastRowFirstColumn="0" w:lastRowLastColumn="0"/>
            <w:tcW w:w="2312" w:type="pct"/>
            <w:vMerge/>
            <w:hideMark/>
          </w:tcPr>
          <w:p w:rsidR="00D0698C" w:rsidRPr="0041458F" w:rsidRDefault="00D0698C" w:rsidP="0017008D">
            <w:pPr>
              <w:rPr>
                <w:rFonts w:ascii="Arial" w:hAnsi="Arial" w:cs="Arial"/>
                <w:color w:val="000000"/>
                <w:sz w:val="20"/>
                <w:szCs w:val="20"/>
                <w:lang w:eastAsia="fr-FR"/>
              </w:rPr>
            </w:pPr>
          </w:p>
        </w:tc>
        <w:tc>
          <w:tcPr>
            <w:tcW w:w="689" w:type="pct"/>
            <w:vMerge/>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fr-FR"/>
              </w:rPr>
            </w:pPr>
          </w:p>
        </w:tc>
        <w:tc>
          <w:tcPr>
            <w:tcW w:w="999" w:type="pct"/>
            <w:vMerge/>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fr-FR"/>
              </w:rPr>
            </w:pPr>
          </w:p>
        </w:tc>
        <w:tc>
          <w:tcPr>
            <w:tcW w:w="999" w:type="pct"/>
            <w:vMerge/>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fr-FR"/>
              </w:rPr>
            </w:pPr>
          </w:p>
        </w:tc>
      </w:tr>
      <w:tr w:rsidR="00D0698C" w:rsidRPr="0041458F" w:rsidTr="00212F20">
        <w:trPr>
          <w:cnfStyle w:val="000000100000" w:firstRow="0" w:lastRow="0" w:firstColumn="0" w:lastColumn="0" w:oddVBand="0" w:evenVBand="0" w:oddHBand="1" w:evenHBand="0"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2312" w:type="pct"/>
            <w:noWrap/>
            <w:hideMark/>
          </w:tcPr>
          <w:p w:rsidR="00D0698C" w:rsidRPr="0041458F" w:rsidRDefault="00D0698C" w:rsidP="0017008D">
            <w:pPr>
              <w:jc w:val="center"/>
              <w:rPr>
                <w:rFonts w:ascii="Arial" w:hAnsi="Arial" w:cs="Arial"/>
                <w:color w:val="000000"/>
                <w:sz w:val="20"/>
                <w:szCs w:val="20"/>
                <w:lang w:val="fr-FR" w:eastAsia="fr-FR"/>
              </w:rPr>
            </w:pPr>
            <w:r w:rsidRPr="0041458F">
              <w:rPr>
                <w:rFonts w:ascii="Arial" w:hAnsi="Arial" w:cs="Arial"/>
                <w:color w:val="000000"/>
                <w:sz w:val="20"/>
                <w:szCs w:val="20"/>
                <w:lang w:val="fr-FR" w:eastAsia="fr-FR"/>
              </w:rPr>
              <w:t xml:space="preserve">60Km </w:t>
            </w:r>
            <w:proofErr w:type="spellStart"/>
            <w:r w:rsidRPr="0041458F">
              <w:rPr>
                <w:rFonts w:ascii="Arial" w:hAnsi="Arial" w:cs="Arial"/>
                <w:color w:val="000000"/>
                <w:sz w:val="20"/>
                <w:szCs w:val="20"/>
                <w:lang w:val="fr-FR" w:eastAsia="fr-FR"/>
              </w:rPr>
              <w:t>at</w:t>
            </w:r>
            <w:proofErr w:type="spellEnd"/>
            <w:r w:rsidRPr="0041458F">
              <w:rPr>
                <w:rFonts w:ascii="Arial" w:hAnsi="Arial" w:cs="Arial"/>
                <w:color w:val="000000"/>
                <w:sz w:val="20"/>
                <w:szCs w:val="20"/>
                <w:lang w:val="fr-FR" w:eastAsia="fr-FR"/>
              </w:rPr>
              <w:t xml:space="preserve">  nadir</w:t>
            </w:r>
          </w:p>
        </w:tc>
        <w:tc>
          <w:tcPr>
            <w:tcW w:w="689" w:type="pct"/>
            <w:noWrap/>
            <w:hideMark/>
          </w:tcPr>
          <w:p w:rsidR="00D0698C" w:rsidRPr="0041458F" w:rsidRDefault="00D0698C" w:rsidP="0017008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fr-FR" w:eastAsia="fr-FR"/>
              </w:rPr>
            </w:pPr>
            <w:r w:rsidRPr="0041458F">
              <w:rPr>
                <w:rFonts w:ascii="Arial" w:hAnsi="Arial" w:cs="Arial"/>
                <w:color w:val="000000"/>
                <w:sz w:val="20"/>
                <w:szCs w:val="20"/>
                <w:lang w:val="fr-FR" w:eastAsia="fr-FR"/>
              </w:rPr>
              <w:t>2827</w:t>
            </w:r>
          </w:p>
        </w:tc>
        <w:tc>
          <w:tcPr>
            <w:tcW w:w="999" w:type="pct"/>
            <w:hideMark/>
          </w:tcPr>
          <w:p w:rsidR="00D0698C" w:rsidRPr="0041458F" w:rsidRDefault="00D0698C" w:rsidP="0017008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1458F">
              <w:rPr>
                <w:rFonts w:ascii="Arial" w:hAnsi="Arial" w:cs="Arial"/>
                <w:sz w:val="20"/>
                <w:szCs w:val="20"/>
              </w:rPr>
              <w:t>4241</w:t>
            </w:r>
          </w:p>
        </w:tc>
        <w:tc>
          <w:tcPr>
            <w:tcW w:w="999" w:type="pct"/>
            <w:hideMark/>
          </w:tcPr>
          <w:p w:rsidR="00D0698C" w:rsidRPr="0041458F" w:rsidRDefault="00D0698C" w:rsidP="0017008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fr-FR" w:eastAsia="fr-FR"/>
              </w:rPr>
            </w:pPr>
            <w:r w:rsidRPr="0041458F">
              <w:rPr>
                <w:rFonts w:ascii="Arial" w:hAnsi="Arial" w:cs="Arial"/>
                <w:sz w:val="20"/>
                <w:szCs w:val="20"/>
              </w:rPr>
              <w:t>16964</w:t>
            </w:r>
          </w:p>
        </w:tc>
      </w:tr>
      <w:tr w:rsidR="00D0698C" w:rsidRPr="0041458F" w:rsidTr="00212F20">
        <w:trPr>
          <w:trHeight w:val="289"/>
        </w:trPr>
        <w:tc>
          <w:tcPr>
            <w:cnfStyle w:val="001000000000" w:firstRow="0" w:lastRow="0" w:firstColumn="1" w:lastColumn="0" w:oddVBand="0" w:evenVBand="0" w:oddHBand="0" w:evenHBand="0" w:firstRowFirstColumn="0" w:firstRowLastColumn="0" w:lastRowFirstColumn="0" w:lastRowLastColumn="0"/>
            <w:tcW w:w="2312" w:type="pct"/>
            <w:noWrap/>
            <w:hideMark/>
          </w:tcPr>
          <w:p w:rsidR="00D0698C" w:rsidRPr="0041458F" w:rsidRDefault="00D0698C" w:rsidP="0017008D">
            <w:pPr>
              <w:jc w:val="center"/>
              <w:rPr>
                <w:rFonts w:ascii="Arial" w:hAnsi="Arial" w:cs="Arial"/>
                <w:color w:val="000000"/>
                <w:sz w:val="20"/>
                <w:szCs w:val="20"/>
                <w:lang w:eastAsia="fr-FR"/>
              </w:rPr>
            </w:pPr>
            <w:r w:rsidRPr="0041458F">
              <w:rPr>
                <w:rFonts w:ascii="Arial" w:hAnsi="Arial" w:cs="Arial"/>
                <w:color w:val="000000"/>
                <w:sz w:val="20"/>
                <w:szCs w:val="20"/>
                <w:lang w:eastAsia="fr-FR"/>
              </w:rPr>
              <w:t xml:space="preserve">At </w:t>
            </w:r>
            <w:proofErr w:type="spellStart"/>
            <w:r w:rsidRPr="0041458F">
              <w:rPr>
                <w:rFonts w:ascii="Arial" w:hAnsi="Arial" w:cs="Arial"/>
                <w:color w:val="000000"/>
                <w:sz w:val="20"/>
                <w:szCs w:val="20"/>
                <w:lang w:eastAsia="fr-FR"/>
              </w:rPr>
              <w:t>EoC</w:t>
            </w:r>
            <w:proofErr w:type="spellEnd"/>
            <w:r w:rsidRPr="0041458F">
              <w:rPr>
                <w:rFonts w:ascii="Arial" w:hAnsi="Arial" w:cs="Arial"/>
                <w:color w:val="000000"/>
                <w:sz w:val="20"/>
                <w:szCs w:val="20"/>
                <w:lang w:eastAsia="fr-FR"/>
              </w:rPr>
              <w:t xml:space="preserve"> Ellipse 60Km by 175km</w:t>
            </w:r>
          </w:p>
        </w:tc>
        <w:tc>
          <w:tcPr>
            <w:tcW w:w="689" w:type="pct"/>
            <w:noWrap/>
            <w:hideMark/>
          </w:tcPr>
          <w:p w:rsidR="00D0698C" w:rsidRPr="0041458F" w:rsidRDefault="00D0698C" w:rsidP="0017008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fr-FR" w:eastAsia="fr-FR"/>
              </w:rPr>
            </w:pPr>
            <w:r w:rsidRPr="0041458F">
              <w:rPr>
                <w:rFonts w:ascii="Arial" w:hAnsi="Arial" w:cs="Arial"/>
                <w:color w:val="000000"/>
                <w:sz w:val="20"/>
                <w:szCs w:val="20"/>
                <w:lang w:val="fr-FR" w:eastAsia="fr-FR"/>
              </w:rPr>
              <w:t>8246</w:t>
            </w:r>
          </w:p>
        </w:tc>
        <w:tc>
          <w:tcPr>
            <w:tcW w:w="999" w:type="pct"/>
            <w:hideMark/>
          </w:tcPr>
          <w:p w:rsidR="00D0698C" w:rsidRPr="0041458F" w:rsidRDefault="00D0698C" w:rsidP="0017008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1458F">
              <w:rPr>
                <w:rFonts w:ascii="Arial" w:hAnsi="Arial" w:cs="Arial"/>
                <w:sz w:val="20"/>
                <w:szCs w:val="20"/>
              </w:rPr>
              <w:t>12370</w:t>
            </w:r>
          </w:p>
        </w:tc>
        <w:tc>
          <w:tcPr>
            <w:tcW w:w="999" w:type="pct"/>
            <w:hideMark/>
          </w:tcPr>
          <w:p w:rsidR="00D0698C" w:rsidRPr="0041458F" w:rsidRDefault="00D0698C" w:rsidP="0017008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fr-FR" w:eastAsia="fr-FR"/>
              </w:rPr>
            </w:pPr>
            <w:r w:rsidRPr="0041458F">
              <w:rPr>
                <w:rFonts w:ascii="Arial" w:hAnsi="Arial" w:cs="Arial"/>
                <w:sz w:val="20"/>
                <w:szCs w:val="20"/>
              </w:rPr>
              <w:t>49480</w:t>
            </w:r>
          </w:p>
        </w:tc>
      </w:tr>
    </w:tbl>
    <w:p w:rsidR="00D0698C" w:rsidRPr="0041458F" w:rsidRDefault="00D0698C" w:rsidP="00D0698C">
      <w:pPr>
        <w:rPr>
          <w:rFonts w:ascii="Arial" w:hAnsi="Arial" w:cs="Arial"/>
          <w:sz w:val="20"/>
          <w:szCs w:val="20"/>
        </w:rPr>
      </w:pPr>
    </w:p>
    <w:p w:rsidR="00D0698C" w:rsidRPr="00F368A3" w:rsidRDefault="00D0698C" w:rsidP="00D0698C">
      <w:pPr>
        <w:pStyle w:val="Observation"/>
        <w:numPr>
          <w:ilvl w:val="0"/>
          <w:numId w:val="27"/>
        </w:numPr>
        <w:tabs>
          <w:tab w:val="left" w:pos="1701"/>
        </w:tabs>
        <w:spacing w:after="200" w:line="276" w:lineRule="auto"/>
        <w:ind w:left="1701" w:hanging="1701"/>
        <w:jc w:val="left"/>
        <w:rPr>
          <w:sz w:val="20"/>
          <w:szCs w:val="20"/>
        </w:rPr>
      </w:pPr>
      <w:r w:rsidRPr="0041458F">
        <w:rPr>
          <w:sz w:val="20"/>
          <w:szCs w:val="20"/>
        </w:rPr>
        <w:t>Deploying multi-beam cell and using beam management will not be applicable to all NTN deployment scenarios</w:t>
      </w:r>
    </w:p>
    <w:p w:rsidR="00D0698C" w:rsidRPr="0041458F" w:rsidRDefault="00D0698C" w:rsidP="00D0698C">
      <w:pPr>
        <w:pStyle w:val="Titre2"/>
        <w:keepLines/>
        <w:tabs>
          <w:tab w:val="clear" w:pos="576"/>
        </w:tabs>
        <w:autoSpaceDE/>
        <w:autoSpaceDN/>
        <w:adjustRightInd/>
        <w:snapToGrid/>
        <w:spacing w:before="200" w:after="240" w:line="276" w:lineRule="auto"/>
        <w:jc w:val="left"/>
      </w:pPr>
      <w:r w:rsidRPr="0041458F">
        <w:t>Flexible Frequency Reuse based on Bandwidth Part</w:t>
      </w:r>
    </w:p>
    <w:p w:rsidR="00D0698C" w:rsidRPr="0041458F" w:rsidRDefault="00D0698C" w:rsidP="00D0698C">
      <w:pPr>
        <w:rPr>
          <w:rFonts w:ascii="Arial" w:eastAsia="PMingLiU" w:hAnsi="Arial" w:cs="Arial"/>
          <w:sz w:val="20"/>
          <w:szCs w:val="20"/>
          <w:lang w:eastAsia="zh-TW"/>
        </w:rPr>
      </w:pPr>
      <w:r w:rsidRPr="0041458F">
        <w:rPr>
          <w:rFonts w:ascii="Arial" w:eastAsia="PMingLiU" w:hAnsi="Arial" w:cs="Arial"/>
          <w:sz w:val="20"/>
          <w:szCs w:val="20"/>
          <w:lang w:eastAsia="zh-TW"/>
        </w:rPr>
        <w:t>For a Flexible Frequency Reuse, a beam-specific BWP (BBWP) can be configured. The objective is to replace the component carrier (CC) which is not as flexible as a BWP is. The same component carrier  is used on all cells but each beam will be assigned a beam-specific BWP. The inter-beam interference mitigation will be based on  BBWP following a frequency reuse scheme.</w:t>
      </w:r>
      <w:r>
        <w:rPr>
          <w:rFonts w:ascii="Arial" w:eastAsia="PMingLiU" w:hAnsi="Arial" w:cs="Arial"/>
          <w:sz w:val="20"/>
          <w:szCs w:val="20"/>
          <w:lang w:eastAsia="zh-TW"/>
        </w:rPr>
        <w:t xml:space="preserve"> The Figure 20</w:t>
      </w:r>
      <w:r w:rsidRPr="0041458F">
        <w:rPr>
          <w:rFonts w:ascii="Arial" w:eastAsia="PMingLiU" w:hAnsi="Arial" w:cs="Arial"/>
          <w:sz w:val="20"/>
          <w:szCs w:val="20"/>
          <w:lang w:eastAsia="zh-TW"/>
        </w:rPr>
        <w:t xml:space="preserve"> shows a flexible frequency reuse based on BBWP reuse. In the proposed solution, the multi-beam cell (option 3) and beam management are assumed. But, as discussed in 4.4.3, deploying multi-beam cell and using beam management will not be applicable to all NTN deployment scenarios.</w:t>
      </w:r>
    </w:p>
    <w:p w:rsidR="00D0698C" w:rsidRPr="0041458F" w:rsidRDefault="00D0698C" w:rsidP="00D0698C">
      <w:pPr>
        <w:rPr>
          <w:rFonts w:ascii="Arial" w:eastAsia="PMingLiU" w:hAnsi="Arial" w:cs="Arial"/>
          <w:sz w:val="20"/>
          <w:szCs w:val="20"/>
          <w:lang w:eastAsia="zh-TW"/>
        </w:rPr>
      </w:pPr>
      <w:r w:rsidRPr="0041458F">
        <w:rPr>
          <w:rFonts w:ascii="Arial" w:eastAsia="PMingLiU" w:hAnsi="Arial" w:cs="Arial"/>
          <w:sz w:val="20"/>
          <w:szCs w:val="20"/>
          <w:lang w:eastAsia="zh-TW"/>
        </w:rPr>
        <w:t>Basically, Bandwidth parts (BWP) are used to optimize UE operations in frequency domain, whereas the BBWP will be used to support flexible frequency reuse. The beam-specific BWP (BBWP) similar to UE’s dedicated BWPs should be configured independently (from UE’s dedicated BWPs) by network via dedicated RRC signalling. For the configuration of BBWP</w:t>
      </w:r>
      <w:r>
        <w:rPr>
          <w:rFonts w:ascii="Arial" w:eastAsia="PMingLiU" w:hAnsi="Arial" w:cs="Arial"/>
          <w:sz w:val="20"/>
          <w:szCs w:val="20"/>
          <w:lang w:eastAsia="zh-TW"/>
        </w:rPr>
        <w:t>,</w:t>
      </w:r>
      <w:r w:rsidRPr="0041458F">
        <w:rPr>
          <w:rFonts w:ascii="Arial" w:eastAsia="PMingLiU" w:hAnsi="Arial" w:cs="Arial"/>
          <w:sz w:val="20"/>
          <w:szCs w:val="20"/>
          <w:lang w:eastAsia="zh-TW"/>
        </w:rPr>
        <w:t xml:space="preserve"> the same configuration parameters will be used: starting position, size and the subcarrier spacing. But we need to add an indication of the associated beam: a beam-index (CSI-RS associated with the beam).</w:t>
      </w:r>
    </w:p>
    <w:p w:rsidR="00D0698C" w:rsidRPr="0041458F" w:rsidRDefault="00D0698C" w:rsidP="00D0698C">
      <w:pPr>
        <w:rPr>
          <w:rFonts w:ascii="Arial" w:eastAsia="PMingLiU" w:hAnsi="Arial" w:cs="Arial"/>
          <w:sz w:val="20"/>
          <w:szCs w:val="20"/>
          <w:lang w:eastAsia="zh-TW"/>
        </w:rPr>
      </w:pPr>
      <w:r w:rsidRPr="0041458F">
        <w:rPr>
          <w:rFonts w:ascii="Arial" w:eastAsia="PMingLiU" w:hAnsi="Arial" w:cs="Arial"/>
          <w:sz w:val="20"/>
          <w:szCs w:val="20"/>
          <w:lang w:eastAsia="zh-TW"/>
        </w:rPr>
        <w:t>When a flexible frequency reuse based on BBWP is to be deployed, an a-priori BBWP planning can be used to allocate the BWP to each beam. Or a dynamic allocation can be performed by the gNB to configure beam-specific BWP based on the traffic distribution between the beams within the cell. Interference coordination may</w:t>
      </w:r>
      <w:r w:rsidR="00DA64CD">
        <w:rPr>
          <w:rFonts w:ascii="Arial" w:eastAsia="PMingLiU" w:hAnsi="Arial" w:cs="Arial"/>
          <w:sz w:val="20"/>
          <w:szCs w:val="20"/>
          <w:lang w:eastAsia="zh-TW"/>
        </w:rPr>
        <w:t xml:space="preserve"> </w:t>
      </w:r>
      <w:r>
        <w:rPr>
          <w:rFonts w:ascii="Arial" w:eastAsia="PMingLiU" w:hAnsi="Arial" w:cs="Arial"/>
          <w:sz w:val="20"/>
          <w:szCs w:val="20"/>
          <w:lang w:eastAsia="zh-TW"/>
        </w:rPr>
        <w:t xml:space="preserve">be required between the </w:t>
      </w:r>
      <w:proofErr w:type="spellStart"/>
      <w:r>
        <w:rPr>
          <w:rFonts w:ascii="Arial" w:eastAsia="PMingLiU" w:hAnsi="Arial" w:cs="Arial"/>
          <w:sz w:val="20"/>
          <w:szCs w:val="20"/>
          <w:lang w:eastAsia="zh-TW"/>
        </w:rPr>
        <w:t>gNodeBs</w:t>
      </w:r>
      <w:proofErr w:type="spellEnd"/>
    </w:p>
    <w:p w:rsidR="00D0698C" w:rsidRPr="0041458F" w:rsidRDefault="00D0698C" w:rsidP="00D0698C">
      <w:pPr>
        <w:pStyle w:val="Observation"/>
        <w:numPr>
          <w:ilvl w:val="0"/>
          <w:numId w:val="27"/>
        </w:numPr>
        <w:tabs>
          <w:tab w:val="left" w:pos="1701"/>
        </w:tabs>
        <w:spacing w:after="200" w:line="276" w:lineRule="auto"/>
        <w:ind w:left="1701" w:hanging="1701"/>
        <w:jc w:val="left"/>
        <w:rPr>
          <w:sz w:val="20"/>
          <w:szCs w:val="20"/>
        </w:rPr>
      </w:pPr>
      <w:r w:rsidRPr="0041458F">
        <w:rPr>
          <w:sz w:val="20"/>
          <w:szCs w:val="20"/>
        </w:rPr>
        <w:t>In the proposed solution, an a-priori BBWP planning can be used to allocate the BWP to each beam. Or a dynamic allocation can be performed by the gNB to configure beam-specific BWP based on the traffic distribution between the beams within the cell</w:t>
      </w:r>
    </w:p>
    <w:p w:rsidR="00D0698C" w:rsidRPr="0041458F" w:rsidRDefault="00D0698C" w:rsidP="00D0698C">
      <w:pPr>
        <w:rPr>
          <w:rFonts w:ascii="Arial" w:hAnsi="Arial" w:cs="Arial"/>
          <w:sz w:val="20"/>
          <w:szCs w:val="20"/>
        </w:rPr>
      </w:pPr>
    </w:p>
    <w:p w:rsidR="00883208" w:rsidRDefault="00D0698C" w:rsidP="00883208">
      <w:pPr>
        <w:keepNext/>
        <w:jc w:val="center"/>
      </w:pPr>
      <w:r w:rsidRPr="0041458F">
        <w:rPr>
          <w:rFonts w:ascii="Arial" w:eastAsia="PMingLiU" w:hAnsi="Arial" w:cs="Arial"/>
          <w:noProof/>
          <w:sz w:val="20"/>
          <w:szCs w:val="20"/>
          <w:lang w:val="fr-FR" w:eastAsia="fr-FR"/>
        </w:rPr>
        <w:drawing>
          <wp:inline distT="0" distB="0" distL="0" distR="0" wp14:anchorId="0E74D216" wp14:editId="32AC4CC4">
            <wp:extent cx="2203200" cy="2181600"/>
            <wp:effectExtent l="0" t="0" r="6985" b="0"/>
            <wp:docPr id="295" name="Imag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03200" cy="2181600"/>
                    </a:xfrm>
                    <a:prstGeom prst="rect">
                      <a:avLst/>
                    </a:prstGeom>
                    <a:noFill/>
                  </pic:spPr>
                </pic:pic>
              </a:graphicData>
            </a:graphic>
          </wp:inline>
        </w:drawing>
      </w:r>
    </w:p>
    <w:p w:rsidR="00D0698C" w:rsidRPr="0041458F" w:rsidRDefault="00883208" w:rsidP="00883208">
      <w:pPr>
        <w:pStyle w:val="Lgende"/>
        <w:rPr>
          <w:rFonts w:ascii="Arial" w:hAnsi="Arial" w:cs="Arial"/>
        </w:rPr>
      </w:pPr>
      <w:r>
        <w:t xml:space="preserve">Figure </w:t>
      </w:r>
      <w:r w:rsidR="004063B3">
        <w:fldChar w:fldCharType="begin"/>
      </w:r>
      <w:r w:rsidR="004063B3">
        <w:instrText xml:space="preserve"> SEQ Figure \* ARABIC </w:instrText>
      </w:r>
      <w:r w:rsidR="004063B3">
        <w:fldChar w:fldCharType="separate"/>
      </w:r>
      <w:r w:rsidR="00212F20">
        <w:rPr>
          <w:noProof/>
        </w:rPr>
        <w:t>7</w:t>
      </w:r>
      <w:r w:rsidR="004063B3">
        <w:rPr>
          <w:noProof/>
        </w:rPr>
        <w:fldChar w:fldCharType="end"/>
      </w:r>
      <w:r>
        <w:t xml:space="preserve"> </w:t>
      </w:r>
      <w:r w:rsidRPr="000E05EB">
        <w:t>Flexible Frequency Reuse using BWP</w:t>
      </w:r>
    </w:p>
    <w:p w:rsidR="00D0698C" w:rsidRPr="0041458F" w:rsidRDefault="00D0698C" w:rsidP="00D0698C">
      <w:pPr>
        <w:rPr>
          <w:rFonts w:ascii="Arial" w:eastAsia="PMingLiU" w:hAnsi="Arial" w:cs="Arial"/>
          <w:sz w:val="20"/>
          <w:szCs w:val="20"/>
          <w:lang w:eastAsia="zh-TW"/>
        </w:rPr>
      </w:pPr>
      <w:r w:rsidRPr="0041458F">
        <w:rPr>
          <w:rFonts w:ascii="Arial" w:eastAsia="PMingLiU" w:hAnsi="Arial" w:cs="Arial"/>
          <w:sz w:val="20"/>
          <w:szCs w:val="20"/>
          <w:lang w:eastAsia="zh-TW"/>
        </w:rPr>
        <w:t>To support beam-specific BWP, the Release-15/16 BWP operation is to be considered as baseline for 5G NTN. Nevertheless, some enhancements are needed. The required enhancements and their justifications are as follow</w:t>
      </w:r>
      <w:r w:rsidR="008B0EE6">
        <w:rPr>
          <w:rFonts w:ascii="Arial" w:eastAsia="PMingLiU" w:hAnsi="Arial" w:cs="Arial"/>
          <w:sz w:val="20"/>
          <w:szCs w:val="20"/>
          <w:lang w:eastAsia="zh-TW"/>
        </w:rPr>
        <w:t>s</w:t>
      </w:r>
      <w:r w:rsidRPr="0041458F">
        <w:rPr>
          <w:rFonts w:ascii="Arial" w:eastAsia="PMingLiU" w:hAnsi="Arial" w:cs="Arial"/>
          <w:sz w:val="20"/>
          <w:szCs w:val="20"/>
          <w:lang w:eastAsia="zh-TW"/>
        </w:rPr>
        <w:t>:</w:t>
      </w:r>
    </w:p>
    <w:p w:rsidR="00D0698C" w:rsidRPr="00F368A3" w:rsidRDefault="00D0698C" w:rsidP="00D0698C">
      <w:pPr>
        <w:pStyle w:val="Paragraphedeliste"/>
        <w:numPr>
          <w:ilvl w:val="0"/>
          <w:numId w:val="30"/>
        </w:numPr>
        <w:suppressAutoHyphens/>
        <w:overflowPunct w:val="0"/>
        <w:spacing w:after="120" w:line="276" w:lineRule="auto"/>
        <w:contextualSpacing/>
        <w:textAlignment w:val="baseline"/>
        <w:rPr>
          <w:rFonts w:ascii="Arial" w:eastAsia="PMingLiU" w:hAnsi="Arial" w:cs="Arial"/>
          <w:sz w:val="20"/>
          <w:szCs w:val="20"/>
          <w:lang w:eastAsia="zh-TW"/>
        </w:rPr>
      </w:pPr>
      <w:r w:rsidRPr="0041458F">
        <w:rPr>
          <w:rFonts w:ascii="Arial" w:eastAsia="PMingLiU" w:hAnsi="Arial" w:cs="Arial"/>
          <w:sz w:val="20"/>
          <w:szCs w:val="20"/>
          <w:lang w:eastAsia="zh-TW"/>
        </w:rPr>
        <w:t>The new BBWP should be introduced on top of existing UE specific BWP. Indeed, the main usage of the BWP as per Release 15, is to restrict the bandwidth according to UE capabilities, optimize UE operations in frequency domain and dynamically reduce or increase bandwidth according to traffic amount so as to optimize UE power consumption. All these usages of Rel.15 BWP are still valid and we should be able to have the same usage of BWP as before.</w:t>
      </w:r>
    </w:p>
    <w:p w:rsidR="00D0698C" w:rsidRPr="00F368A3" w:rsidRDefault="00D0698C" w:rsidP="00D0698C">
      <w:pPr>
        <w:pStyle w:val="Paragraphedeliste"/>
        <w:numPr>
          <w:ilvl w:val="0"/>
          <w:numId w:val="30"/>
        </w:numPr>
        <w:suppressAutoHyphens/>
        <w:overflowPunct w:val="0"/>
        <w:spacing w:after="120" w:line="276" w:lineRule="auto"/>
        <w:contextualSpacing/>
        <w:textAlignment w:val="baseline"/>
        <w:rPr>
          <w:rFonts w:ascii="Arial" w:eastAsia="PMingLiU" w:hAnsi="Arial" w:cs="Arial"/>
          <w:sz w:val="20"/>
          <w:szCs w:val="20"/>
          <w:lang w:eastAsia="zh-TW"/>
        </w:rPr>
      </w:pPr>
      <w:r w:rsidRPr="0041458F">
        <w:rPr>
          <w:rFonts w:ascii="Arial" w:eastAsia="PMingLiU" w:hAnsi="Arial" w:cs="Arial"/>
          <w:sz w:val="20"/>
          <w:szCs w:val="20"/>
          <w:lang w:eastAsia="zh-TW"/>
        </w:rPr>
        <w:t xml:space="preserve">The UE should be configured with as many BBWP as the number of beams within the cell. But, in the current specification, a UE can be configured with up to four bandwidth parts in the downlink and up to four bandwidth parts in the uplink. Therefore, the maximum number of </w:t>
      </w:r>
      <w:r w:rsidRPr="0041458F">
        <w:rPr>
          <w:rFonts w:ascii="Arial" w:eastAsia="PMingLiU" w:hAnsi="Arial" w:cs="Arial"/>
          <w:sz w:val="20"/>
          <w:szCs w:val="20"/>
          <w:lang w:eastAsia="zh-TW"/>
        </w:rPr>
        <w:lastRenderedPageBreak/>
        <w:t xml:space="preserve">BBWP an NTN UE can be configured with should be </w:t>
      </w:r>
      <w:r>
        <w:rPr>
          <w:rFonts w:ascii="Arial" w:eastAsia="PMingLiU" w:hAnsi="Arial" w:cs="Arial"/>
          <w:sz w:val="20"/>
          <w:szCs w:val="20"/>
          <w:lang w:eastAsia="zh-TW"/>
        </w:rPr>
        <w:t>only limited by the number of the beams within the cell.</w:t>
      </w:r>
    </w:p>
    <w:p w:rsidR="00D0698C" w:rsidRPr="00F368A3" w:rsidRDefault="00D0698C" w:rsidP="00D0698C">
      <w:pPr>
        <w:pStyle w:val="Paragraphedeliste"/>
        <w:numPr>
          <w:ilvl w:val="0"/>
          <w:numId w:val="30"/>
        </w:numPr>
        <w:suppressAutoHyphens/>
        <w:overflowPunct w:val="0"/>
        <w:spacing w:after="120" w:line="276" w:lineRule="auto"/>
        <w:contextualSpacing/>
        <w:textAlignment w:val="baseline"/>
        <w:rPr>
          <w:rFonts w:ascii="Arial" w:eastAsia="PMingLiU" w:hAnsi="Arial" w:cs="Arial"/>
          <w:sz w:val="20"/>
          <w:szCs w:val="20"/>
          <w:lang w:eastAsia="zh-TW"/>
        </w:rPr>
      </w:pPr>
      <w:r w:rsidRPr="0041458F">
        <w:rPr>
          <w:rFonts w:ascii="Arial" w:eastAsia="PMingLiU" w:hAnsi="Arial" w:cs="Arial"/>
          <w:sz w:val="20"/>
          <w:szCs w:val="20"/>
          <w:lang w:eastAsia="zh-TW"/>
        </w:rPr>
        <w:t>The UE is not expected to receive CSI-RS outside an active bandwidth part. If BBWP operation is introduced, the UE should be able to perform inter-beam measurements outside its active BWP</w:t>
      </w:r>
    </w:p>
    <w:p w:rsidR="00D0698C" w:rsidRPr="00076C4F" w:rsidRDefault="00D0698C" w:rsidP="00D0698C">
      <w:pPr>
        <w:pStyle w:val="Paragraphedeliste"/>
        <w:numPr>
          <w:ilvl w:val="0"/>
          <w:numId w:val="30"/>
        </w:numPr>
        <w:spacing w:after="200" w:line="276" w:lineRule="auto"/>
        <w:contextualSpacing/>
        <w:rPr>
          <w:rFonts w:ascii="Arial" w:eastAsia="PMingLiU" w:hAnsi="Arial" w:cs="Arial"/>
          <w:sz w:val="20"/>
          <w:szCs w:val="20"/>
          <w:lang w:val="en-GB" w:eastAsia="zh-TW"/>
        </w:rPr>
      </w:pPr>
      <w:r w:rsidRPr="00076C4F">
        <w:rPr>
          <w:rFonts w:ascii="Arial" w:eastAsia="PMingLiU" w:hAnsi="Arial" w:cs="Arial"/>
          <w:sz w:val="20"/>
          <w:szCs w:val="20"/>
          <w:lang w:eastAsia="zh-TW"/>
        </w:rPr>
        <w:t xml:space="preserve">CSI-RS based inter-beam measurement is to be supported in the same manner as the existing CSI-RS based inter-frequency measurement, </w:t>
      </w:r>
      <w:r w:rsidRPr="00076C4F">
        <w:rPr>
          <w:rFonts w:ascii="Arial" w:eastAsia="PMingLiU" w:hAnsi="Arial" w:cs="Arial"/>
          <w:sz w:val="20"/>
          <w:szCs w:val="20"/>
          <w:lang w:val="en-GB" w:eastAsia="zh-TW"/>
        </w:rPr>
        <w:t>provided the bandwidth of the CSI-RS resource on the neighbour beam configured for measurement is not within the bandwidth of the CSI-RS resource on the serving beam configured for measurement, or the subcarrier spacing of the two CSI-RS resources is different. The UE cannot be assumed to be able to carry out such measurements without measurement gaps. a measurement gap-assisted configuration is to be provided</w:t>
      </w:r>
    </w:p>
    <w:p w:rsidR="00D0698C" w:rsidRPr="00F368A3" w:rsidRDefault="00D0698C" w:rsidP="00D0698C">
      <w:pPr>
        <w:pStyle w:val="Paragraphedeliste"/>
        <w:numPr>
          <w:ilvl w:val="0"/>
          <w:numId w:val="30"/>
        </w:numPr>
        <w:suppressAutoHyphens/>
        <w:overflowPunct w:val="0"/>
        <w:spacing w:after="120" w:line="276" w:lineRule="auto"/>
        <w:contextualSpacing/>
        <w:textAlignment w:val="baseline"/>
        <w:rPr>
          <w:rFonts w:ascii="Arial" w:eastAsia="PMingLiU" w:hAnsi="Arial" w:cs="Arial"/>
          <w:sz w:val="20"/>
          <w:szCs w:val="20"/>
          <w:lang w:eastAsia="zh-TW"/>
        </w:rPr>
      </w:pPr>
      <w:r w:rsidRPr="0041458F">
        <w:rPr>
          <w:rFonts w:ascii="Arial" w:eastAsia="PMingLiU" w:hAnsi="Arial" w:cs="Arial"/>
          <w:sz w:val="20"/>
          <w:szCs w:val="20"/>
          <w:lang w:eastAsia="zh-TW"/>
        </w:rPr>
        <w:t>For BBWP, Beam Level Mobility can only be performed based on CSI-RS.</w:t>
      </w:r>
    </w:p>
    <w:p w:rsidR="00D0698C" w:rsidRPr="00F368A3" w:rsidRDefault="00D0698C" w:rsidP="00D0698C">
      <w:pPr>
        <w:pStyle w:val="Proposal"/>
        <w:numPr>
          <w:ilvl w:val="0"/>
          <w:numId w:val="26"/>
        </w:numPr>
        <w:tabs>
          <w:tab w:val="clear" w:pos="1304"/>
          <w:tab w:val="left" w:pos="1701"/>
        </w:tabs>
        <w:spacing w:after="200" w:line="276" w:lineRule="auto"/>
        <w:ind w:left="1701" w:hanging="1701"/>
        <w:jc w:val="left"/>
        <w:rPr>
          <w:sz w:val="20"/>
          <w:szCs w:val="20"/>
        </w:rPr>
      </w:pPr>
      <w:r w:rsidRPr="0041458F">
        <w:rPr>
          <w:sz w:val="20"/>
          <w:szCs w:val="20"/>
        </w:rPr>
        <w:t>The new beam-specific BWP (BBWP) concept should be introduced on top of existing UE specific BWP</w:t>
      </w:r>
    </w:p>
    <w:p w:rsidR="00D0698C" w:rsidRPr="0041458F" w:rsidRDefault="00D0698C" w:rsidP="00D0698C">
      <w:pPr>
        <w:pStyle w:val="Proposal"/>
        <w:numPr>
          <w:ilvl w:val="0"/>
          <w:numId w:val="26"/>
        </w:numPr>
        <w:tabs>
          <w:tab w:val="clear" w:pos="1304"/>
          <w:tab w:val="left" w:pos="1701"/>
        </w:tabs>
        <w:spacing w:after="200" w:line="276" w:lineRule="auto"/>
        <w:ind w:left="1701" w:hanging="1701"/>
        <w:jc w:val="left"/>
        <w:rPr>
          <w:sz w:val="20"/>
          <w:szCs w:val="20"/>
        </w:rPr>
      </w:pPr>
      <w:r w:rsidRPr="0041458F">
        <w:rPr>
          <w:sz w:val="20"/>
          <w:szCs w:val="20"/>
        </w:rPr>
        <w:t xml:space="preserve">The new beam-specific BWP (BBWP) should reuse Release-15/16 BWP operation procedures with the enhancements provided in this TDOC  </w:t>
      </w:r>
    </w:p>
    <w:p w:rsidR="00D0698C" w:rsidRPr="00712658" w:rsidRDefault="00D0698C" w:rsidP="00D0698C">
      <w:pPr>
        <w:pStyle w:val="Paragraphedeliste"/>
        <w:numPr>
          <w:ilvl w:val="0"/>
          <w:numId w:val="33"/>
        </w:numPr>
        <w:spacing w:after="200" w:line="276" w:lineRule="auto"/>
        <w:contextualSpacing/>
        <w:rPr>
          <w:rFonts w:ascii="Arial" w:eastAsia="PMingLiU" w:hAnsi="Arial" w:cs="Arial"/>
          <w:sz w:val="20"/>
          <w:szCs w:val="20"/>
          <w:lang w:eastAsia="zh-TW"/>
        </w:rPr>
      </w:pPr>
      <w:r w:rsidRPr="00076C4F">
        <w:rPr>
          <w:rFonts w:ascii="Arial" w:eastAsia="PMingLiU" w:hAnsi="Arial" w:cs="Arial"/>
          <w:sz w:val="20"/>
          <w:szCs w:val="20"/>
          <w:lang w:eastAsia="zh-TW"/>
        </w:rPr>
        <w:t xml:space="preserve">Regarding BBWP Operation: In the current specifications, initial-active DL BWP #0, </w:t>
      </w:r>
      <w:r w:rsidR="00631471">
        <w:rPr>
          <w:rFonts w:ascii="Arial" w:eastAsia="PMingLiU" w:hAnsi="Arial" w:cs="Arial"/>
          <w:sz w:val="20"/>
          <w:szCs w:val="20"/>
          <w:lang w:eastAsia="zh-TW"/>
        </w:rPr>
        <w:t xml:space="preserve">is </w:t>
      </w:r>
      <w:r w:rsidRPr="00076C4F">
        <w:rPr>
          <w:rFonts w:ascii="Arial" w:eastAsia="PMingLiU" w:hAnsi="Arial" w:cs="Arial"/>
          <w:sz w:val="20"/>
          <w:szCs w:val="20"/>
          <w:lang w:eastAsia="zh-TW"/>
        </w:rPr>
        <w:t xml:space="preserve">defined by span of CORESET#0 configured by MIB (or dedicated RRC) for scheduling of SIBs. Supported sizes </w:t>
      </w:r>
      <w:r w:rsidR="00631471">
        <w:rPr>
          <w:rFonts w:ascii="Arial" w:eastAsia="PMingLiU" w:hAnsi="Arial" w:cs="Arial"/>
          <w:sz w:val="20"/>
          <w:szCs w:val="20"/>
          <w:lang w:eastAsia="zh-TW"/>
        </w:rPr>
        <w:t xml:space="preserve">of </w:t>
      </w:r>
      <w:r w:rsidR="00631471" w:rsidRPr="00076C4F">
        <w:rPr>
          <w:rFonts w:ascii="Arial" w:eastAsia="PMingLiU" w:hAnsi="Arial" w:cs="Arial"/>
          <w:sz w:val="20"/>
          <w:szCs w:val="20"/>
          <w:lang w:eastAsia="zh-TW"/>
        </w:rPr>
        <w:t xml:space="preserve">initial-active DL BWP </w:t>
      </w:r>
      <w:r w:rsidRPr="00076C4F">
        <w:rPr>
          <w:rFonts w:ascii="Arial" w:eastAsia="PMingLiU" w:hAnsi="Arial" w:cs="Arial"/>
          <w:sz w:val="20"/>
          <w:szCs w:val="20"/>
          <w:lang w:eastAsia="zh-TW"/>
        </w:rPr>
        <w:t xml:space="preserve">are only 24,48,96 RB. Initial-active UL BWP #0: </w:t>
      </w:r>
      <w:r w:rsidR="00631471">
        <w:rPr>
          <w:rFonts w:ascii="Arial" w:eastAsia="PMingLiU" w:hAnsi="Arial" w:cs="Arial"/>
          <w:sz w:val="20"/>
          <w:szCs w:val="20"/>
          <w:lang w:eastAsia="zh-TW"/>
        </w:rPr>
        <w:t>is c</w:t>
      </w:r>
      <w:r w:rsidRPr="00076C4F">
        <w:rPr>
          <w:rFonts w:ascii="Arial" w:eastAsia="PMingLiU" w:hAnsi="Arial" w:cs="Arial"/>
          <w:sz w:val="20"/>
          <w:szCs w:val="20"/>
          <w:lang w:eastAsia="zh-TW"/>
        </w:rPr>
        <w:t>onfigured by SIB1 for random access procedure.</w:t>
      </w:r>
      <w:r>
        <w:rPr>
          <w:rFonts w:ascii="Arial" w:eastAsia="PMingLiU" w:hAnsi="Arial" w:cs="Arial"/>
          <w:sz w:val="20"/>
          <w:szCs w:val="20"/>
          <w:lang w:eastAsia="zh-TW"/>
        </w:rPr>
        <w:t xml:space="preserve"> </w:t>
      </w:r>
      <w:r w:rsidRPr="00712658">
        <w:rPr>
          <w:rFonts w:ascii="Arial" w:eastAsia="PMingLiU" w:hAnsi="Arial" w:cs="Arial"/>
          <w:sz w:val="20"/>
          <w:szCs w:val="20"/>
          <w:lang w:eastAsia="zh-TW"/>
        </w:rPr>
        <w:t xml:space="preserve">Initial BWP is compatible with all UE categories and can be used by any UE within the cell before it is reconfigured with BBWP associated to the beam in which the UE is located. Therefore, the size of the common Initial-active BWP should be designed carefully to avoid any congestion and blocking within the cell.  </w:t>
      </w:r>
    </w:p>
    <w:p w:rsidR="00D0698C" w:rsidRPr="00F368A3" w:rsidRDefault="00D0698C" w:rsidP="00D0698C">
      <w:pPr>
        <w:pStyle w:val="Observation"/>
        <w:numPr>
          <w:ilvl w:val="0"/>
          <w:numId w:val="27"/>
        </w:numPr>
        <w:tabs>
          <w:tab w:val="left" w:pos="1701"/>
        </w:tabs>
        <w:spacing w:after="200" w:line="276" w:lineRule="auto"/>
        <w:ind w:left="1701" w:hanging="1701"/>
        <w:jc w:val="left"/>
        <w:rPr>
          <w:sz w:val="20"/>
        </w:rPr>
      </w:pPr>
      <w:r w:rsidRPr="00F368A3">
        <w:rPr>
          <w:sz w:val="20"/>
        </w:rPr>
        <w:t xml:space="preserve">The size of the common Initial-active BWP should be defined carefully to avoid any congestion and blocking within the cell   </w:t>
      </w:r>
    </w:p>
    <w:p w:rsidR="00D0698C" w:rsidRPr="00921511" w:rsidRDefault="00D0698C" w:rsidP="00D0698C">
      <w:pPr>
        <w:pStyle w:val="Paragraphedeliste"/>
        <w:numPr>
          <w:ilvl w:val="0"/>
          <w:numId w:val="31"/>
        </w:numPr>
        <w:suppressAutoHyphens/>
        <w:overflowPunct w:val="0"/>
        <w:spacing w:after="120" w:line="276" w:lineRule="auto"/>
        <w:contextualSpacing/>
        <w:textAlignment w:val="baseline"/>
        <w:rPr>
          <w:rFonts w:ascii="Arial" w:eastAsia="PMingLiU" w:hAnsi="Arial" w:cs="Arial"/>
          <w:sz w:val="20"/>
          <w:szCs w:val="20"/>
          <w:lang w:eastAsia="zh-TW"/>
        </w:rPr>
      </w:pPr>
      <w:r w:rsidRPr="0041458F">
        <w:rPr>
          <w:rFonts w:ascii="Arial" w:eastAsia="PMingLiU" w:hAnsi="Arial" w:cs="Arial"/>
          <w:sz w:val="20"/>
          <w:szCs w:val="20"/>
          <w:lang w:eastAsia="zh-TW"/>
        </w:rPr>
        <w:t xml:space="preserve">In Connected state, </w:t>
      </w:r>
      <w:r>
        <w:rPr>
          <w:rFonts w:ascii="Arial" w:eastAsia="PMingLiU" w:hAnsi="Arial" w:cs="Arial"/>
          <w:sz w:val="20"/>
          <w:szCs w:val="20"/>
          <w:lang w:eastAsia="zh-TW"/>
        </w:rPr>
        <w:t>BWP adaptation/</w:t>
      </w:r>
      <w:r w:rsidRPr="00C42D4C">
        <w:rPr>
          <w:rFonts w:ascii="Arial" w:eastAsia="PMingLiU" w:hAnsi="Arial" w:cs="Arial"/>
          <w:sz w:val="20"/>
          <w:szCs w:val="20"/>
          <w:lang w:eastAsia="zh-TW"/>
        </w:rPr>
        <w:t>switching</w:t>
      </w:r>
      <w:r>
        <w:rPr>
          <w:rFonts w:ascii="Arial" w:eastAsia="PMingLiU" w:hAnsi="Arial" w:cs="Arial"/>
          <w:sz w:val="20"/>
          <w:szCs w:val="20"/>
          <w:lang w:eastAsia="zh-TW"/>
        </w:rPr>
        <w:t xml:space="preserve"> is based on the </w:t>
      </w:r>
      <w:r w:rsidRPr="00C42D4C">
        <w:rPr>
          <w:rFonts w:ascii="Arial" w:eastAsia="PMingLiU" w:hAnsi="Arial" w:cs="Arial"/>
          <w:sz w:val="20"/>
          <w:szCs w:val="20"/>
          <w:lang w:eastAsia="zh-TW"/>
        </w:rPr>
        <w:t>Bandwidth part indicator</w:t>
      </w:r>
      <w:r>
        <w:rPr>
          <w:rFonts w:ascii="Arial" w:eastAsia="PMingLiU" w:hAnsi="Arial" w:cs="Arial"/>
          <w:sz w:val="20"/>
          <w:szCs w:val="20"/>
          <w:lang w:eastAsia="zh-TW"/>
        </w:rPr>
        <w:t xml:space="preserve"> in the DCI.  </w:t>
      </w:r>
      <w:r w:rsidRPr="0041458F">
        <w:rPr>
          <w:rFonts w:ascii="Arial" w:eastAsia="PMingLiU" w:hAnsi="Arial" w:cs="Arial"/>
          <w:sz w:val="20"/>
          <w:szCs w:val="20"/>
          <w:lang w:eastAsia="zh-TW"/>
        </w:rPr>
        <w:t xml:space="preserve">BBWP switching should be handled by beam management indication which relies on gNB controlled means to determine and select used beams. </w:t>
      </w:r>
      <w:r w:rsidRPr="003A051E">
        <w:rPr>
          <w:rFonts w:ascii="Arial" w:eastAsia="PMingLiU" w:hAnsi="Arial" w:cs="Arial"/>
          <w:sz w:val="20"/>
          <w:szCs w:val="20"/>
          <w:lang w:eastAsia="zh-TW"/>
        </w:rPr>
        <w:t xml:space="preserve">BBWP switching </w:t>
      </w:r>
      <w:r>
        <w:rPr>
          <w:rFonts w:ascii="Arial" w:eastAsia="PMingLiU" w:hAnsi="Arial" w:cs="Arial"/>
          <w:sz w:val="20"/>
          <w:szCs w:val="20"/>
          <w:lang w:eastAsia="zh-TW"/>
        </w:rPr>
        <w:t xml:space="preserve">is illustrated on the protocol flow below. </w:t>
      </w:r>
      <w:r w:rsidRPr="0041458F">
        <w:rPr>
          <w:rFonts w:ascii="Arial" w:eastAsia="PMingLiU" w:hAnsi="Arial" w:cs="Arial"/>
          <w:sz w:val="20"/>
          <w:szCs w:val="20"/>
          <w:lang w:eastAsia="zh-TW"/>
        </w:rPr>
        <w:t xml:space="preserve">MAC CE transmission configuration indication can be used to indicate and update serving beam and implicitly the BBWP. </w:t>
      </w:r>
      <w:r w:rsidRPr="00921511">
        <w:rPr>
          <w:rFonts w:ascii="Arial" w:eastAsia="PMingLiU" w:hAnsi="Arial" w:cs="Arial"/>
          <w:sz w:val="20"/>
          <w:szCs w:val="20"/>
          <w:lang w:eastAsia="zh-TW"/>
        </w:rPr>
        <w:t>We do not need to use UE bandwidth part adaptation which use bandwidth part indicator on the DCI, because this should be used only for UE’s dedicated BWPs adaptation as per Release 15/16. We do not need to increase the</w:t>
      </w:r>
      <w:r w:rsidR="00F13464">
        <w:rPr>
          <w:rFonts w:ascii="Arial" w:eastAsia="PMingLiU" w:hAnsi="Arial" w:cs="Arial"/>
          <w:sz w:val="20"/>
          <w:szCs w:val="20"/>
          <w:lang w:eastAsia="zh-TW"/>
        </w:rPr>
        <w:t xml:space="preserve"> maximum </w:t>
      </w:r>
      <w:r w:rsidRPr="00921511">
        <w:rPr>
          <w:rFonts w:ascii="Arial" w:eastAsia="PMingLiU" w:hAnsi="Arial" w:cs="Arial"/>
          <w:sz w:val="20"/>
          <w:szCs w:val="20"/>
          <w:lang w:eastAsia="zh-TW"/>
        </w:rPr>
        <w:t xml:space="preserve"> number of </w:t>
      </w:r>
      <w:r w:rsidR="00F13464">
        <w:rPr>
          <w:rFonts w:ascii="Arial" w:eastAsia="PMingLiU" w:hAnsi="Arial" w:cs="Arial"/>
          <w:sz w:val="20"/>
          <w:szCs w:val="20"/>
          <w:lang w:eastAsia="zh-TW"/>
        </w:rPr>
        <w:t xml:space="preserve">BWP the </w:t>
      </w:r>
      <w:r w:rsidRPr="00921511">
        <w:rPr>
          <w:rFonts w:ascii="Arial" w:eastAsia="PMingLiU" w:hAnsi="Arial" w:cs="Arial"/>
          <w:sz w:val="20"/>
          <w:szCs w:val="20"/>
          <w:lang w:eastAsia="zh-TW"/>
        </w:rPr>
        <w:t xml:space="preserve">UE </w:t>
      </w:r>
      <w:r w:rsidR="00F13464">
        <w:rPr>
          <w:rFonts w:ascii="Arial" w:eastAsia="PMingLiU" w:hAnsi="Arial" w:cs="Arial"/>
          <w:sz w:val="20"/>
          <w:szCs w:val="20"/>
          <w:lang w:eastAsia="zh-TW"/>
        </w:rPr>
        <w:t xml:space="preserve">can be </w:t>
      </w:r>
      <w:r w:rsidRPr="00921511">
        <w:rPr>
          <w:rFonts w:ascii="Arial" w:eastAsia="PMingLiU" w:hAnsi="Arial" w:cs="Arial"/>
          <w:sz w:val="20"/>
          <w:szCs w:val="20"/>
          <w:lang w:eastAsia="zh-TW"/>
        </w:rPr>
        <w:t>configured</w:t>
      </w:r>
      <w:r w:rsidR="00F13464">
        <w:rPr>
          <w:rFonts w:ascii="Arial" w:eastAsia="PMingLiU" w:hAnsi="Arial" w:cs="Arial"/>
          <w:sz w:val="20"/>
          <w:szCs w:val="20"/>
          <w:lang w:eastAsia="zh-TW"/>
        </w:rPr>
        <w:t xml:space="preserve"> with</w:t>
      </w:r>
      <w:r w:rsidRPr="00921511">
        <w:rPr>
          <w:rFonts w:ascii="Arial" w:eastAsia="PMingLiU" w:hAnsi="Arial" w:cs="Arial"/>
          <w:sz w:val="20"/>
          <w:szCs w:val="20"/>
          <w:lang w:eastAsia="zh-TW"/>
        </w:rPr>
        <w:t xml:space="preserve"> That is the Bandwidth part indicator field on DCI should be unchanged.</w:t>
      </w:r>
    </w:p>
    <w:p w:rsidR="00D0698C" w:rsidRPr="0041458F" w:rsidRDefault="00D0698C" w:rsidP="00D0698C">
      <w:pPr>
        <w:pStyle w:val="Proposal"/>
        <w:numPr>
          <w:ilvl w:val="0"/>
          <w:numId w:val="26"/>
        </w:numPr>
        <w:tabs>
          <w:tab w:val="clear" w:pos="1304"/>
          <w:tab w:val="left" w:pos="1701"/>
        </w:tabs>
        <w:spacing w:after="200" w:line="276" w:lineRule="auto"/>
        <w:ind w:left="1701" w:hanging="1701"/>
        <w:jc w:val="left"/>
        <w:rPr>
          <w:sz w:val="20"/>
          <w:szCs w:val="20"/>
        </w:rPr>
      </w:pPr>
      <w:r w:rsidRPr="0041458F">
        <w:rPr>
          <w:sz w:val="20"/>
          <w:szCs w:val="20"/>
        </w:rPr>
        <w:t>Bandwidth part indicator field on DCI should be unchanged</w:t>
      </w:r>
    </w:p>
    <w:p w:rsidR="00D0698C" w:rsidRPr="0041458F" w:rsidRDefault="00D0698C" w:rsidP="00D0698C">
      <w:pPr>
        <w:pStyle w:val="Proposal"/>
        <w:numPr>
          <w:ilvl w:val="0"/>
          <w:numId w:val="26"/>
        </w:numPr>
        <w:tabs>
          <w:tab w:val="clear" w:pos="1304"/>
          <w:tab w:val="left" w:pos="1701"/>
        </w:tabs>
        <w:spacing w:after="200" w:line="276" w:lineRule="auto"/>
        <w:ind w:left="1701" w:hanging="1701"/>
        <w:jc w:val="left"/>
        <w:rPr>
          <w:sz w:val="20"/>
          <w:szCs w:val="20"/>
        </w:rPr>
      </w:pPr>
      <w:r w:rsidRPr="0041458F">
        <w:rPr>
          <w:sz w:val="20"/>
          <w:szCs w:val="20"/>
        </w:rPr>
        <w:t>MAC CE transmission configuration indication (MAC CE TCI) can be used to indicate and update serving beam and implicitly the BBWP</w:t>
      </w:r>
    </w:p>
    <w:p w:rsidR="00212F20" w:rsidRDefault="00D0698C" w:rsidP="00212F20">
      <w:pPr>
        <w:keepNext/>
        <w:jc w:val="center"/>
      </w:pPr>
      <w:r w:rsidRPr="0041458F">
        <w:rPr>
          <w:rFonts w:ascii="Arial" w:eastAsia="PMingLiU" w:hAnsi="Arial" w:cs="Arial"/>
          <w:noProof/>
          <w:sz w:val="20"/>
          <w:szCs w:val="20"/>
          <w:lang w:val="fr-FR" w:eastAsia="fr-FR"/>
        </w:rPr>
        <w:lastRenderedPageBreak/>
        <w:drawing>
          <wp:inline distT="0" distB="0" distL="0" distR="0" wp14:anchorId="1709DAF2" wp14:editId="70213680">
            <wp:extent cx="5248800" cy="3031200"/>
            <wp:effectExtent l="19050" t="19050" r="9525" b="17145"/>
            <wp:docPr id="297" name="Imag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48800" cy="3031200"/>
                    </a:xfrm>
                    <a:prstGeom prst="rect">
                      <a:avLst/>
                    </a:prstGeom>
                    <a:noFill/>
                    <a:ln>
                      <a:solidFill>
                        <a:schemeClr val="accent1"/>
                      </a:solidFill>
                    </a:ln>
                  </pic:spPr>
                </pic:pic>
              </a:graphicData>
            </a:graphic>
          </wp:inline>
        </w:drawing>
      </w:r>
    </w:p>
    <w:p w:rsidR="00D0698C" w:rsidRPr="0041458F" w:rsidRDefault="00212F20" w:rsidP="00212F20">
      <w:pPr>
        <w:pStyle w:val="Lgende"/>
        <w:rPr>
          <w:rFonts w:ascii="Arial" w:hAnsi="Arial" w:cs="Arial"/>
        </w:rPr>
      </w:pPr>
      <w:r>
        <w:t xml:space="preserve">Figure </w:t>
      </w:r>
      <w:r w:rsidR="004063B3">
        <w:fldChar w:fldCharType="begin"/>
      </w:r>
      <w:r w:rsidR="004063B3">
        <w:instrText xml:space="preserve"> SEQ Figure \* ARABIC </w:instrText>
      </w:r>
      <w:r w:rsidR="004063B3">
        <w:fldChar w:fldCharType="separate"/>
      </w:r>
      <w:r>
        <w:rPr>
          <w:noProof/>
        </w:rPr>
        <w:t>8</w:t>
      </w:r>
      <w:r w:rsidR="004063B3">
        <w:rPr>
          <w:noProof/>
        </w:rPr>
        <w:fldChar w:fldCharType="end"/>
      </w:r>
      <w:r>
        <w:t xml:space="preserve"> </w:t>
      </w:r>
      <w:r w:rsidRPr="00FD663C">
        <w:t>BBWP change indication, based on TCI</w:t>
      </w:r>
    </w:p>
    <w:p w:rsidR="00D0698C" w:rsidRDefault="00D0698C" w:rsidP="00D0698C">
      <w:pPr>
        <w:pStyle w:val="Titre1"/>
        <w:keepLines/>
        <w:tabs>
          <w:tab w:val="clear" w:pos="432"/>
        </w:tabs>
        <w:autoSpaceDE/>
        <w:autoSpaceDN/>
        <w:adjustRightInd/>
        <w:snapToGrid/>
        <w:spacing w:before="480" w:after="200" w:line="276" w:lineRule="auto"/>
        <w:jc w:val="left"/>
      </w:pPr>
      <w:bookmarkStart w:id="4" w:name="_Ref47452221"/>
      <w:r w:rsidRPr="003807BA">
        <w:t>Conclusion</w:t>
      </w:r>
      <w:bookmarkEnd w:id="4"/>
    </w:p>
    <w:p w:rsidR="00EA530D" w:rsidRPr="00EA530D" w:rsidRDefault="00E960D0" w:rsidP="00EA530D">
      <w:r w:rsidRPr="00E960D0">
        <w:t>In this contribution, the following proposal</w:t>
      </w:r>
      <w:r>
        <w:t>s and observations</w:t>
      </w:r>
      <w:bookmarkStart w:id="5" w:name="_GoBack"/>
      <w:bookmarkEnd w:id="5"/>
      <w:r w:rsidRPr="00E960D0">
        <w:t xml:space="preserve"> have been made:</w:t>
      </w:r>
    </w:p>
    <w:p w:rsidR="00C67EA3" w:rsidRPr="00C67EA3" w:rsidRDefault="00C67EA3" w:rsidP="00C67EA3">
      <w:pPr>
        <w:ind w:left="2160" w:hanging="2160"/>
        <w:rPr>
          <w:rFonts w:ascii="Arial" w:eastAsia="PMingLiU" w:hAnsi="Arial" w:cs="Arial"/>
          <w:b/>
          <w:sz w:val="20"/>
          <w:szCs w:val="20"/>
          <w:lang w:eastAsia="zh-TW"/>
        </w:rPr>
      </w:pPr>
      <w:r w:rsidRPr="00C67EA3">
        <w:rPr>
          <w:rFonts w:ascii="Arial" w:eastAsia="PMingLiU" w:hAnsi="Arial" w:cs="Arial"/>
          <w:b/>
          <w:sz w:val="20"/>
          <w:szCs w:val="20"/>
          <w:lang w:eastAsia="zh-TW"/>
        </w:rPr>
        <w:t>Observation 1</w:t>
      </w:r>
      <w:r w:rsidRPr="00C67EA3">
        <w:rPr>
          <w:rFonts w:ascii="Arial" w:eastAsia="PMingLiU" w:hAnsi="Arial" w:cs="Arial"/>
          <w:b/>
          <w:sz w:val="20"/>
          <w:szCs w:val="20"/>
          <w:lang w:eastAsia="zh-TW"/>
        </w:rPr>
        <w:tab/>
        <w:t>For loaded cells, Frequency Reuse schemes are needed to mitigate the inter-cell/inter-beam interference and improve the overall SINR</w:t>
      </w:r>
    </w:p>
    <w:p w:rsidR="00D0698C" w:rsidRPr="00C67EA3" w:rsidRDefault="00C67EA3" w:rsidP="00C67EA3">
      <w:pPr>
        <w:ind w:left="2160" w:hanging="2160"/>
        <w:rPr>
          <w:rFonts w:ascii="Arial" w:eastAsia="PMingLiU" w:hAnsi="Arial" w:cs="Arial"/>
          <w:b/>
          <w:sz w:val="20"/>
          <w:szCs w:val="20"/>
          <w:lang w:eastAsia="zh-TW"/>
        </w:rPr>
      </w:pPr>
      <w:r w:rsidRPr="00C67EA3">
        <w:rPr>
          <w:rFonts w:ascii="Arial" w:eastAsia="PMingLiU" w:hAnsi="Arial" w:cs="Arial"/>
          <w:b/>
          <w:sz w:val="20"/>
          <w:szCs w:val="20"/>
          <w:lang w:eastAsia="zh-TW"/>
        </w:rPr>
        <w:t>Observation 2</w:t>
      </w:r>
      <w:r w:rsidRPr="00C67EA3">
        <w:rPr>
          <w:rFonts w:ascii="Arial" w:eastAsia="PMingLiU" w:hAnsi="Arial" w:cs="Arial"/>
          <w:b/>
          <w:sz w:val="20"/>
          <w:szCs w:val="20"/>
          <w:lang w:eastAsia="zh-TW"/>
        </w:rPr>
        <w:tab/>
        <w:t>Spatial Frequency reuse schemes reduce significantly the inter-beam Co-channel interference but inherently limiting the per-beam bandwidth and the system capacity</w:t>
      </w:r>
    </w:p>
    <w:p w:rsidR="00C67EA3" w:rsidRDefault="00C67EA3" w:rsidP="00C67EA3">
      <w:pPr>
        <w:ind w:left="2160" w:hanging="2160"/>
        <w:rPr>
          <w:rFonts w:ascii="Arial" w:eastAsia="PMingLiU" w:hAnsi="Arial" w:cs="Arial"/>
          <w:b/>
          <w:sz w:val="20"/>
          <w:szCs w:val="20"/>
          <w:lang w:eastAsia="zh-TW"/>
        </w:rPr>
      </w:pPr>
      <w:r w:rsidRPr="00C67EA3">
        <w:rPr>
          <w:rFonts w:ascii="Arial" w:eastAsia="PMingLiU" w:hAnsi="Arial" w:cs="Arial"/>
          <w:b/>
          <w:sz w:val="20"/>
          <w:szCs w:val="20"/>
          <w:lang w:eastAsia="zh-TW"/>
        </w:rPr>
        <w:t>Proposal 1</w:t>
      </w:r>
      <w:r w:rsidRPr="00C67EA3">
        <w:rPr>
          <w:rFonts w:ascii="Arial" w:eastAsia="PMingLiU" w:hAnsi="Arial" w:cs="Arial"/>
          <w:b/>
          <w:sz w:val="20"/>
          <w:szCs w:val="20"/>
          <w:lang w:eastAsia="zh-TW"/>
        </w:rPr>
        <w:tab/>
        <w:t>To increase the per-beam bandwidth while ensuring excellent interference isolation between beams, other frequency separation techniques such as polarization re-use scheme should be considered</w:t>
      </w:r>
    </w:p>
    <w:p w:rsidR="00C67EA3" w:rsidRDefault="00C67EA3" w:rsidP="00C67EA3">
      <w:pPr>
        <w:ind w:left="2160" w:hanging="2160"/>
        <w:rPr>
          <w:rFonts w:ascii="Arial" w:eastAsia="PMingLiU" w:hAnsi="Arial" w:cs="Arial"/>
          <w:b/>
          <w:sz w:val="20"/>
          <w:szCs w:val="20"/>
          <w:lang w:eastAsia="zh-TW"/>
        </w:rPr>
      </w:pPr>
      <w:r w:rsidRPr="00C67EA3">
        <w:rPr>
          <w:rFonts w:ascii="Arial" w:eastAsia="PMingLiU" w:hAnsi="Arial" w:cs="Arial"/>
          <w:b/>
          <w:sz w:val="20"/>
          <w:szCs w:val="20"/>
          <w:lang w:eastAsia="zh-TW"/>
        </w:rPr>
        <w:t>Observation 3</w:t>
      </w:r>
      <w:r w:rsidRPr="00C67EA3">
        <w:rPr>
          <w:rFonts w:ascii="Arial" w:eastAsia="PMingLiU" w:hAnsi="Arial" w:cs="Arial"/>
          <w:b/>
          <w:sz w:val="20"/>
          <w:szCs w:val="20"/>
          <w:lang w:eastAsia="zh-TW"/>
        </w:rPr>
        <w:tab/>
        <w:t>Circular polarization can be used to double the cell capacity</w:t>
      </w:r>
    </w:p>
    <w:p w:rsidR="00C67EA3" w:rsidRDefault="00C67EA3" w:rsidP="00C67EA3">
      <w:pPr>
        <w:ind w:left="2160" w:hanging="2160"/>
        <w:rPr>
          <w:rFonts w:ascii="Arial" w:eastAsia="PMingLiU" w:hAnsi="Arial" w:cs="Arial"/>
          <w:b/>
          <w:sz w:val="20"/>
          <w:szCs w:val="20"/>
          <w:lang w:eastAsia="zh-TW"/>
        </w:rPr>
      </w:pPr>
      <w:r w:rsidRPr="00C67EA3">
        <w:rPr>
          <w:rFonts w:ascii="Arial" w:eastAsia="PMingLiU" w:hAnsi="Arial" w:cs="Arial"/>
          <w:b/>
          <w:sz w:val="20"/>
          <w:szCs w:val="20"/>
          <w:lang w:eastAsia="zh-TW"/>
        </w:rPr>
        <w:t>Observation 4</w:t>
      </w:r>
      <w:r w:rsidRPr="00C67EA3">
        <w:rPr>
          <w:rFonts w:ascii="Arial" w:eastAsia="PMingLiU" w:hAnsi="Arial" w:cs="Arial"/>
          <w:b/>
          <w:sz w:val="20"/>
          <w:szCs w:val="20"/>
          <w:lang w:eastAsia="zh-TW"/>
        </w:rPr>
        <w:tab/>
        <w:t>In NTN it might be challenging to implement an optimal and dynamic/fast beamforming towards the users</w:t>
      </w:r>
    </w:p>
    <w:p w:rsidR="00C67EA3" w:rsidRDefault="00C67EA3" w:rsidP="00C67EA3">
      <w:pPr>
        <w:ind w:left="2160" w:hanging="2160"/>
        <w:rPr>
          <w:rFonts w:ascii="Arial" w:eastAsia="PMingLiU" w:hAnsi="Arial" w:cs="Arial"/>
          <w:b/>
          <w:sz w:val="20"/>
          <w:szCs w:val="20"/>
          <w:lang w:eastAsia="zh-TW"/>
        </w:rPr>
      </w:pPr>
      <w:r w:rsidRPr="00C67EA3">
        <w:rPr>
          <w:rFonts w:ascii="Arial" w:eastAsia="PMingLiU" w:hAnsi="Arial" w:cs="Arial"/>
          <w:b/>
          <w:sz w:val="20"/>
          <w:szCs w:val="20"/>
          <w:lang w:eastAsia="zh-TW"/>
        </w:rPr>
        <w:t>Observation 5</w:t>
      </w:r>
      <w:r w:rsidRPr="00C67EA3">
        <w:rPr>
          <w:rFonts w:ascii="Arial" w:eastAsia="PMingLiU" w:hAnsi="Arial" w:cs="Arial"/>
          <w:b/>
          <w:sz w:val="20"/>
          <w:szCs w:val="20"/>
          <w:lang w:eastAsia="zh-TW"/>
        </w:rPr>
        <w:tab/>
        <w:t>Option (1) Single NR cell per satellite beam and single NR beam cell can be used as a baseline. With this option NR Beam management operation is not needed</w:t>
      </w:r>
    </w:p>
    <w:p w:rsidR="00C67EA3" w:rsidRDefault="00C67EA3" w:rsidP="00C67EA3">
      <w:pPr>
        <w:ind w:left="2160" w:hanging="2160"/>
        <w:rPr>
          <w:rFonts w:ascii="Arial" w:eastAsia="PMingLiU" w:hAnsi="Arial" w:cs="Arial"/>
          <w:b/>
          <w:sz w:val="20"/>
          <w:szCs w:val="20"/>
          <w:lang w:eastAsia="zh-TW"/>
        </w:rPr>
      </w:pPr>
      <w:r w:rsidRPr="00C67EA3">
        <w:rPr>
          <w:rFonts w:ascii="Arial" w:eastAsia="PMingLiU" w:hAnsi="Arial" w:cs="Arial"/>
          <w:b/>
          <w:sz w:val="20"/>
          <w:szCs w:val="20"/>
          <w:lang w:eastAsia="zh-TW"/>
        </w:rPr>
        <w:t>Observation 6</w:t>
      </w:r>
      <w:r w:rsidRPr="00C67EA3">
        <w:rPr>
          <w:rFonts w:ascii="Arial" w:eastAsia="PMingLiU" w:hAnsi="Arial" w:cs="Arial"/>
          <w:b/>
          <w:sz w:val="20"/>
          <w:szCs w:val="20"/>
          <w:lang w:eastAsia="zh-TW"/>
        </w:rPr>
        <w:tab/>
        <w:t>The minimum size of NR beam is the satellite beam’s size</w:t>
      </w:r>
    </w:p>
    <w:p w:rsidR="00C67EA3" w:rsidRDefault="00C67EA3" w:rsidP="00C67EA3">
      <w:pPr>
        <w:ind w:left="2160" w:hanging="2160"/>
        <w:rPr>
          <w:rFonts w:ascii="Arial" w:eastAsia="PMingLiU" w:hAnsi="Arial" w:cs="Arial"/>
          <w:b/>
          <w:sz w:val="20"/>
          <w:szCs w:val="20"/>
          <w:lang w:eastAsia="zh-TW"/>
        </w:rPr>
      </w:pPr>
      <w:r w:rsidRPr="00C67EA3">
        <w:rPr>
          <w:rFonts w:ascii="Arial" w:eastAsia="PMingLiU" w:hAnsi="Arial" w:cs="Arial"/>
          <w:b/>
          <w:sz w:val="20"/>
          <w:szCs w:val="20"/>
          <w:lang w:eastAsia="zh-TW"/>
        </w:rPr>
        <w:t>Observation 7</w:t>
      </w:r>
      <w:r w:rsidRPr="00C67EA3">
        <w:rPr>
          <w:rFonts w:ascii="Arial" w:eastAsia="PMingLiU" w:hAnsi="Arial" w:cs="Arial"/>
          <w:b/>
          <w:sz w:val="20"/>
          <w:szCs w:val="20"/>
          <w:lang w:eastAsia="zh-TW"/>
        </w:rPr>
        <w:tab/>
        <w:t>Beam management can be beneficial in case of multi-beam moving cell</w:t>
      </w:r>
    </w:p>
    <w:p w:rsidR="00C67EA3" w:rsidRDefault="00C67EA3" w:rsidP="00C67EA3">
      <w:pPr>
        <w:ind w:left="2160" w:hanging="2160"/>
        <w:rPr>
          <w:rFonts w:ascii="Arial" w:eastAsia="PMingLiU" w:hAnsi="Arial" w:cs="Arial"/>
          <w:b/>
          <w:sz w:val="20"/>
          <w:szCs w:val="20"/>
          <w:lang w:eastAsia="zh-TW"/>
        </w:rPr>
      </w:pPr>
      <w:r w:rsidRPr="00C67EA3">
        <w:rPr>
          <w:rFonts w:ascii="Arial" w:eastAsia="PMingLiU" w:hAnsi="Arial" w:cs="Arial"/>
          <w:b/>
          <w:sz w:val="20"/>
          <w:szCs w:val="20"/>
          <w:lang w:eastAsia="zh-TW"/>
        </w:rPr>
        <w:t>Observation 8</w:t>
      </w:r>
      <w:r w:rsidRPr="00C67EA3">
        <w:rPr>
          <w:rFonts w:ascii="Arial" w:eastAsia="PMingLiU" w:hAnsi="Arial" w:cs="Arial"/>
          <w:b/>
          <w:sz w:val="20"/>
          <w:szCs w:val="20"/>
          <w:lang w:eastAsia="zh-TW"/>
        </w:rPr>
        <w:tab/>
        <w:t>Deploying multi-beam cell and using beam management will not be applicable to all NTN deployment scenarios</w:t>
      </w:r>
    </w:p>
    <w:p w:rsidR="00C67EA3" w:rsidRDefault="00C67EA3" w:rsidP="00C67EA3">
      <w:pPr>
        <w:ind w:left="2160" w:hanging="2160"/>
        <w:rPr>
          <w:rFonts w:ascii="Arial" w:eastAsia="PMingLiU" w:hAnsi="Arial" w:cs="Arial"/>
          <w:b/>
          <w:sz w:val="20"/>
          <w:szCs w:val="20"/>
          <w:lang w:eastAsia="zh-TW"/>
        </w:rPr>
      </w:pPr>
      <w:r w:rsidRPr="00C67EA3">
        <w:rPr>
          <w:rFonts w:ascii="Arial" w:eastAsia="PMingLiU" w:hAnsi="Arial" w:cs="Arial"/>
          <w:b/>
          <w:sz w:val="20"/>
          <w:szCs w:val="20"/>
          <w:lang w:eastAsia="zh-TW"/>
        </w:rPr>
        <w:t>Observation 9</w:t>
      </w:r>
      <w:r w:rsidRPr="00C67EA3">
        <w:rPr>
          <w:rFonts w:ascii="Arial" w:eastAsia="PMingLiU" w:hAnsi="Arial" w:cs="Arial"/>
          <w:b/>
          <w:sz w:val="20"/>
          <w:szCs w:val="20"/>
          <w:lang w:eastAsia="zh-TW"/>
        </w:rPr>
        <w:tab/>
        <w:t>In the proposed solution, an a-priori BBWP planning can be used to allocate the BWP to each beam. Or a dynamic allocation can be performed by the gNB to configure beam-specific BWP based on the traffic distribution between the beams within the cell</w:t>
      </w:r>
    </w:p>
    <w:p w:rsidR="00C67EA3" w:rsidRPr="00C67EA3" w:rsidRDefault="00C67EA3" w:rsidP="00C67EA3">
      <w:pPr>
        <w:ind w:left="2160" w:hanging="2160"/>
        <w:rPr>
          <w:rFonts w:ascii="Arial" w:eastAsia="PMingLiU" w:hAnsi="Arial" w:cs="Arial"/>
          <w:b/>
          <w:sz w:val="20"/>
          <w:szCs w:val="20"/>
          <w:lang w:eastAsia="zh-TW"/>
        </w:rPr>
      </w:pPr>
      <w:r w:rsidRPr="00C67EA3">
        <w:rPr>
          <w:rFonts w:ascii="Arial" w:eastAsia="PMingLiU" w:hAnsi="Arial" w:cs="Arial"/>
          <w:b/>
          <w:sz w:val="20"/>
          <w:szCs w:val="20"/>
          <w:lang w:eastAsia="zh-TW"/>
        </w:rPr>
        <w:t>Proposal 3</w:t>
      </w:r>
      <w:r w:rsidRPr="00C67EA3">
        <w:rPr>
          <w:rFonts w:ascii="Arial" w:eastAsia="PMingLiU" w:hAnsi="Arial" w:cs="Arial"/>
          <w:b/>
          <w:sz w:val="20"/>
          <w:szCs w:val="20"/>
          <w:lang w:eastAsia="zh-TW"/>
        </w:rPr>
        <w:tab/>
        <w:t>The new beam-specific BWP (BBWP) concept should be introduced on top of existing UE specific BWP</w:t>
      </w:r>
    </w:p>
    <w:p w:rsidR="00C67EA3" w:rsidRDefault="00C67EA3" w:rsidP="00C67EA3">
      <w:pPr>
        <w:ind w:left="2160" w:hanging="2160"/>
        <w:rPr>
          <w:rFonts w:ascii="Arial" w:eastAsia="PMingLiU" w:hAnsi="Arial" w:cs="Arial"/>
          <w:b/>
          <w:sz w:val="20"/>
          <w:szCs w:val="20"/>
          <w:lang w:eastAsia="zh-TW"/>
        </w:rPr>
      </w:pPr>
      <w:r w:rsidRPr="00C67EA3">
        <w:rPr>
          <w:rFonts w:ascii="Arial" w:eastAsia="PMingLiU" w:hAnsi="Arial" w:cs="Arial"/>
          <w:b/>
          <w:sz w:val="20"/>
          <w:szCs w:val="20"/>
          <w:lang w:eastAsia="zh-TW"/>
        </w:rPr>
        <w:t>Proposal 4</w:t>
      </w:r>
      <w:r w:rsidRPr="00C67EA3">
        <w:rPr>
          <w:rFonts w:ascii="Arial" w:eastAsia="PMingLiU" w:hAnsi="Arial" w:cs="Arial"/>
          <w:b/>
          <w:sz w:val="20"/>
          <w:szCs w:val="20"/>
          <w:lang w:eastAsia="zh-TW"/>
        </w:rPr>
        <w:tab/>
        <w:t xml:space="preserve">The new beam-specific BWP (BBWP) should reuse Release-15/16 BWP operation procedures with the enhancements provided in this TDOC  </w:t>
      </w:r>
    </w:p>
    <w:p w:rsidR="00C67EA3" w:rsidRDefault="00C67EA3" w:rsidP="00C67EA3">
      <w:pPr>
        <w:ind w:left="2160" w:hanging="2160"/>
        <w:rPr>
          <w:rFonts w:ascii="Arial" w:eastAsia="PMingLiU" w:hAnsi="Arial" w:cs="Arial"/>
          <w:b/>
          <w:sz w:val="20"/>
          <w:szCs w:val="20"/>
          <w:lang w:eastAsia="zh-TW"/>
        </w:rPr>
      </w:pPr>
      <w:r w:rsidRPr="00C67EA3">
        <w:rPr>
          <w:rFonts w:ascii="Arial" w:eastAsia="PMingLiU" w:hAnsi="Arial" w:cs="Arial"/>
          <w:b/>
          <w:sz w:val="20"/>
          <w:szCs w:val="20"/>
          <w:lang w:eastAsia="zh-TW"/>
        </w:rPr>
        <w:lastRenderedPageBreak/>
        <w:t>Observation 10</w:t>
      </w:r>
      <w:r w:rsidRPr="00C67EA3">
        <w:rPr>
          <w:rFonts w:ascii="Arial" w:eastAsia="PMingLiU" w:hAnsi="Arial" w:cs="Arial"/>
          <w:b/>
          <w:sz w:val="20"/>
          <w:szCs w:val="20"/>
          <w:lang w:eastAsia="zh-TW"/>
        </w:rPr>
        <w:tab/>
        <w:t xml:space="preserve">The size of the common Initial-active BWP should be defined carefully to avoid any congestion and blocking within the cell   </w:t>
      </w:r>
    </w:p>
    <w:p w:rsidR="00C67EA3" w:rsidRPr="00C67EA3" w:rsidRDefault="00C67EA3" w:rsidP="00C67EA3">
      <w:pPr>
        <w:ind w:left="2160" w:hanging="2160"/>
        <w:rPr>
          <w:rFonts w:ascii="Arial" w:eastAsia="PMingLiU" w:hAnsi="Arial" w:cs="Arial"/>
          <w:b/>
          <w:sz w:val="20"/>
          <w:szCs w:val="20"/>
          <w:lang w:eastAsia="zh-TW"/>
        </w:rPr>
      </w:pPr>
      <w:r w:rsidRPr="00C67EA3">
        <w:rPr>
          <w:rFonts w:ascii="Arial" w:eastAsia="PMingLiU" w:hAnsi="Arial" w:cs="Arial"/>
          <w:b/>
          <w:sz w:val="20"/>
          <w:szCs w:val="20"/>
          <w:lang w:eastAsia="zh-TW"/>
        </w:rPr>
        <w:t>Proposal 5</w:t>
      </w:r>
      <w:r w:rsidRPr="00C67EA3">
        <w:rPr>
          <w:rFonts w:ascii="Arial" w:eastAsia="PMingLiU" w:hAnsi="Arial" w:cs="Arial"/>
          <w:b/>
          <w:sz w:val="20"/>
          <w:szCs w:val="20"/>
          <w:lang w:eastAsia="zh-TW"/>
        </w:rPr>
        <w:tab/>
        <w:t>Bandwidth part indicator field on DCI should be unchanged</w:t>
      </w:r>
    </w:p>
    <w:p w:rsidR="00C67EA3" w:rsidRDefault="00C67EA3" w:rsidP="00C67EA3">
      <w:pPr>
        <w:ind w:left="2160" w:hanging="2160"/>
        <w:rPr>
          <w:rFonts w:ascii="Arial" w:eastAsia="PMingLiU" w:hAnsi="Arial" w:cs="Arial"/>
          <w:b/>
          <w:sz w:val="20"/>
          <w:szCs w:val="20"/>
          <w:lang w:eastAsia="zh-TW"/>
        </w:rPr>
      </w:pPr>
      <w:r w:rsidRPr="00C67EA3">
        <w:rPr>
          <w:rFonts w:ascii="Arial" w:eastAsia="PMingLiU" w:hAnsi="Arial" w:cs="Arial"/>
          <w:b/>
          <w:sz w:val="20"/>
          <w:szCs w:val="20"/>
          <w:lang w:eastAsia="zh-TW"/>
        </w:rPr>
        <w:t>Proposal 6</w:t>
      </w:r>
      <w:r w:rsidRPr="00C67EA3">
        <w:rPr>
          <w:rFonts w:ascii="Arial" w:eastAsia="PMingLiU" w:hAnsi="Arial" w:cs="Arial"/>
          <w:b/>
          <w:sz w:val="20"/>
          <w:szCs w:val="20"/>
          <w:lang w:eastAsia="zh-TW"/>
        </w:rPr>
        <w:tab/>
        <w:t>MAC CE transmission configuration indication (MAC CE TCI) can be used to indicate and update serving beam and implicitly the BBWP</w:t>
      </w:r>
    </w:p>
    <w:p w:rsidR="00C67EA3" w:rsidRPr="0041458F" w:rsidRDefault="00C67EA3" w:rsidP="00C67EA3">
      <w:pPr>
        <w:ind w:left="2160" w:hanging="2160"/>
        <w:rPr>
          <w:rFonts w:ascii="Arial" w:eastAsia="PMingLiU" w:hAnsi="Arial" w:cs="Arial"/>
          <w:b/>
          <w:sz w:val="20"/>
          <w:szCs w:val="20"/>
          <w:lang w:eastAsia="zh-TW"/>
        </w:rPr>
      </w:pPr>
    </w:p>
    <w:sdt>
      <w:sdtPr>
        <w:rPr>
          <w:rFonts w:ascii="Arial" w:eastAsiaTheme="minorHAnsi" w:hAnsi="Arial" w:cs="Arial"/>
          <w:b w:val="0"/>
          <w:bCs w:val="0"/>
          <w:sz w:val="20"/>
          <w:szCs w:val="20"/>
        </w:rPr>
        <w:id w:val="-1483234519"/>
        <w:docPartObj>
          <w:docPartGallery w:val="Bibliographies"/>
          <w:docPartUnique/>
        </w:docPartObj>
      </w:sdtPr>
      <w:sdtEndPr>
        <w:rPr>
          <w:rFonts w:eastAsiaTheme="minorEastAsia"/>
          <w:b/>
          <w:bCs/>
        </w:rPr>
      </w:sdtEndPr>
      <w:sdtContent>
        <w:sdt>
          <w:sdtPr>
            <w:rPr>
              <w:rFonts w:ascii="Arial" w:eastAsiaTheme="minorHAnsi" w:hAnsi="Arial" w:cs="Arial"/>
              <w:b w:val="0"/>
              <w:bCs w:val="0"/>
              <w:sz w:val="20"/>
              <w:szCs w:val="20"/>
            </w:rPr>
            <w:id w:val="1318463867"/>
            <w:docPartObj>
              <w:docPartGallery w:val="Bibliographies"/>
              <w:docPartUnique/>
            </w:docPartObj>
          </w:sdtPr>
          <w:sdtEndPr>
            <w:rPr>
              <w:rFonts w:eastAsiaTheme="minorEastAsia"/>
            </w:rPr>
          </w:sdtEndPr>
          <w:sdtContent>
            <w:p w:rsidR="00AD28A8" w:rsidRPr="00D533E6" w:rsidRDefault="00AD28A8" w:rsidP="00AD28A8">
              <w:pPr>
                <w:pStyle w:val="Titre1"/>
                <w:numPr>
                  <w:ilvl w:val="0"/>
                  <w:numId w:val="0"/>
                </w:numPr>
                <w:pBdr>
                  <w:top w:val="single" w:sz="12" w:space="3" w:color="auto"/>
                </w:pBdr>
                <w:spacing w:before="360" w:after="180"/>
                <w:rPr>
                  <w:rFonts w:ascii="Arial" w:hAnsi="Arial" w:cs="Arial"/>
                </w:rPr>
              </w:pPr>
              <w:r w:rsidRPr="00D533E6">
                <w:rPr>
                  <w:rFonts w:ascii="Arial" w:hAnsi="Arial" w:cs="Arial"/>
                </w:rPr>
                <w:t>Reference</w:t>
              </w:r>
            </w:p>
            <w:sdt>
              <w:sdtPr>
                <w:rPr>
                  <w:rFonts w:ascii="Arial" w:hAnsi="Arial" w:cs="Arial"/>
                  <w:sz w:val="20"/>
                  <w:szCs w:val="20"/>
                </w:rPr>
                <w:id w:val="-573587230"/>
                <w:bibliography/>
              </w:sdtPr>
              <w:sdtEndPr/>
              <w:sdtContent>
                <w:p w:rsidR="007675EB" w:rsidRDefault="00AD28A8" w:rsidP="00AD28A8">
                  <w:pPr>
                    <w:rPr>
                      <w:noProof/>
                      <w:sz w:val="20"/>
                      <w:szCs w:val="20"/>
                      <w:lang w:eastAsia="zh-CN"/>
                    </w:rPr>
                  </w:pPr>
                  <w:r w:rsidRPr="00D533E6">
                    <w:rPr>
                      <w:rFonts w:ascii="Arial" w:hAnsi="Arial" w:cs="Arial"/>
                      <w:sz w:val="20"/>
                      <w:szCs w:val="20"/>
                    </w:rPr>
                    <w:fldChar w:fldCharType="begin"/>
                  </w:r>
                  <w:r w:rsidRPr="00D533E6">
                    <w:rPr>
                      <w:rFonts w:ascii="Arial" w:hAnsi="Arial" w:cs="Arial"/>
                      <w:sz w:val="20"/>
                      <w:szCs w:val="20"/>
                    </w:rPr>
                    <w:instrText xml:space="preserve"> BIBLIOGRAPHY </w:instrText>
                  </w:r>
                  <w:r w:rsidRPr="00D533E6">
                    <w:rPr>
                      <w:rFonts w:ascii="Arial" w:hAnsi="Arial" w:cs="Arial"/>
                      <w:sz w:val="20"/>
                      <w:szCs w:val="20"/>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42"/>
                    <w:gridCol w:w="8719"/>
                  </w:tblGrid>
                  <w:tr w:rsidR="007675EB">
                    <w:trPr>
                      <w:divId w:val="481628986"/>
                      <w:tblCellSpacing w:w="15" w:type="dxa"/>
                    </w:trPr>
                    <w:tc>
                      <w:tcPr>
                        <w:tcW w:w="50" w:type="pct"/>
                        <w:hideMark/>
                      </w:tcPr>
                      <w:p w:rsidR="007675EB" w:rsidRDefault="007675EB">
                        <w:pPr>
                          <w:pStyle w:val="Bibliographie"/>
                          <w:rPr>
                            <w:noProof/>
                          </w:rPr>
                        </w:pPr>
                        <w:r>
                          <w:rPr>
                            <w:noProof/>
                          </w:rPr>
                          <w:t xml:space="preserve">[1] </w:t>
                        </w:r>
                      </w:p>
                    </w:tc>
                    <w:tc>
                      <w:tcPr>
                        <w:tcW w:w="0" w:type="auto"/>
                        <w:hideMark/>
                      </w:tcPr>
                      <w:p w:rsidR="007675EB" w:rsidRDefault="007675EB">
                        <w:pPr>
                          <w:pStyle w:val="Bibliographie"/>
                          <w:rPr>
                            <w:noProof/>
                          </w:rPr>
                        </w:pPr>
                        <w:r>
                          <w:rPr>
                            <w:noProof/>
                          </w:rPr>
                          <w:t xml:space="preserve">N. R. GmbH, R1-20xxxxx Study Cases for System-Level Simulations in NTN WI. </w:t>
                        </w:r>
                      </w:p>
                    </w:tc>
                  </w:tr>
                  <w:tr w:rsidR="007675EB">
                    <w:trPr>
                      <w:divId w:val="481628986"/>
                      <w:tblCellSpacing w:w="15" w:type="dxa"/>
                    </w:trPr>
                    <w:tc>
                      <w:tcPr>
                        <w:tcW w:w="50" w:type="pct"/>
                        <w:hideMark/>
                      </w:tcPr>
                      <w:p w:rsidR="007675EB" w:rsidRDefault="007675EB">
                        <w:pPr>
                          <w:pStyle w:val="Bibliographie"/>
                          <w:rPr>
                            <w:noProof/>
                          </w:rPr>
                        </w:pPr>
                        <w:r>
                          <w:rPr>
                            <w:noProof/>
                          </w:rPr>
                          <w:t xml:space="preserve">[2] </w:t>
                        </w:r>
                      </w:p>
                    </w:tc>
                    <w:tc>
                      <w:tcPr>
                        <w:tcW w:w="0" w:type="auto"/>
                        <w:hideMark/>
                      </w:tcPr>
                      <w:p w:rsidR="007675EB" w:rsidRDefault="007675EB">
                        <w:pPr>
                          <w:pStyle w:val="Bibliographie"/>
                          <w:rPr>
                            <w:noProof/>
                          </w:rPr>
                        </w:pPr>
                        <w:r>
                          <w:rPr>
                            <w:noProof/>
                          </w:rPr>
                          <w:t xml:space="preserve">"TR38.821 Solutions for NR to support non-terrestrial networks". </w:t>
                        </w:r>
                      </w:p>
                    </w:tc>
                  </w:tr>
                  <w:tr w:rsidR="007675EB">
                    <w:trPr>
                      <w:divId w:val="481628986"/>
                      <w:tblCellSpacing w:w="15" w:type="dxa"/>
                    </w:trPr>
                    <w:tc>
                      <w:tcPr>
                        <w:tcW w:w="50" w:type="pct"/>
                        <w:hideMark/>
                      </w:tcPr>
                      <w:p w:rsidR="007675EB" w:rsidRDefault="007675EB">
                        <w:pPr>
                          <w:pStyle w:val="Bibliographie"/>
                          <w:rPr>
                            <w:noProof/>
                          </w:rPr>
                        </w:pPr>
                        <w:r>
                          <w:rPr>
                            <w:noProof/>
                          </w:rPr>
                          <w:t xml:space="preserve">[3] </w:t>
                        </w:r>
                      </w:p>
                    </w:tc>
                    <w:tc>
                      <w:tcPr>
                        <w:tcW w:w="0" w:type="auto"/>
                        <w:hideMark/>
                      </w:tcPr>
                      <w:p w:rsidR="007675EB" w:rsidRDefault="007675EB">
                        <w:pPr>
                          <w:pStyle w:val="Bibliographie"/>
                          <w:rPr>
                            <w:noProof/>
                          </w:rPr>
                        </w:pPr>
                        <w:r>
                          <w:rPr>
                            <w:noProof/>
                          </w:rPr>
                          <w:t xml:space="preserve">"TR38.213 Physical layer procedures for control". </w:t>
                        </w:r>
                      </w:p>
                    </w:tc>
                  </w:tr>
                  <w:tr w:rsidR="007675EB">
                    <w:trPr>
                      <w:divId w:val="481628986"/>
                      <w:tblCellSpacing w:w="15" w:type="dxa"/>
                    </w:trPr>
                    <w:tc>
                      <w:tcPr>
                        <w:tcW w:w="50" w:type="pct"/>
                        <w:hideMark/>
                      </w:tcPr>
                      <w:p w:rsidR="007675EB" w:rsidRDefault="007675EB">
                        <w:pPr>
                          <w:pStyle w:val="Bibliographie"/>
                          <w:rPr>
                            <w:noProof/>
                          </w:rPr>
                        </w:pPr>
                        <w:r>
                          <w:rPr>
                            <w:noProof/>
                          </w:rPr>
                          <w:t xml:space="preserve">[4] </w:t>
                        </w:r>
                      </w:p>
                    </w:tc>
                    <w:tc>
                      <w:tcPr>
                        <w:tcW w:w="0" w:type="auto"/>
                        <w:hideMark/>
                      </w:tcPr>
                      <w:p w:rsidR="007675EB" w:rsidRDefault="007675EB">
                        <w:pPr>
                          <w:pStyle w:val="Bibliographie"/>
                          <w:rPr>
                            <w:noProof/>
                          </w:rPr>
                        </w:pPr>
                        <w:r>
                          <w:rPr>
                            <w:noProof/>
                          </w:rPr>
                          <w:t xml:space="preserve">Thales, "R1-2005306 NR_NTN_solutions work plan," </w:t>
                        </w:r>
                        <w:r>
                          <w:rPr>
                            <w:i/>
                            <w:iCs/>
                            <w:noProof/>
                          </w:rPr>
                          <w:t>RAN1#102-e.</w:t>
                        </w:r>
                        <w:r>
                          <w:rPr>
                            <w:noProof/>
                          </w:rPr>
                          <w:t xml:space="preserve"> </w:t>
                        </w:r>
                      </w:p>
                    </w:tc>
                  </w:tr>
                  <w:tr w:rsidR="007675EB">
                    <w:trPr>
                      <w:divId w:val="481628986"/>
                      <w:tblCellSpacing w:w="15" w:type="dxa"/>
                    </w:trPr>
                    <w:tc>
                      <w:tcPr>
                        <w:tcW w:w="50" w:type="pct"/>
                        <w:hideMark/>
                      </w:tcPr>
                      <w:p w:rsidR="007675EB" w:rsidRDefault="007675EB">
                        <w:pPr>
                          <w:pStyle w:val="Bibliographie"/>
                          <w:rPr>
                            <w:noProof/>
                          </w:rPr>
                        </w:pPr>
                        <w:r>
                          <w:rPr>
                            <w:noProof/>
                          </w:rPr>
                          <w:t xml:space="preserve">[5] </w:t>
                        </w:r>
                      </w:p>
                    </w:tc>
                    <w:tc>
                      <w:tcPr>
                        <w:tcW w:w="0" w:type="auto"/>
                        <w:hideMark/>
                      </w:tcPr>
                      <w:p w:rsidR="007675EB" w:rsidRDefault="007675EB">
                        <w:pPr>
                          <w:pStyle w:val="Bibliographie"/>
                          <w:rPr>
                            <w:noProof/>
                          </w:rPr>
                        </w:pPr>
                        <w:r>
                          <w:rPr>
                            <w:noProof/>
                          </w:rPr>
                          <w:t xml:space="preserve">3GPP, TR 38.821 Solutions for NR to support non-terrestrial networks (NTN), Release 16. </w:t>
                        </w:r>
                      </w:p>
                    </w:tc>
                  </w:tr>
                  <w:tr w:rsidR="007675EB">
                    <w:trPr>
                      <w:divId w:val="481628986"/>
                      <w:tblCellSpacing w:w="15" w:type="dxa"/>
                    </w:trPr>
                    <w:tc>
                      <w:tcPr>
                        <w:tcW w:w="50" w:type="pct"/>
                        <w:hideMark/>
                      </w:tcPr>
                      <w:p w:rsidR="007675EB" w:rsidRDefault="007675EB">
                        <w:pPr>
                          <w:pStyle w:val="Bibliographie"/>
                          <w:rPr>
                            <w:noProof/>
                          </w:rPr>
                        </w:pPr>
                        <w:r>
                          <w:rPr>
                            <w:noProof/>
                          </w:rPr>
                          <w:t xml:space="preserve">[6] </w:t>
                        </w:r>
                      </w:p>
                    </w:tc>
                    <w:tc>
                      <w:tcPr>
                        <w:tcW w:w="0" w:type="auto"/>
                        <w:hideMark/>
                      </w:tcPr>
                      <w:p w:rsidR="007675EB" w:rsidRDefault="007675EB">
                        <w:pPr>
                          <w:pStyle w:val="Bibliographie"/>
                          <w:rPr>
                            <w:noProof/>
                          </w:rPr>
                        </w:pPr>
                        <w:r>
                          <w:rPr>
                            <w:noProof/>
                          </w:rPr>
                          <w:t xml:space="preserve">3GPP, TS 38.211 Physical channels and modulation. </w:t>
                        </w:r>
                      </w:p>
                    </w:tc>
                  </w:tr>
                  <w:tr w:rsidR="007675EB">
                    <w:trPr>
                      <w:divId w:val="481628986"/>
                      <w:tblCellSpacing w:w="15" w:type="dxa"/>
                    </w:trPr>
                    <w:tc>
                      <w:tcPr>
                        <w:tcW w:w="50" w:type="pct"/>
                        <w:hideMark/>
                      </w:tcPr>
                      <w:p w:rsidR="007675EB" w:rsidRDefault="007675EB">
                        <w:pPr>
                          <w:pStyle w:val="Bibliographie"/>
                          <w:rPr>
                            <w:noProof/>
                          </w:rPr>
                        </w:pPr>
                        <w:r>
                          <w:rPr>
                            <w:noProof/>
                          </w:rPr>
                          <w:t xml:space="preserve">[7] </w:t>
                        </w:r>
                      </w:p>
                    </w:tc>
                    <w:tc>
                      <w:tcPr>
                        <w:tcW w:w="0" w:type="auto"/>
                        <w:hideMark/>
                      </w:tcPr>
                      <w:p w:rsidR="007675EB" w:rsidRDefault="007675EB">
                        <w:pPr>
                          <w:pStyle w:val="Bibliographie"/>
                          <w:rPr>
                            <w:noProof/>
                          </w:rPr>
                        </w:pPr>
                        <w:r>
                          <w:rPr>
                            <w:noProof/>
                          </w:rPr>
                          <w:t xml:space="preserve">3GPP, TS 38.331, Radio Resource Control (RRC); Protocol specification. </w:t>
                        </w:r>
                      </w:p>
                    </w:tc>
                  </w:tr>
                  <w:tr w:rsidR="007675EB">
                    <w:trPr>
                      <w:divId w:val="481628986"/>
                      <w:tblCellSpacing w:w="15" w:type="dxa"/>
                    </w:trPr>
                    <w:tc>
                      <w:tcPr>
                        <w:tcW w:w="50" w:type="pct"/>
                        <w:hideMark/>
                      </w:tcPr>
                      <w:p w:rsidR="007675EB" w:rsidRDefault="007675EB">
                        <w:pPr>
                          <w:pStyle w:val="Bibliographie"/>
                          <w:rPr>
                            <w:noProof/>
                          </w:rPr>
                        </w:pPr>
                        <w:r>
                          <w:rPr>
                            <w:noProof/>
                          </w:rPr>
                          <w:t xml:space="preserve">[8] </w:t>
                        </w:r>
                      </w:p>
                    </w:tc>
                    <w:tc>
                      <w:tcPr>
                        <w:tcW w:w="0" w:type="auto"/>
                        <w:hideMark/>
                      </w:tcPr>
                      <w:p w:rsidR="007675EB" w:rsidRDefault="007675EB">
                        <w:pPr>
                          <w:pStyle w:val="Bibliographie"/>
                          <w:rPr>
                            <w:noProof/>
                          </w:rPr>
                        </w:pPr>
                        <w:r>
                          <w:rPr>
                            <w:noProof/>
                          </w:rPr>
                          <w:t xml:space="preserve">3GPP, TS 38.214 Physical layer procedures for data. </w:t>
                        </w:r>
                      </w:p>
                    </w:tc>
                  </w:tr>
                  <w:tr w:rsidR="007675EB">
                    <w:trPr>
                      <w:divId w:val="481628986"/>
                      <w:tblCellSpacing w:w="15" w:type="dxa"/>
                    </w:trPr>
                    <w:tc>
                      <w:tcPr>
                        <w:tcW w:w="50" w:type="pct"/>
                        <w:hideMark/>
                      </w:tcPr>
                      <w:p w:rsidR="007675EB" w:rsidRDefault="007675EB">
                        <w:pPr>
                          <w:pStyle w:val="Bibliographie"/>
                          <w:rPr>
                            <w:noProof/>
                          </w:rPr>
                        </w:pPr>
                        <w:r>
                          <w:rPr>
                            <w:noProof/>
                          </w:rPr>
                          <w:t xml:space="preserve">[9] </w:t>
                        </w:r>
                      </w:p>
                    </w:tc>
                    <w:tc>
                      <w:tcPr>
                        <w:tcW w:w="0" w:type="auto"/>
                        <w:hideMark/>
                      </w:tcPr>
                      <w:p w:rsidR="007675EB" w:rsidRDefault="007675EB">
                        <w:pPr>
                          <w:pStyle w:val="Bibliographie"/>
                          <w:rPr>
                            <w:noProof/>
                          </w:rPr>
                        </w:pPr>
                        <w:r>
                          <w:rPr>
                            <w:noProof/>
                          </w:rPr>
                          <w:t xml:space="preserve">Thales, R1-2006676 - NR NTN Reference scenarios definition for Rel-17 normative phase. </w:t>
                        </w:r>
                      </w:p>
                    </w:tc>
                  </w:tr>
                  <w:tr w:rsidR="007675EB">
                    <w:trPr>
                      <w:divId w:val="481628986"/>
                      <w:tblCellSpacing w:w="15" w:type="dxa"/>
                    </w:trPr>
                    <w:tc>
                      <w:tcPr>
                        <w:tcW w:w="50" w:type="pct"/>
                        <w:hideMark/>
                      </w:tcPr>
                      <w:p w:rsidR="007675EB" w:rsidRDefault="007675EB">
                        <w:pPr>
                          <w:pStyle w:val="Bibliographie"/>
                          <w:rPr>
                            <w:noProof/>
                          </w:rPr>
                        </w:pPr>
                        <w:r>
                          <w:rPr>
                            <w:noProof/>
                          </w:rPr>
                          <w:t xml:space="preserve">[10] </w:t>
                        </w:r>
                      </w:p>
                    </w:tc>
                    <w:tc>
                      <w:tcPr>
                        <w:tcW w:w="0" w:type="auto"/>
                        <w:hideMark/>
                      </w:tcPr>
                      <w:p w:rsidR="007675EB" w:rsidRDefault="007675EB">
                        <w:pPr>
                          <w:pStyle w:val="Bibliographie"/>
                          <w:rPr>
                            <w:noProof/>
                          </w:rPr>
                        </w:pPr>
                        <w:r>
                          <w:rPr>
                            <w:noProof/>
                          </w:rPr>
                          <w:t xml:space="preserve">OPPO, AI, R1-2102141 Summary_3 of AI 8.4.4. </w:t>
                        </w:r>
                      </w:p>
                    </w:tc>
                  </w:tr>
                </w:tbl>
                <w:p w:rsidR="007675EB" w:rsidRDefault="007675EB">
                  <w:pPr>
                    <w:divId w:val="481628986"/>
                    <w:rPr>
                      <w:rFonts w:eastAsia="Times New Roman"/>
                      <w:noProof/>
                    </w:rPr>
                  </w:pPr>
                </w:p>
                <w:p w:rsidR="00AD28A8" w:rsidRDefault="00AD28A8" w:rsidP="00AD28A8">
                  <w:pPr>
                    <w:rPr>
                      <w:rFonts w:ascii="Arial" w:hAnsi="Arial" w:cs="Arial"/>
                      <w:sz w:val="20"/>
                      <w:szCs w:val="20"/>
                    </w:rPr>
                  </w:pPr>
                  <w:r w:rsidRPr="00D533E6">
                    <w:rPr>
                      <w:rFonts w:ascii="Arial" w:hAnsi="Arial" w:cs="Arial"/>
                      <w:b/>
                      <w:bCs/>
                      <w:noProof/>
                      <w:sz w:val="20"/>
                      <w:szCs w:val="20"/>
                    </w:rPr>
                    <w:fldChar w:fldCharType="end"/>
                  </w:r>
                </w:p>
              </w:sdtContent>
            </w:sdt>
          </w:sdtContent>
        </w:sdt>
        <w:p w:rsidR="00591026" w:rsidRDefault="007A7856" w:rsidP="00AD28A8">
          <w:pPr>
            <w:pStyle w:val="Titre1"/>
            <w:numPr>
              <w:ilvl w:val="0"/>
              <w:numId w:val="0"/>
            </w:numPr>
            <w:pBdr>
              <w:top w:val="single" w:sz="12" w:space="3" w:color="auto"/>
            </w:pBdr>
            <w:spacing w:before="360" w:after="180"/>
          </w:pPr>
        </w:p>
      </w:sdtContent>
    </w:sdt>
    <w:sectPr w:rsidR="00591026"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7856" w:rsidRDefault="007A7856">
      <w:r>
        <w:separator/>
      </w:r>
    </w:p>
  </w:endnote>
  <w:endnote w:type="continuationSeparator" w:id="0">
    <w:p w:rsidR="007A7856" w:rsidRDefault="007A7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7856" w:rsidRDefault="007A7856">
      <w:r>
        <w:separator/>
      </w:r>
    </w:p>
  </w:footnote>
  <w:footnote w:type="continuationSeparator" w:id="0">
    <w:p w:rsidR="007A7856" w:rsidRDefault="007A78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B25D1"/>
    <w:multiLevelType w:val="multilevel"/>
    <w:tmpl w:val="0526E728"/>
    <w:lvl w:ilvl="0">
      <w:start w:val="1"/>
      <w:numFmt w:val="decimal"/>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CAC55E5"/>
    <w:multiLevelType w:val="hybridMultilevel"/>
    <w:tmpl w:val="C2D85CE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FDA43DA"/>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95916C6"/>
    <w:multiLevelType w:val="hybridMultilevel"/>
    <w:tmpl w:val="D0305A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FA4B43"/>
    <w:multiLevelType w:val="hybridMultilevel"/>
    <w:tmpl w:val="CC36BE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AFC354C"/>
    <w:multiLevelType w:val="hybridMultilevel"/>
    <w:tmpl w:val="C314480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D1F39B4"/>
    <w:multiLevelType w:val="hybridMultilevel"/>
    <w:tmpl w:val="D2824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D758C5"/>
    <w:multiLevelType w:val="hybridMultilevel"/>
    <w:tmpl w:val="9AF4F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1">
    <w:nsid w:val="36371EE3"/>
    <w:multiLevelType w:val="hybridMultilevel"/>
    <w:tmpl w:val="25EAD8F4"/>
    <w:lvl w:ilvl="0" w:tplc="4AC8539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AA46647"/>
    <w:multiLevelType w:val="hybridMultilevel"/>
    <w:tmpl w:val="01EC2A7C"/>
    <w:lvl w:ilvl="0" w:tplc="2ECCC9E2">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108079E"/>
    <w:multiLevelType w:val="hybridMultilevel"/>
    <w:tmpl w:val="E3283BD4"/>
    <w:lvl w:ilvl="0" w:tplc="040C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9C2CE0"/>
    <w:multiLevelType w:val="multilevel"/>
    <w:tmpl w:val="462803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44FF2120"/>
    <w:multiLevelType w:val="hybridMultilevel"/>
    <w:tmpl w:val="EBBE5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047AE8"/>
    <w:multiLevelType w:val="hybridMultilevel"/>
    <w:tmpl w:val="91D06208"/>
    <w:lvl w:ilvl="0" w:tplc="7BB2FDEA">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E8A4BAB"/>
    <w:multiLevelType w:val="hybridMultilevel"/>
    <w:tmpl w:val="5E10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01505E"/>
    <w:multiLevelType w:val="hybridMultilevel"/>
    <w:tmpl w:val="D324C766"/>
    <w:lvl w:ilvl="0" w:tplc="2D7E93DC">
      <w:start w:val="1"/>
      <w:numFmt w:val="decimal"/>
      <w:lvlText w:val="Observation %1"/>
      <w:lvlJc w:val="left"/>
      <w:pPr>
        <w:ind w:left="36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AC495C"/>
    <w:multiLevelType w:val="hybridMultilevel"/>
    <w:tmpl w:val="00B68E2C"/>
    <w:lvl w:ilvl="0" w:tplc="4AC8539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nsid w:val="57546D9C"/>
    <w:multiLevelType w:val="hybridMultilevel"/>
    <w:tmpl w:val="5CD4C506"/>
    <w:lvl w:ilvl="0" w:tplc="0422C7D8">
      <w:start w:val="1"/>
      <w:numFmt w:val="decimal"/>
      <w:pStyle w:val="Prop1"/>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58724EC5"/>
    <w:multiLevelType w:val="hybridMultilevel"/>
    <w:tmpl w:val="663A1AD6"/>
    <w:lvl w:ilvl="0" w:tplc="F2F8D49C">
      <w:start w:val="1"/>
      <w:numFmt w:val="decimal"/>
      <w:pStyle w:val="Observation"/>
      <w:lvlText w:val="Observation %1."/>
      <w:lvlJc w:val="left"/>
      <w:pPr>
        <w:ind w:left="720" w:hanging="360"/>
      </w:pPr>
      <w:rPr>
        <w:rFonts w:ascii="Times New Roman" w:hAnsi="Times New Roman"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BB91B2A"/>
    <w:multiLevelType w:val="hybridMultilevel"/>
    <w:tmpl w:val="92649482"/>
    <w:lvl w:ilvl="0" w:tplc="4AC8539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D34569F"/>
    <w:multiLevelType w:val="hybridMultilevel"/>
    <w:tmpl w:val="1E586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9B48C5"/>
    <w:multiLevelType w:val="hybridMultilevel"/>
    <w:tmpl w:val="5F629286"/>
    <w:lvl w:ilvl="0" w:tplc="1E0283F2">
      <w:start w:val="1"/>
      <w:numFmt w:val="bullet"/>
      <w:lvlText w:val=""/>
      <w:lvlJc w:val="left"/>
      <w:pPr>
        <w:ind w:left="720" w:hanging="360"/>
      </w:pPr>
      <w:rPr>
        <w:rFonts w:ascii="Wingdings" w:eastAsia="SimSu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2">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1785551"/>
    <w:multiLevelType w:val="hybridMultilevel"/>
    <w:tmpl w:val="AC76A57E"/>
    <w:lvl w:ilvl="0" w:tplc="4AC8539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66F43BE"/>
    <w:multiLevelType w:val="hybridMultilevel"/>
    <w:tmpl w:val="169CCC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nsid w:val="7DB61556"/>
    <w:multiLevelType w:val="hybridMultilevel"/>
    <w:tmpl w:val="3FD8AC1A"/>
    <w:lvl w:ilvl="0" w:tplc="4AC8539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35"/>
  </w:num>
  <w:num w:numId="4">
    <w:abstractNumId w:val="1"/>
  </w:num>
  <w:num w:numId="5">
    <w:abstractNumId w:val="25"/>
  </w:num>
  <w:num w:numId="6">
    <w:abstractNumId w:val="22"/>
  </w:num>
  <w:num w:numId="7">
    <w:abstractNumId w:val="32"/>
  </w:num>
  <w:num w:numId="8">
    <w:abstractNumId w:val="27"/>
  </w:num>
  <w:num w:numId="9">
    <w:abstractNumId w:val="4"/>
  </w:num>
  <w:num w:numId="10">
    <w:abstractNumId w:val="16"/>
  </w:num>
  <w:num w:numId="11">
    <w:abstractNumId w:val="26"/>
  </w:num>
  <w:num w:numId="12">
    <w:abstractNumId w:val="5"/>
  </w:num>
  <w:num w:numId="13">
    <w:abstractNumId w:val="21"/>
  </w:num>
  <w:num w:numId="14">
    <w:abstractNumId w:val="29"/>
  </w:num>
  <w:num w:numId="15">
    <w:abstractNumId w:val="31"/>
  </w:num>
  <w:num w:numId="16">
    <w:abstractNumId w:val="20"/>
  </w:num>
  <w:num w:numId="17">
    <w:abstractNumId w:val="8"/>
  </w:num>
  <w:num w:numId="18">
    <w:abstractNumId w:val="9"/>
  </w:num>
  <w:num w:numId="19">
    <w:abstractNumId w:val="11"/>
  </w:num>
  <w:num w:numId="20">
    <w:abstractNumId w:val="28"/>
  </w:num>
  <w:num w:numId="21">
    <w:abstractNumId w:val="33"/>
  </w:num>
  <w:num w:numId="22">
    <w:abstractNumId w:val="24"/>
  </w:num>
  <w:num w:numId="23">
    <w:abstractNumId w:val="36"/>
  </w:num>
  <w:num w:numId="24">
    <w:abstractNumId w:val="30"/>
  </w:num>
  <w:num w:numId="25">
    <w:abstractNumId w:val="18"/>
  </w:num>
  <w:num w:numId="26">
    <w:abstractNumId w:val="13"/>
  </w:num>
  <w:num w:numId="27">
    <w:abstractNumId w:val="23"/>
  </w:num>
  <w:num w:numId="28">
    <w:abstractNumId w:val="2"/>
  </w:num>
  <w:num w:numId="29">
    <w:abstractNumId w:val="17"/>
  </w:num>
  <w:num w:numId="30">
    <w:abstractNumId w:val="6"/>
  </w:num>
  <w:num w:numId="31">
    <w:abstractNumId w:val="7"/>
  </w:num>
  <w:num w:numId="32">
    <w:abstractNumId w:val="3"/>
  </w:num>
  <w:num w:numId="33">
    <w:abstractNumId w:val="34"/>
  </w:num>
  <w:num w:numId="34">
    <w:abstractNumId w:val="14"/>
  </w:num>
  <w:num w:numId="35">
    <w:abstractNumId w:val="0"/>
  </w:num>
  <w:num w:numId="36">
    <w:abstractNumId w:val="19"/>
  </w:num>
  <w:num w:numId="37">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activeWritingStyle w:appName="MSWord" w:lang="fr-FR" w:vendorID="64" w:dllVersion="131078"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922"/>
    <w:rsid w:val="00000D04"/>
    <w:rsid w:val="00000DB2"/>
    <w:rsid w:val="00000E2A"/>
    <w:rsid w:val="00000EE5"/>
    <w:rsid w:val="00001023"/>
    <w:rsid w:val="00001B51"/>
    <w:rsid w:val="00001BF9"/>
    <w:rsid w:val="00001E27"/>
    <w:rsid w:val="00001ED8"/>
    <w:rsid w:val="00002168"/>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AD0"/>
    <w:rsid w:val="00005F18"/>
    <w:rsid w:val="0000602F"/>
    <w:rsid w:val="0000608A"/>
    <w:rsid w:val="0000676E"/>
    <w:rsid w:val="00006D2F"/>
    <w:rsid w:val="00006F1E"/>
    <w:rsid w:val="00006F3B"/>
    <w:rsid w:val="000072B6"/>
    <w:rsid w:val="00007813"/>
    <w:rsid w:val="000102F5"/>
    <w:rsid w:val="000109E6"/>
    <w:rsid w:val="000109F9"/>
    <w:rsid w:val="00010A64"/>
    <w:rsid w:val="00010ABF"/>
    <w:rsid w:val="00010AC6"/>
    <w:rsid w:val="000116A4"/>
    <w:rsid w:val="000117A7"/>
    <w:rsid w:val="00011A54"/>
    <w:rsid w:val="00011E3C"/>
    <w:rsid w:val="00011F67"/>
    <w:rsid w:val="000121C3"/>
    <w:rsid w:val="000121DD"/>
    <w:rsid w:val="0001241C"/>
    <w:rsid w:val="00012862"/>
    <w:rsid w:val="000128E6"/>
    <w:rsid w:val="00012A12"/>
    <w:rsid w:val="00012A50"/>
    <w:rsid w:val="0001344E"/>
    <w:rsid w:val="000134B5"/>
    <w:rsid w:val="00013840"/>
    <w:rsid w:val="000138F4"/>
    <w:rsid w:val="00014B6D"/>
    <w:rsid w:val="000158ED"/>
    <w:rsid w:val="00015EFB"/>
    <w:rsid w:val="000160AE"/>
    <w:rsid w:val="000165E2"/>
    <w:rsid w:val="00016868"/>
    <w:rsid w:val="0001692C"/>
    <w:rsid w:val="00016BA3"/>
    <w:rsid w:val="00016E3E"/>
    <w:rsid w:val="000172BE"/>
    <w:rsid w:val="00017476"/>
    <w:rsid w:val="00017681"/>
    <w:rsid w:val="00017CDF"/>
    <w:rsid w:val="00017D8A"/>
    <w:rsid w:val="0002003C"/>
    <w:rsid w:val="000201E9"/>
    <w:rsid w:val="000202F1"/>
    <w:rsid w:val="0002070D"/>
    <w:rsid w:val="00020875"/>
    <w:rsid w:val="00020A9F"/>
    <w:rsid w:val="00020FB7"/>
    <w:rsid w:val="00021313"/>
    <w:rsid w:val="00021626"/>
    <w:rsid w:val="000218F5"/>
    <w:rsid w:val="000220B2"/>
    <w:rsid w:val="000226B5"/>
    <w:rsid w:val="00023171"/>
    <w:rsid w:val="00023388"/>
    <w:rsid w:val="000233EC"/>
    <w:rsid w:val="00023425"/>
    <w:rsid w:val="00023576"/>
    <w:rsid w:val="00023683"/>
    <w:rsid w:val="000241BE"/>
    <w:rsid w:val="000242F2"/>
    <w:rsid w:val="00024958"/>
    <w:rsid w:val="00025115"/>
    <w:rsid w:val="000268FF"/>
    <w:rsid w:val="00026932"/>
    <w:rsid w:val="00026D4B"/>
    <w:rsid w:val="000272FF"/>
    <w:rsid w:val="000274ED"/>
    <w:rsid w:val="000274F8"/>
    <w:rsid w:val="000275C6"/>
    <w:rsid w:val="00027923"/>
    <w:rsid w:val="00027AD6"/>
    <w:rsid w:val="00027D09"/>
    <w:rsid w:val="00027DBF"/>
    <w:rsid w:val="0003024C"/>
    <w:rsid w:val="0003088D"/>
    <w:rsid w:val="0003095B"/>
    <w:rsid w:val="000309EA"/>
    <w:rsid w:val="00030D84"/>
    <w:rsid w:val="00031278"/>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E3E"/>
    <w:rsid w:val="0004133A"/>
    <w:rsid w:val="00041C57"/>
    <w:rsid w:val="00041EE0"/>
    <w:rsid w:val="0004202B"/>
    <w:rsid w:val="000420D0"/>
    <w:rsid w:val="000426B9"/>
    <w:rsid w:val="00042720"/>
    <w:rsid w:val="0004290B"/>
    <w:rsid w:val="000434B7"/>
    <w:rsid w:val="000435C9"/>
    <w:rsid w:val="000435E4"/>
    <w:rsid w:val="0004483A"/>
    <w:rsid w:val="00044E41"/>
    <w:rsid w:val="000455FE"/>
    <w:rsid w:val="00045607"/>
    <w:rsid w:val="00045CDA"/>
    <w:rsid w:val="000466D9"/>
    <w:rsid w:val="0004671B"/>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2D74"/>
    <w:rsid w:val="000530DF"/>
    <w:rsid w:val="00053541"/>
    <w:rsid w:val="00053A5D"/>
    <w:rsid w:val="00053F54"/>
    <w:rsid w:val="0005451A"/>
    <w:rsid w:val="00054E0C"/>
    <w:rsid w:val="00054E40"/>
    <w:rsid w:val="00054F0D"/>
    <w:rsid w:val="0005541D"/>
    <w:rsid w:val="000565C8"/>
    <w:rsid w:val="00057864"/>
    <w:rsid w:val="00057CEA"/>
    <w:rsid w:val="00057DC8"/>
    <w:rsid w:val="0006045C"/>
    <w:rsid w:val="000605EC"/>
    <w:rsid w:val="00060AED"/>
    <w:rsid w:val="000612E1"/>
    <w:rsid w:val="000614FE"/>
    <w:rsid w:val="00061BB8"/>
    <w:rsid w:val="00061F3E"/>
    <w:rsid w:val="00061FD2"/>
    <w:rsid w:val="000620D2"/>
    <w:rsid w:val="00062A4F"/>
    <w:rsid w:val="0006300C"/>
    <w:rsid w:val="000634A6"/>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0C"/>
    <w:rsid w:val="00071192"/>
    <w:rsid w:val="000713A7"/>
    <w:rsid w:val="000713D8"/>
    <w:rsid w:val="00071733"/>
    <w:rsid w:val="000718CD"/>
    <w:rsid w:val="000719B6"/>
    <w:rsid w:val="00071D8B"/>
    <w:rsid w:val="00071EF2"/>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A86"/>
    <w:rsid w:val="00075C69"/>
    <w:rsid w:val="00076097"/>
    <w:rsid w:val="00076541"/>
    <w:rsid w:val="00076778"/>
    <w:rsid w:val="000772F4"/>
    <w:rsid w:val="000776EB"/>
    <w:rsid w:val="000777B2"/>
    <w:rsid w:val="00080BB5"/>
    <w:rsid w:val="00081127"/>
    <w:rsid w:val="000823B0"/>
    <w:rsid w:val="0008335B"/>
    <w:rsid w:val="00083379"/>
    <w:rsid w:val="00083587"/>
    <w:rsid w:val="00083622"/>
    <w:rsid w:val="0008374F"/>
    <w:rsid w:val="00083838"/>
    <w:rsid w:val="00083B57"/>
    <w:rsid w:val="00083B6A"/>
    <w:rsid w:val="00083FF2"/>
    <w:rsid w:val="000841E7"/>
    <w:rsid w:val="000849FC"/>
    <w:rsid w:val="00084F87"/>
    <w:rsid w:val="000851E9"/>
    <w:rsid w:val="000856B9"/>
    <w:rsid w:val="00085995"/>
    <w:rsid w:val="00085DBE"/>
    <w:rsid w:val="00085E04"/>
    <w:rsid w:val="00086339"/>
    <w:rsid w:val="0008661A"/>
    <w:rsid w:val="00086800"/>
    <w:rsid w:val="00086FEC"/>
    <w:rsid w:val="0008702D"/>
    <w:rsid w:val="0008707C"/>
    <w:rsid w:val="0008740C"/>
    <w:rsid w:val="00087913"/>
    <w:rsid w:val="00087C4F"/>
    <w:rsid w:val="00087EB9"/>
    <w:rsid w:val="000902DC"/>
    <w:rsid w:val="000904F8"/>
    <w:rsid w:val="000906A0"/>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3E97"/>
    <w:rsid w:val="00094017"/>
    <w:rsid w:val="00094A16"/>
    <w:rsid w:val="00094C5A"/>
    <w:rsid w:val="00094DE6"/>
    <w:rsid w:val="00095D69"/>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3F1"/>
    <w:rsid w:val="000A2CC7"/>
    <w:rsid w:val="000A2E55"/>
    <w:rsid w:val="000A2ED6"/>
    <w:rsid w:val="000A32F7"/>
    <w:rsid w:val="000A338C"/>
    <w:rsid w:val="000A33BA"/>
    <w:rsid w:val="000A34E3"/>
    <w:rsid w:val="000A3E17"/>
    <w:rsid w:val="000A4205"/>
    <w:rsid w:val="000A43F2"/>
    <w:rsid w:val="000A4412"/>
    <w:rsid w:val="000A443F"/>
    <w:rsid w:val="000A4A19"/>
    <w:rsid w:val="000A50AE"/>
    <w:rsid w:val="000A5A8F"/>
    <w:rsid w:val="000A5B59"/>
    <w:rsid w:val="000A6351"/>
    <w:rsid w:val="000A63D6"/>
    <w:rsid w:val="000A705F"/>
    <w:rsid w:val="000A70DC"/>
    <w:rsid w:val="000A7888"/>
    <w:rsid w:val="000A79C5"/>
    <w:rsid w:val="000A7B38"/>
    <w:rsid w:val="000A7F10"/>
    <w:rsid w:val="000A7F5B"/>
    <w:rsid w:val="000B018F"/>
    <w:rsid w:val="000B0343"/>
    <w:rsid w:val="000B112F"/>
    <w:rsid w:val="000B208C"/>
    <w:rsid w:val="000B27C5"/>
    <w:rsid w:val="000B28F2"/>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25F"/>
    <w:rsid w:val="000B560A"/>
    <w:rsid w:val="000B5905"/>
    <w:rsid w:val="000B5975"/>
    <w:rsid w:val="000B5F1D"/>
    <w:rsid w:val="000B6E2C"/>
    <w:rsid w:val="000B734C"/>
    <w:rsid w:val="000B7399"/>
    <w:rsid w:val="000B76C5"/>
    <w:rsid w:val="000B7A10"/>
    <w:rsid w:val="000B7C48"/>
    <w:rsid w:val="000B7DAA"/>
    <w:rsid w:val="000C05A5"/>
    <w:rsid w:val="000C096C"/>
    <w:rsid w:val="000C0DFC"/>
    <w:rsid w:val="000C115D"/>
    <w:rsid w:val="000C148A"/>
    <w:rsid w:val="000C1535"/>
    <w:rsid w:val="000C1D16"/>
    <w:rsid w:val="000C252B"/>
    <w:rsid w:val="000C2556"/>
    <w:rsid w:val="000C2702"/>
    <w:rsid w:val="000C28CE"/>
    <w:rsid w:val="000C2926"/>
    <w:rsid w:val="000C2F06"/>
    <w:rsid w:val="000C2F81"/>
    <w:rsid w:val="000C2FBD"/>
    <w:rsid w:val="000C30AE"/>
    <w:rsid w:val="000C3B0C"/>
    <w:rsid w:val="000C422D"/>
    <w:rsid w:val="000C4436"/>
    <w:rsid w:val="000C4730"/>
    <w:rsid w:val="000C4BC0"/>
    <w:rsid w:val="000C4CEF"/>
    <w:rsid w:val="000C5974"/>
    <w:rsid w:val="000C5A38"/>
    <w:rsid w:val="000C5ACF"/>
    <w:rsid w:val="000C5E65"/>
    <w:rsid w:val="000C5F91"/>
    <w:rsid w:val="000C6025"/>
    <w:rsid w:val="000C6985"/>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FFE"/>
    <w:rsid w:val="000D203B"/>
    <w:rsid w:val="000D20AC"/>
    <w:rsid w:val="000D210F"/>
    <w:rsid w:val="000D22CC"/>
    <w:rsid w:val="000D2BED"/>
    <w:rsid w:val="000D3660"/>
    <w:rsid w:val="000D36AE"/>
    <w:rsid w:val="000D38A1"/>
    <w:rsid w:val="000D38DD"/>
    <w:rsid w:val="000D3C7D"/>
    <w:rsid w:val="000D3F5E"/>
    <w:rsid w:val="000D457A"/>
    <w:rsid w:val="000D4B01"/>
    <w:rsid w:val="000D4C4E"/>
    <w:rsid w:val="000D5077"/>
    <w:rsid w:val="000D5362"/>
    <w:rsid w:val="000D55DB"/>
    <w:rsid w:val="000D5673"/>
    <w:rsid w:val="000D5746"/>
    <w:rsid w:val="000D57F8"/>
    <w:rsid w:val="000D5851"/>
    <w:rsid w:val="000D5AF8"/>
    <w:rsid w:val="000D5C60"/>
    <w:rsid w:val="000D5D6F"/>
    <w:rsid w:val="000D5FD7"/>
    <w:rsid w:val="000D6227"/>
    <w:rsid w:val="000D6E50"/>
    <w:rsid w:val="000D71E2"/>
    <w:rsid w:val="000D73A5"/>
    <w:rsid w:val="000D7995"/>
    <w:rsid w:val="000E003E"/>
    <w:rsid w:val="000E01F5"/>
    <w:rsid w:val="000E07D6"/>
    <w:rsid w:val="000E0E51"/>
    <w:rsid w:val="000E1052"/>
    <w:rsid w:val="000E1380"/>
    <w:rsid w:val="000E18DF"/>
    <w:rsid w:val="000E1CCC"/>
    <w:rsid w:val="000E224F"/>
    <w:rsid w:val="000E2288"/>
    <w:rsid w:val="000E2473"/>
    <w:rsid w:val="000E31B4"/>
    <w:rsid w:val="000E3765"/>
    <w:rsid w:val="000E39FD"/>
    <w:rsid w:val="000E3F0D"/>
    <w:rsid w:val="000E3FF5"/>
    <w:rsid w:val="000E4791"/>
    <w:rsid w:val="000E4984"/>
    <w:rsid w:val="000E4F23"/>
    <w:rsid w:val="000E50A7"/>
    <w:rsid w:val="000E50F5"/>
    <w:rsid w:val="000E565C"/>
    <w:rsid w:val="000E59A0"/>
    <w:rsid w:val="000E5DFA"/>
    <w:rsid w:val="000E67E9"/>
    <w:rsid w:val="000E71AA"/>
    <w:rsid w:val="000E7937"/>
    <w:rsid w:val="000E7A84"/>
    <w:rsid w:val="000F06E1"/>
    <w:rsid w:val="000F073A"/>
    <w:rsid w:val="000F07E9"/>
    <w:rsid w:val="000F102A"/>
    <w:rsid w:val="000F1241"/>
    <w:rsid w:val="000F15BC"/>
    <w:rsid w:val="000F180A"/>
    <w:rsid w:val="000F1C92"/>
    <w:rsid w:val="000F275B"/>
    <w:rsid w:val="000F2EEE"/>
    <w:rsid w:val="000F2FA6"/>
    <w:rsid w:val="000F3294"/>
    <w:rsid w:val="000F3697"/>
    <w:rsid w:val="000F39D5"/>
    <w:rsid w:val="000F3AAB"/>
    <w:rsid w:val="000F3BB7"/>
    <w:rsid w:val="000F42D8"/>
    <w:rsid w:val="000F4E03"/>
    <w:rsid w:val="000F6EAD"/>
    <w:rsid w:val="000F7F58"/>
    <w:rsid w:val="00100128"/>
    <w:rsid w:val="001002A7"/>
    <w:rsid w:val="00100B7A"/>
    <w:rsid w:val="00100E3F"/>
    <w:rsid w:val="00100FF3"/>
    <w:rsid w:val="00101565"/>
    <w:rsid w:val="00101586"/>
    <w:rsid w:val="00101B1A"/>
    <w:rsid w:val="00101C5E"/>
    <w:rsid w:val="001025C0"/>
    <w:rsid w:val="001026CA"/>
    <w:rsid w:val="001028DB"/>
    <w:rsid w:val="00102D51"/>
    <w:rsid w:val="001030D1"/>
    <w:rsid w:val="001041DD"/>
    <w:rsid w:val="001043C2"/>
    <w:rsid w:val="001043E1"/>
    <w:rsid w:val="00104C49"/>
    <w:rsid w:val="00104CA6"/>
    <w:rsid w:val="00104FC3"/>
    <w:rsid w:val="0010505A"/>
    <w:rsid w:val="0010540B"/>
    <w:rsid w:val="00105CC7"/>
    <w:rsid w:val="00107009"/>
    <w:rsid w:val="00107779"/>
    <w:rsid w:val="001078C2"/>
    <w:rsid w:val="00107E1C"/>
    <w:rsid w:val="00110243"/>
    <w:rsid w:val="00110345"/>
    <w:rsid w:val="0011035E"/>
    <w:rsid w:val="00110466"/>
    <w:rsid w:val="001112C4"/>
    <w:rsid w:val="0011130B"/>
    <w:rsid w:val="00111444"/>
    <w:rsid w:val="001114E5"/>
    <w:rsid w:val="00111723"/>
    <w:rsid w:val="00111940"/>
    <w:rsid w:val="001119E6"/>
    <w:rsid w:val="001121AE"/>
    <w:rsid w:val="0011221F"/>
    <w:rsid w:val="0011288D"/>
    <w:rsid w:val="00112928"/>
    <w:rsid w:val="001129B5"/>
    <w:rsid w:val="00112A00"/>
    <w:rsid w:val="001141E3"/>
    <w:rsid w:val="001144DF"/>
    <w:rsid w:val="001147A4"/>
    <w:rsid w:val="00114BE0"/>
    <w:rsid w:val="0011557B"/>
    <w:rsid w:val="001156E2"/>
    <w:rsid w:val="00115CD2"/>
    <w:rsid w:val="001163DF"/>
    <w:rsid w:val="00116711"/>
    <w:rsid w:val="00116806"/>
    <w:rsid w:val="00117488"/>
    <w:rsid w:val="001175ED"/>
    <w:rsid w:val="00117C85"/>
    <w:rsid w:val="00117CBF"/>
    <w:rsid w:val="00120647"/>
    <w:rsid w:val="00120819"/>
    <w:rsid w:val="00120923"/>
    <w:rsid w:val="00120B13"/>
    <w:rsid w:val="001214C1"/>
    <w:rsid w:val="001215E6"/>
    <w:rsid w:val="00122457"/>
    <w:rsid w:val="0012245F"/>
    <w:rsid w:val="00122483"/>
    <w:rsid w:val="00123167"/>
    <w:rsid w:val="00123538"/>
    <w:rsid w:val="001235B7"/>
    <w:rsid w:val="00123658"/>
    <w:rsid w:val="00124435"/>
    <w:rsid w:val="00124D84"/>
    <w:rsid w:val="00125065"/>
    <w:rsid w:val="001250D6"/>
    <w:rsid w:val="001250DD"/>
    <w:rsid w:val="00125660"/>
    <w:rsid w:val="00125733"/>
    <w:rsid w:val="00125B70"/>
    <w:rsid w:val="001263AA"/>
    <w:rsid w:val="00127325"/>
    <w:rsid w:val="00127CCF"/>
    <w:rsid w:val="00127F12"/>
    <w:rsid w:val="00127F8B"/>
    <w:rsid w:val="00130779"/>
    <w:rsid w:val="001307A1"/>
    <w:rsid w:val="00130871"/>
    <w:rsid w:val="001308EC"/>
    <w:rsid w:val="00131037"/>
    <w:rsid w:val="00131BEC"/>
    <w:rsid w:val="001321D3"/>
    <w:rsid w:val="001323B6"/>
    <w:rsid w:val="0013252E"/>
    <w:rsid w:val="001329B3"/>
    <w:rsid w:val="00132D48"/>
    <w:rsid w:val="0013301D"/>
    <w:rsid w:val="0013309E"/>
    <w:rsid w:val="00133599"/>
    <w:rsid w:val="00133BF7"/>
    <w:rsid w:val="00133DB1"/>
    <w:rsid w:val="00133EEA"/>
    <w:rsid w:val="00133F00"/>
    <w:rsid w:val="00134028"/>
    <w:rsid w:val="001345A2"/>
    <w:rsid w:val="001347E7"/>
    <w:rsid w:val="00134939"/>
    <w:rsid w:val="001349B6"/>
    <w:rsid w:val="00134B88"/>
    <w:rsid w:val="00134C49"/>
    <w:rsid w:val="00135B16"/>
    <w:rsid w:val="00135C38"/>
    <w:rsid w:val="00136087"/>
    <w:rsid w:val="00136088"/>
    <w:rsid w:val="001365EE"/>
    <w:rsid w:val="001367A0"/>
    <w:rsid w:val="00136A23"/>
    <w:rsid w:val="00136B99"/>
    <w:rsid w:val="001373D7"/>
    <w:rsid w:val="00137979"/>
    <w:rsid w:val="00137E9F"/>
    <w:rsid w:val="001400F0"/>
    <w:rsid w:val="0014063E"/>
    <w:rsid w:val="001406D2"/>
    <w:rsid w:val="00140833"/>
    <w:rsid w:val="0014087D"/>
    <w:rsid w:val="0014092C"/>
    <w:rsid w:val="00140995"/>
    <w:rsid w:val="00140A96"/>
    <w:rsid w:val="00140F74"/>
    <w:rsid w:val="00141191"/>
    <w:rsid w:val="0014134F"/>
    <w:rsid w:val="001414C2"/>
    <w:rsid w:val="0014159C"/>
    <w:rsid w:val="00141ADC"/>
    <w:rsid w:val="00141B23"/>
    <w:rsid w:val="00141D0D"/>
    <w:rsid w:val="00141F4A"/>
    <w:rsid w:val="00142665"/>
    <w:rsid w:val="00143389"/>
    <w:rsid w:val="001434E2"/>
    <w:rsid w:val="0014384A"/>
    <w:rsid w:val="0014426C"/>
    <w:rsid w:val="0014450F"/>
    <w:rsid w:val="001445E2"/>
    <w:rsid w:val="0014496A"/>
    <w:rsid w:val="00144D8F"/>
    <w:rsid w:val="00145391"/>
    <w:rsid w:val="00145C74"/>
    <w:rsid w:val="00145E06"/>
    <w:rsid w:val="0014600E"/>
    <w:rsid w:val="001462E9"/>
    <w:rsid w:val="00146621"/>
    <w:rsid w:val="00146622"/>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5E6D"/>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3CF9"/>
    <w:rsid w:val="00163DFF"/>
    <w:rsid w:val="00164DAB"/>
    <w:rsid w:val="001655AC"/>
    <w:rsid w:val="00165BBB"/>
    <w:rsid w:val="00165BC8"/>
    <w:rsid w:val="0016613F"/>
    <w:rsid w:val="00166215"/>
    <w:rsid w:val="0016640F"/>
    <w:rsid w:val="00166591"/>
    <w:rsid w:val="00166791"/>
    <w:rsid w:val="0016759A"/>
    <w:rsid w:val="0017068C"/>
    <w:rsid w:val="00170CD9"/>
    <w:rsid w:val="001710E3"/>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6EC6"/>
    <w:rsid w:val="00177069"/>
    <w:rsid w:val="00177125"/>
    <w:rsid w:val="0017772B"/>
    <w:rsid w:val="00177FC1"/>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5332"/>
    <w:rsid w:val="0018588A"/>
    <w:rsid w:val="00185A12"/>
    <w:rsid w:val="00185FA5"/>
    <w:rsid w:val="0018606B"/>
    <w:rsid w:val="00187252"/>
    <w:rsid w:val="00187EA6"/>
    <w:rsid w:val="001909F1"/>
    <w:rsid w:val="0019104B"/>
    <w:rsid w:val="001910BA"/>
    <w:rsid w:val="001916EB"/>
    <w:rsid w:val="00191C91"/>
    <w:rsid w:val="001920EA"/>
    <w:rsid w:val="0019245F"/>
    <w:rsid w:val="00192D6B"/>
    <w:rsid w:val="00192DD9"/>
    <w:rsid w:val="00193C06"/>
    <w:rsid w:val="00193C6F"/>
    <w:rsid w:val="00193D30"/>
    <w:rsid w:val="0019425C"/>
    <w:rsid w:val="00194339"/>
    <w:rsid w:val="001943EC"/>
    <w:rsid w:val="00194848"/>
    <w:rsid w:val="00194F2D"/>
    <w:rsid w:val="00195346"/>
    <w:rsid w:val="0019564D"/>
    <w:rsid w:val="001957BF"/>
    <w:rsid w:val="001958EA"/>
    <w:rsid w:val="00195977"/>
    <w:rsid w:val="00195CAC"/>
    <w:rsid w:val="00195E0E"/>
    <w:rsid w:val="001961CC"/>
    <w:rsid w:val="00196633"/>
    <w:rsid w:val="0019714E"/>
    <w:rsid w:val="00197320"/>
    <w:rsid w:val="00197E31"/>
    <w:rsid w:val="001A0C20"/>
    <w:rsid w:val="001A0D0F"/>
    <w:rsid w:val="001A0E39"/>
    <w:rsid w:val="001A177A"/>
    <w:rsid w:val="001A180D"/>
    <w:rsid w:val="001A1BAC"/>
    <w:rsid w:val="001A23CE"/>
    <w:rsid w:val="001A2C89"/>
    <w:rsid w:val="001A2D5B"/>
    <w:rsid w:val="001A2FE9"/>
    <w:rsid w:val="001A3C1F"/>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084D"/>
    <w:rsid w:val="001B09CE"/>
    <w:rsid w:val="001B0B84"/>
    <w:rsid w:val="001B1405"/>
    <w:rsid w:val="001B15E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8C"/>
    <w:rsid w:val="001C02D8"/>
    <w:rsid w:val="001C04E3"/>
    <w:rsid w:val="001C0569"/>
    <w:rsid w:val="001C067A"/>
    <w:rsid w:val="001C0C93"/>
    <w:rsid w:val="001C0CE3"/>
    <w:rsid w:val="001C115A"/>
    <w:rsid w:val="001C14ED"/>
    <w:rsid w:val="001C16D5"/>
    <w:rsid w:val="001C1C11"/>
    <w:rsid w:val="001C1D7E"/>
    <w:rsid w:val="001C1FB0"/>
    <w:rsid w:val="001C2378"/>
    <w:rsid w:val="001C241E"/>
    <w:rsid w:val="001C249F"/>
    <w:rsid w:val="001C2719"/>
    <w:rsid w:val="001C2B72"/>
    <w:rsid w:val="001C2F70"/>
    <w:rsid w:val="001C3771"/>
    <w:rsid w:val="001C3A99"/>
    <w:rsid w:val="001C3AE4"/>
    <w:rsid w:val="001C3EE9"/>
    <w:rsid w:val="001C3FA4"/>
    <w:rsid w:val="001C40F9"/>
    <w:rsid w:val="001C439F"/>
    <w:rsid w:val="001C458B"/>
    <w:rsid w:val="001C4706"/>
    <w:rsid w:val="001C4AE2"/>
    <w:rsid w:val="001C4BD6"/>
    <w:rsid w:val="001C4FC2"/>
    <w:rsid w:val="001C5D4F"/>
    <w:rsid w:val="001C64C0"/>
    <w:rsid w:val="001C69DA"/>
    <w:rsid w:val="001C6E2D"/>
    <w:rsid w:val="001C6EAE"/>
    <w:rsid w:val="001C6F06"/>
    <w:rsid w:val="001C7223"/>
    <w:rsid w:val="001D0198"/>
    <w:rsid w:val="001D01E3"/>
    <w:rsid w:val="001D032F"/>
    <w:rsid w:val="001D0417"/>
    <w:rsid w:val="001D0731"/>
    <w:rsid w:val="001D13FA"/>
    <w:rsid w:val="001D15BB"/>
    <w:rsid w:val="001D2360"/>
    <w:rsid w:val="001D24FA"/>
    <w:rsid w:val="001D2932"/>
    <w:rsid w:val="001D2DA1"/>
    <w:rsid w:val="001D2EC5"/>
    <w:rsid w:val="001D2FFA"/>
    <w:rsid w:val="001D3109"/>
    <w:rsid w:val="001D332E"/>
    <w:rsid w:val="001D344A"/>
    <w:rsid w:val="001D3733"/>
    <w:rsid w:val="001D382E"/>
    <w:rsid w:val="001D3836"/>
    <w:rsid w:val="001D4490"/>
    <w:rsid w:val="001D48F5"/>
    <w:rsid w:val="001D4C70"/>
    <w:rsid w:val="001D5033"/>
    <w:rsid w:val="001D5281"/>
    <w:rsid w:val="001D544E"/>
    <w:rsid w:val="001D5C6A"/>
    <w:rsid w:val="001D5C88"/>
    <w:rsid w:val="001D5CED"/>
    <w:rsid w:val="001D5F5E"/>
    <w:rsid w:val="001D6567"/>
    <w:rsid w:val="001D695C"/>
    <w:rsid w:val="001D6CFC"/>
    <w:rsid w:val="001D6FB2"/>
    <w:rsid w:val="001D6FD9"/>
    <w:rsid w:val="001D72E2"/>
    <w:rsid w:val="001D7447"/>
    <w:rsid w:val="001D7764"/>
    <w:rsid w:val="001D780E"/>
    <w:rsid w:val="001D7E19"/>
    <w:rsid w:val="001E05C3"/>
    <w:rsid w:val="001E0AD3"/>
    <w:rsid w:val="001E20FE"/>
    <w:rsid w:val="001E21F0"/>
    <w:rsid w:val="001E252C"/>
    <w:rsid w:val="001E2815"/>
    <w:rsid w:val="001E2DEE"/>
    <w:rsid w:val="001E304C"/>
    <w:rsid w:val="001E3144"/>
    <w:rsid w:val="001E325C"/>
    <w:rsid w:val="001E32A3"/>
    <w:rsid w:val="001E36E4"/>
    <w:rsid w:val="001E373B"/>
    <w:rsid w:val="001E379D"/>
    <w:rsid w:val="001E3A3C"/>
    <w:rsid w:val="001E3B79"/>
    <w:rsid w:val="001E49B1"/>
    <w:rsid w:val="001E4F90"/>
    <w:rsid w:val="001E5A13"/>
    <w:rsid w:val="001E5C23"/>
    <w:rsid w:val="001E5E20"/>
    <w:rsid w:val="001E5F90"/>
    <w:rsid w:val="001E6F89"/>
    <w:rsid w:val="001E7017"/>
    <w:rsid w:val="001E7504"/>
    <w:rsid w:val="001E76D6"/>
    <w:rsid w:val="001E76DF"/>
    <w:rsid w:val="001E7D0A"/>
    <w:rsid w:val="001F02CD"/>
    <w:rsid w:val="001F0800"/>
    <w:rsid w:val="001F1308"/>
    <w:rsid w:val="001F132D"/>
    <w:rsid w:val="001F1525"/>
    <w:rsid w:val="001F1663"/>
    <w:rsid w:val="001F1E87"/>
    <w:rsid w:val="001F1EB6"/>
    <w:rsid w:val="001F203B"/>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5A8D"/>
    <w:rsid w:val="001F611F"/>
    <w:rsid w:val="001F6152"/>
    <w:rsid w:val="001F649C"/>
    <w:rsid w:val="001F6E34"/>
    <w:rsid w:val="001F7121"/>
    <w:rsid w:val="001F759E"/>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A54"/>
    <w:rsid w:val="00207C7C"/>
    <w:rsid w:val="00207C96"/>
    <w:rsid w:val="00210161"/>
    <w:rsid w:val="00210860"/>
    <w:rsid w:val="00210B6A"/>
    <w:rsid w:val="00210E44"/>
    <w:rsid w:val="002111C2"/>
    <w:rsid w:val="002118BA"/>
    <w:rsid w:val="00211CD1"/>
    <w:rsid w:val="00211F48"/>
    <w:rsid w:val="00212109"/>
    <w:rsid w:val="00212648"/>
    <w:rsid w:val="002127A0"/>
    <w:rsid w:val="002129F7"/>
    <w:rsid w:val="00212B0A"/>
    <w:rsid w:val="00212CB6"/>
    <w:rsid w:val="00212E37"/>
    <w:rsid w:val="00212F20"/>
    <w:rsid w:val="002140FF"/>
    <w:rsid w:val="0021436E"/>
    <w:rsid w:val="00214F31"/>
    <w:rsid w:val="0021570B"/>
    <w:rsid w:val="00215AFD"/>
    <w:rsid w:val="00216388"/>
    <w:rsid w:val="00216422"/>
    <w:rsid w:val="0021680F"/>
    <w:rsid w:val="00216D08"/>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2BC"/>
    <w:rsid w:val="00225A6A"/>
    <w:rsid w:val="00225AC7"/>
    <w:rsid w:val="00225ACC"/>
    <w:rsid w:val="00225CB4"/>
    <w:rsid w:val="002267AB"/>
    <w:rsid w:val="00226BDA"/>
    <w:rsid w:val="00227B82"/>
    <w:rsid w:val="00230C01"/>
    <w:rsid w:val="00230E90"/>
    <w:rsid w:val="00231A3D"/>
    <w:rsid w:val="00231C25"/>
    <w:rsid w:val="00231C6F"/>
    <w:rsid w:val="0023287E"/>
    <w:rsid w:val="00232A90"/>
    <w:rsid w:val="00232AE7"/>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867"/>
    <w:rsid w:val="00234C15"/>
    <w:rsid w:val="00234F3A"/>
    <w:rsid w:val="00234F8C"/>
    <w:rsid w:val="00235140"/>
    <w:rsid w:val="002352B9"/>
    <w:rsid w:val="00235542"/>
    <w:rsid w:val="00236349"/>
    <w:rsid w:val="002369B0"/>
    <w:rsid w:val="00236A36"/>
    <w:rsid w:val="00236AD8"/>
    <w:rsid w:val="002401F5"/>
    <w:rsid w:val="00240E54"/>
    <w:rsid w:val="0024293A"/>
    <w:rsid w:val="00242B4D"/>
    <w:rsid w:val="00243B3C"/>
    <w:rsid w:val="00243FCB"/>
    <w:rsid w:val="002443C3"/>
    <w:rsid w:val="00244955"/>
    <w:rsid w:val="00244DC3"/>
    <w:rsid w:val="002451C5"/>
    <w:rsid w:val="0024522D"/>
    <w:rsid w:val="002456B6"/>
    <w:rsid w:val="00245F1F"/>
    <w:rsid w:val="00246432"/>
    <w:rsid w:val="0024661A"/>
    <w:rsid w:val="0024663B"/>
    <w:rsid w:val="00247103"/>
    <w:rsid w:val="00247201"/>
    <w:rsid w:val="00247542"/>
    <w:rsid w:val="00250067"/>
    <w:rsid w:val="0025096B"/>
    <w:rsid w:val="00250A30"/>
    <w:rsid w:val="00250E6E"/>
    <w:rsid w:val="002511B6"/>
    <w:rsid w:val="002515DA"/>
    <w:rsid w:val="002516DE"/>
    <w:rsid w:val="00251A69"/>
    <w:rsid w:val="00251F81"/>
    <w:rsid w:val="002522B5"/>
    <w:rsid w:val="00252A24"/>
    <w:rsid w:val="00252BE0"/>
    <w:rsid w:val="002533B2"/>
    <w:rsid w:val="002533D4"/>
    <w:rsid w:val="00253588"/>
    <w:rsid w:val="00253823"/>
    <w:rsid w:val="00253881"/>
    <w:rsid w:val="00253FC4"/>
    <w:rsid w:val="002546F4"/>
    <w:rsid w:val="002551D0"/>
    <w:rsid w:val="00255374"/>
    <w:rsid w:val="00255452"/>
    <w:rsid w:val="002556BC"/>
    <w:rsid w:val="00255AC0"/>
    <w:rsid w:val="00255F8F"/>
    <w:rsid w:val="00256368"/>
    <w:rsid w:val="00256E03"/>
    <w:rsid w:val="00257BF4"/>
    <w:rsid w:val="00260003"/>
    <w:rsid w:val="0026035D"/>
    <w:rsid w:val="002603B6"/>
    <w:rsid w:val="00260677"/>
    <w:rsid w:val="002606D6"/>
    <w:rsid w:val="00260EFE"/>
    <w:rsid w:val="00261089"/>
    <w:rsid w:val="00261C98"/>
    <w:rsid w:val="002620A3"/>
    <w:rsid w:val="002623D0"/>
    <w:rsid w:val="0026248E"/>
    <w:rsid w:val="00262914"/>
    <w:rsid w:val="00262ACB"/>
    <w:rsid w:val="00262E50"/>
    <w:rsid w:val="002630C1"/>
    <w:rsid w:val="00263DDB"/>
    <w:rsid w:val="00264295"/>
    <w:rsid w:val="002647BF"/>
    <w:rsid w:val="002647D5"/>
    <w:rsid w:val="00264898"/>
    <w:rsid w:val="00264C52"/>
    <w:rsid w:val="00265032"/>
    <w:rsid w:val="002651FB"/>
    <w:rsid w:val="00265310"/>
    <w:rsid w:val="0026538C"/>
    <w:rsid w:val="002653F8"/>
    <w:rsid w:val="00265655"/>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1FF3"/>
    <w:rsid w:val="00272257"/>
    <w:rsid w:val="00272604"/>
    <w:rsid w:val="0027274E"/>
    <w:rsid w:val="002727FC"/>
    <w:rsid w:val="00272B03"/>
    <w:rsid w:val="00272B15"/>
    <w:rsid w:val="002733E2"/>
    <w:rsid w:val="002736C4"/>
    <w:rsid w:val="00274FCF"/>
    <w:rsid w:val="002750B1"/>
    <w:rsid w:val="00275202"/>
    <w:rsid w:val="002754C5"/>
    <w:rsid w:val="0027553D"/>
    <w:rsid w:val="00275552"/>
    <w:rsid w:val="00275710"/>
    <w:rsid w:val="00275C51"/>
    <w:rsid w:val="00275D30"/>
    <w:rsid w:val="00275ED3"/>
    <w:rsid w:val="00276721"/>
    <w:rsid w:val="00276A35"/>
    <w:rsid w:val="0027759E"/>
    <w:rsid w:val="00277835"/>
    <w:rsid w:val="00277A3A"/>
    <w:rsid w:val="00277E55"/>
    <w:rsid w:val="00277F43"/>
    <w:rsid w:val="0028001B"/>
    <w:rsid w:val="00280102"/>
    <w:rsid w:val="00280AB1"/>
    <w:rsid w:val="00280F05"/>
    <w:rsid w:val="002813F7"/>
    <w:rsid w:val="0028143F"/>
    <w:rsid w:val="0028151F"/>
    <w:rsid w:val="0028159A"/>
    <w:rsid w:val="0028189E"/>
    <w:rsid w:val="00281D2A"/>
    <w:rsid w:val="00282A60"/>
    <w:rsid w:val="00282B8E"/>
    <w:rsid w:val="00282CD7"/>
    <w:rsid w:val="0028306E"/>
    <w:rsid w:val="002837CC"/>
    <w:rsid w:val="00283D71"/>
    <w:rsid w:val="00283E42"/>
    <w:rsid w:val="002843E2"/>
    <w:rsid w:val="00284797"/>
    <w:rsid w:val="002848AB"/>
    <w:rsid w:val="00284A13"/>
    <w:rsid w:val="00284BAE"/>
    <w:rsid w:val="00284C48"/>
    <w:rsid w:val="00284CF9"/>
    <w:rsid w:val="00284E6A"/>
    <w:rsid w:val="00284F0C"/>
    <w:rsid w:val="002859AF"/>
    <w:rsid w:val="00285E4C"/>
    <w:rsid w:val="002860C2"/>
    <w:rsid w:val="00286AE7"/>
    <w:rsid w:val="00287243"/>
    <w:rsid w:val="002875A8"/>
    <w:rsid w:val="002877B3"/>
    <w:rsid w:val="00287917"/>
    <w:rsid w:val="00287D70"/>
    <w:rsid w:val="00290422"/>
    <w:rsid w:val="00290647"/>
    <w:rsid w:val="00290996"/>
    <w:rsid w:val="00291385"/>
    <w:rsid w:val="00291422"/>
    <w:rsid w:val="0029191A"/>
    <w:rsid w:val="00291B94"/>
    <w:rsid w:val="0029237F"/>
    <w:rsid w:val="00292715"/>
    <w:rsid w:val="00292F25"/>
    <w:rsid w:val="00292FDD"/>
    <w:rsid w:val="00293433"/>
    <w:rsid w:val="002937DD"/>
    <w:rsid w:val="00293E57"/>
    <w:rsid w:val="00293F5A"/>
    <w:rsid w:val="00294234"/>
    <w:rsid w:val="002947D1"/>
    <w:rsid w:val="002948DF"/>
    <w:rsid w:val="00294D90"/>
    <w:rsid w:val="00294EA2"/>
    <w:rsid w:val="00295166"/>
    <w:rsid w:val="0029690D"/>
    <w:rsid w:val="0029722B"/>
    <w:rsid w:val="00297611"/>
    <w:rsid w:val="00297935"/>
    <w:rsid w:val="002A0AE0"/>
    <w:rsid w:val="002A0EC3"/>
    <w:rsid w:val="002A0EE0"/>
    <w:rsid w:val="002A1CE4"/>
    <w:rsid w:val="002A1E92"/>
    <w:rsid w:val="002A204D"/>
    <w:rsid w:val="002A2616"/>
    <w:rsid w:val="002A26E1"/>
    <w:rsid w:val="002A368A"/>
    <w:rsid w:val="002A4065"/>
    <w:rsid w:val="002A4095"/>
    <w:rsid w:val="002A4245"/>
    <w:rsid w:val="002A4532"/>
    <w:rsid w:val="002A49EF"/>
    <w:rsid w:val="002A4E10"/>
    <w:rsid w:val="002A4F08"/>
    <w:rsid w:val="002A54E5"/>
    <w:rsid w:val="002A59F0"/>
    <w:rsid w:val="002A5C48"/>
    <w:rsid w:val="002A618F"/>
    <w:rsid w:val="002A6432"/>
    <w:rsid w:val="002A6A5C"/>
    <w:rsid w:val="002A6D11"/>
    <w:rsid w:val="002A6D5A"/>
    <w:rsid w:val="002A6F25"/>
    <w:rsid w:val="002A6FD3"/>
    <w:rsid w:val="002A744A"/>
    <w:rsid w:val="002A7D37"/>
    <w:rsid w:val="002B0358"/>
    <w:rsid w:val="002B062A"/>
    <w:rsid w:val="002B0654"/>
    <w:rsid w:val="002B06E0"/>
    <w:rsid w:val="002B0A7D"/>
    <w:rsid w:val="002B1742"/>
    <w:rsid w:val="002B1A69"/>
    <w:rsid w:val="002B1B71"/>
    <w:rsid w:val="002B202C"/>
    <w:rsid w:val="002B20B3"/>
    <w:rsid w:val="002B222B"/>
    <w:rsid w:val="002B2723"/>
    <w:rsid w:val="002B280E"/>
    <w:rsid w:val="002B283A"/>
    <w:rsid w:val="002B303A"/>
    <w:rsid w:val="002B3050"/>
    <w:rsid w:val="002B3321"/>
    <w:rsid w:val="002B33CB"/>
    <w:rsid w:val="002B348C"/>
    <w:rsid w:val="002B34E1"/>
    <w:rsid w:val="002B36A5"/>
    <w:rsid w:val="002B3713"/>
    <w:rsid w:val="002B3A82"/>
    <w:rsid w:val="002B4266"/>
    <w:rsid w:val="002B45F8"/>
    <w:rsid w:val="002B4AD2"/>
    <w:rsid w:val="002B538E"/>
    <w:rsid w:val="002B595A"/>
    <w:rsid w:val="002B5DCA"/>
    <w:rsid w:val="002B63CF"/>
    <w:rsid w:val="002B6565"/>
    <w:rsid w:val="002B6BDC"/>
    <w:rsid w:val="002B717B"/>
    <w:rsid w:val="002B71F1"/>
    <w:rsid w:val="002B7342"/>
    <w:rsid w:val="002B75B0"/>
    <w:rsid w:val="002B7878"/>
    <w:rsid w:val="002B7CD8"/>
    <w:rsid w:val="002B7EAF"/>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749"/>
    <w:rsid w:val="002C5AFA"/>
    <w:rsid w:val="002C61B0"/>
    <w:rsid w:val="002C645F"/>
    <w:rsid w:val="002C6B7F"/>
    <w:rsid w:val="002C71F7"/>
    <w:rsid w:val="002C7353"/>
    <w:rsid w:val="002D0439"/>
    <w:rsid w:val="002D0678"/>
    <w:rsid w:val="002D06E6"/>
    <w:rsid w:val="002D0D88"/>
    <w:rsid w:val="002D1135"/>
    <w:rsid w:val="002D11B7"/>
    <w:rsid w:val="002D1F28"/>
    <w:rsid w:val="002D208E"/>
    <w:rsid w:val="002D2236"/>
    <w:rsid w:val="002D22A7"/>
    <w:rsid w:val="002D25A8"/>
    <w:rsid w:val="002D291F"/>
    <w:rsid w:val="002D2A95"/>
    <w:rsid w:val="002D3648"/>
    <w:rsid w:val="002D3BBC"/>
    <w:rsid w:val="002D3D3E"/>
    <w:rsid w:val="002D3D5F"/>
    <w:rsid w:val="002D3EA5"/>
    <w:rsid w:val="002D422F"/>
    <w:rsid w:val="002D4320"/>
    <w:rsid w:val="002D438A"/>
    <w:rsid w:val="002D4587"/>
    <w:rsid w:val="002D4904"/>
    <w:rsid w:val="002D4D67"/>
    <w:rsid w:val="002D5738"/>
    <w:rsid w:val="002D5CB1"/>
    <w:rsid w:val="002D5E53"/>
    <w:rsid w:val="002D6347"/>
    <w:rsid w:val="002D642E"/>
    <w:rsid w:val="002D6508"/>
    <w:rsid w:val="002D6517"/>
    <w:rsid w:val="002D6DAE"/>
    <w:rsid w:val="002D7777"/>
    <w:rsid w:val="002D77A0"/>
    <w:rsid w:val="002D79A9"/>
    <w:rsid w:val="002D7A03"/>
    <w:rsid w:val="002D7CFE"/>
    <w:rsid w:val="002E01D2"/>
    <w:rsid w:val="002E0319"/>
    <w:rsid w:val="002E0CB0"/>
    <w:rsid w:val="002E0DC4"/>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C35"/>
    <w:rsid w:val="002F3482"/>
    <w:rsid w:val="002F3507"/>
    <w:rsid w:val="002F35CA"/>
    <w:rsid w:val="002F3CDE"/>
    <w:rsid w:val="002F3D77"/>
    <w:rsid w:val="002F3E33"/>
    <w:rsid w:val="002F4CFA"/>
    <w:rsid w:val="002F505B"/>
    <w:rsid w:val="002F56BD"/>
    <w:rsid w:val="002F5BD3"/>
    <w:rsid w:val="002F5DD6"/>
    <w:rsid w:val="002F5DE6"/>
    <w:rsid w:val="002F5FEA"/>
    <w:rsid w:val="002F62F0"/>
    <w:rsid w:val="002F6357"/>
    <w:rsid w:val="002F63E7"/>
    <w:rsid w:val="002F6404"/>
    <w:rsid w:val="002F6409"/>
    <w:rsid w:val="002F68E6"/>
    <w:rsid w:val="002F68F1"/>
    <w:rsid w:val="002F6CD0"/>
    <w:rsid w:val="002F6EF7"/>
    <w:rsid w:val="002F7282"/>
    <w:rsid w:val="002F79A6"/>
    <w:rsid w:val="002F7BE3"/>
    <w:rsid w:val="002F7E6A"/>
    <w:rsid w:val="002F7EEA"/>
    <w:rsid w:val="002F7EF1"/>
    <w:rsid w:val="00300165"/>
    <w:rsid w:val="003009E7"/>
    <w:rsid w:val="00300F58"/>
    <w:rsid w:val="003010CF"/>
    <w:rsid w:val="003012E9"/>
    <w:rsid w:val="003017C3"/>
    <w:rsid w:val="003019BE"/>
    <w:rsid w:val="00301DC9"/>
    <w:rsid w:val="00301DD9"/>
    <w:rsid w:val="00302188"/>
    <w:rsid w:val="0030226D"/>
    <w:rsid w:val="0030254E"/>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711"/>
    <w:rsid w:val="00306E6B"/>
    <w:rsid w:val="00306EEB"/>
    <w:rsid w:val="0030780A"/>
    <w:rsid w:val="00307826"/>
    <w:rsid w:val="00307D03"/>
    <w:rsid w:val="003100C8"/>
    <w:rsid w:val="00310212"/>
    <w:rsid w:val="0031030A"/>
    <w:rsid w:val="00310C6A"/>
    <w:rsid w:val="00311161"/>
    <w:rsid w:val="00312400"/>
    <w:rsid w:val="0031257B"/>
    <w:rsid w:val="0031265B"/>
    <w:rsid w:val="00312739"/>
    <w:rsid w:val="00312AAB"/>
    <w:rsid w:val="00312D10"/>
    <w:rsid w:val="00312D23"/>
    <w:rsid w:val="00314C40"/>
    <w:rsid w:val="003155D3"/>
    <w:rsid w:val="0031601B"/>
    <w:rsid w:val="00316153"/>
    <w:rsid w:val="003163F1"/>
    <w:rsid w:val="00316F6C"/>
    <w:rsid w:val="003178DA"/>
    <w:rsid w:val="00317DB8"/>
    <w:rsid w:val="00317E30"/>
    <w:rsid w:val="0032024D"/>
    <w:rsid w:val="0032051F"/>
    <w:rsid w:val="00320618"/>
    <w:rsid w:val="0032100B"/>
    <w:rsid w:val="00321AE2"/>
    <w:rsid w:val="00321BD7"/>
    <w:rsid w:val="00321C77"/>
    <w:rsid w:val="0032260F"/>
    <w:rsid w:val="003228DA"/>
    <w:rsid w:val="00323B63"/>
    <w:rsid w:val="00323D6B"/>
    <w:rsid w:val="003247F3"/>
    <w:rsid w:val="0032494C"/>
    <w:rsid w:val="00324BA8"/>
    <w:rsid w:val="00324D14"/>
    <w:rsid w:val="00324F15"/>
    <w:rsid w:val="003252C8"/>
    <w:rsid w:val="00325A67"/>
    <w:rsid w:val="003262EE"/>
    <w:rsid w:val="00326544"/>
    <w:rsid w:val="003265E4"/>
    <w:rsid w:val="003267DE"/>
    <w:rsid w:val="00326957"/>
    <w:rsid w:val="003269CC"/>
    <w:rsid w:val="00326AE2"/>
    <w:rsid w:val="003270EB"/>
    <w:rsid w:val="0032793E"/>
    <w:rsid w:val="00327B2C"/>
    <w:rsid w:val="00327EF7"/>
    <w:rsid w:val="00331128"/>
    <w:rsid w:val="0033171D"/>
    <w:rsid w:val="00331A52"/>
    <w:rsid w:val="00331CAA"/>
    <w:rsid w:val="00331FC3"/>
    <w:rsid w:val="00332773"/>
    <w:rsid w:val="003329B8"/>
    <w:rsid w:val="00332C61"/>
    <w:rsid w:val="003330F7"/>
    <w:rsid w:val="003335DD"/>
    <w:rsid w:val="003336B3"/>
    <w:rsid w:val="00334D96"/>
    <w:rsid w:val="0033507A"/>
    <w:rsid w:val="00335B75"/>
    <w:rsid w:val="00335D8C"/>
    <w:rsid w:val="00336072"/>
    <w:rsid w:val="003363A1"/>
    <w:rsid w:val="00336639"/>
    <w:rsid w:val="003369BB"/>
    <w:rsid w:val="00336B37"/>
    <w:rsid w:val="00336DF2"/>
    <w:rsid w:val="0033772B"/>
    <w:rsid w:val="0033780B"/>
    <w:rsid w:val="00340061"/>
    <w:rsid w:val="00340092"/>
    <w:rsid w:val="00340313"/>
    <w:rsid w:val="0034081E"/>
    <w:rsid w:val="00340991"/>
    <w:rsid w:val="00340A09"/>
    <w:rsid w:val="00340F9B"/>
    <w:rsid w:val="00341239"/>
    <w:rsid w:val="003413A0"/>
    <w:rsid w:val="003417EF"/>
    <w:rsid w:val="00341D34"/>
    <w:rsid w:val="0034226D"/>
    <w:rsid w:val="00342972"/>
    <w:rsid w:val="00342FDD"/>
    <w:rsid w:val="0034389C"/>
    <w:rsid w:val="003439D7"/>
    <w:rsid w:val="003440CF"/>
    <w:rsid w:val="0034429B"/>
    <w:rsid w:val="0034454F"/>
    <w:rsid w:val="00344866"/>
    <w:rsid w:val="00344C02"/>
    <w:rsid w:val="003450D7"/>
    <w:rsid w:val="0034594B"/>
    <w:rsid w:val="003461A1"/>
    <w:rsid w:val="0034638C"/>
    <w:rsid w:val="00346715"/>
    <w:rsid w:val="003468F8"/>
    <w:rsid w:val="0034697F"/>
    <w:rsid w:val="00346EED"/>
    <w:rsid w:val="00346F7F"/>
    <w:rsid w:val="00347293"/>
    <w:rsid w:val="00347558"/>
    <w:rsid w:val="003476F6"/>
    <w:rsid w:val="0035007E"/>
    <w:rsid w:val="00350108"/>
    <w:rsid w:val="00350498"/>
    <w:rsid w:val="00350762"/>
    <w:rsid w:val="003507C4"/>
    <w:rsid w:val="00350AD9"/>
    <w:rsid w:val="00350EFF"/>
    <w:rsid w:val="003511A3"/>
    <w:rsid w:val="00351606"/>
    <w:rsid w:val="0035160D"/>
    <w:rsid w:val="003519A1"/>
    <w:rsid w:val="00351C3E"/>
    <w:rsid w:val="00351EF5"/>
    <w:rsid w:val="00352480"/>
    <w:rsid w:val="003529BC"/>
    <w:rsid w:val="00352D7A"/>
    <w:rsid w:val="003530D2"/>
    <w:rsid w:val="00353147"/>
    <w:rsid w:val="0035331A"/>
    <w:rsid w:val="003534E1"/>
    <w:rsid w:val="0035395D"/>
    <w:rsid w:val="003548D8"/>
    <w:rsid w:val="003550D1"/>
    <w:rsid w:val="003554CA"/>
    <w:rsid w:val="00355611"/>
    <w:rsid w:val="00355C1E"/>
    <w:rsid w:val="0035607D"/>
    <w:rsid w:val="003560D7"/>
    <w:rsid w:val="00356151"/>
    <w:rsid w:val="0035686E"/>
    <w:rsid w:val="003569DF"/>
    <w:rsid w:val="00356C80"/>
    <w:rsid w:val="00356EB6"/>
    <w:rsid w:val="003570A1"/>
    <w:rsid w:val="00357BC5"/>
    <w:rsid w:val="00357EEC"/>
    <w:rsid w:val="00360014"/>
    <w:rsid w:val="00360232"/>
    <w:rsid w:val="003602C3"/>
    <w:rsid w:val="003602E0"/>
    <w:rsid w:val="003606C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A41"/>
    <w:rsid w:val="00364F75"/>
    <w:rsid w:val="00365411"/>
    <w:rsid w:val="003654B1"/>
    <w:rsid w:val="003656B9"/>
    <w:rsid w:val="00365FA2"/>
    <w:rsid w:val="00366205"/>
    <w:rsid w:val="003663F9"/>
    <w:rsid w:val="00366850"/>
    <w:rsid w:val="0036694C"/>
    <w:rsid w:val="00366B52"/>
    <w:rsid w:val="00366C69"/>
    <w:rsid w:val="00367035"/>
    <w:rsid w:val="00367441"/>
    <w:rsid w:val="00367B1D"/>
    <w:rsid w:val="00370E4F"/>
    <w:rsid w:val="00371215"/>
    <w:rsid w:val="0037129A"/>
    <w:rsid w:val="0037171D"/>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1804"/>
    <w:rsid w:val="003822C7"/>
    <w:rsid w:val="00382A43"/>
    <w:rsid w:val="00382AA8"/>
    <w:rsid w:val="00382B2B"/>
    <w:rsid w:val="00382D60"/>
    <w:rsid w:val="00382F29"/>
    <w:rsid w:val="00383461"/>
    <w:rsid w:val="00383AD4"/>
    <w:rsid w:val="00383C8D"/>
    <w:rsid w:val="00384102"/>
    <w:rsid w:val="00384568"/>
    <w:rsid w:val="003845AC"/>
    <w:rsid w:val="003852FB"/>
    <w:rsid w:val="003853BF"/>
    <w:rsid w:val="00385429"/>
    <w:rsid w:val="003855FC"/>
    <w:rsid w:val="00385B05"/>
    <w:rsid w:val="00386382"/>
    <w:rsid w:val="00386552"/>
    <w:rsid w:val="003865EF"/>
    <w:rsid w:val="00386BA9"/>
    <w:rsid w:val="00386ED1"/>
    <w:rsid w:val="00386EF1"/>
    <w:rsid w:val="0038780B"/>
    <w:rsid w:val="00387AC1"/>
    <w:rsid w:val="00390017"/>
    <w:rsid w:val="00390155"/>
    <w:rsid w:val="003901A3"/>
    <w:rsid w:val="00390271"/>
    <w:rsid w:val="0039072F"/>
    <w:rsid w:val="00390F31"/>
    <w:rsid w:val="00390F5F"/>
    <w:rsid w:val="0039106D"/>
    <w:rsid w:val="00391162"/>
    <w:rsid w:val="00391B88"/>
    <w:rsid w:val="0039230E"/>
    <w:rsid w:val="00392693"/>
    <w:rsid w:val="00392ADB"/>
    <w:rsid w:val="00392EA4"/>
    <w:rsid w:val="003938A6"/>
    <w:rsid w:val="00393CDE"/>
    <w:rsid w:val="003940CE"/>
    <w:rsid w:val="003942FE"/>
    <w:rsid w:val="0039557D"/>
    <w:rsid w:val="00395914"/>
    <w:rsid w:val="003961B4"/>
    <w:rsid w:val="00396949"/>
    <w:rsid w:val="00396AE0"/>
    <w:rsid w:val="00396C65"/>
    <w:rsid w:val="003971B8"/>
    <w:rsid w:val="0039747A"/>
    <w:rsid w:val="00397A6B"/>
    <w:rsid w:val="00397C1D"/>
    <w:rsid w:val="003A000A"/>
    <w:rsid w:val="003A001F"/>
    <w:rsid w:val="003A0421"/>
    <w:rsid w:val="003A09C0"/>
    <w:rsid w:val="003A0D95"/>
    <w:rsid w:val="003A180F"/>
    <w:rsid w:val="003A18DD"/>
    <w:rsid w:val="003A20C8"/>
    <w:rsid w:val="003A20D8"/>
    <w:rsid w:val="003A24AE"/>
    <w:rsid w:val="003A2B03"/>
    <w:rsid w:val="003A2C29"/>
    <w:rsid w:val="003A2DEB"/>
    <w:rsid w:val="003A2E82"/>
    <w:rsid w:val="003A2EC3"/>
    <w:rsid w:val="003A351A"/>
    <w:rsid w:val="003A36F2"/>
    <w:rsid w:val="003A3812"/>
    <w:rsid w:val="003A3BC7"/>
    <w:rsid w:val="003A3C88"/>
    <w:rsid w:val="003A3D39"/>
    <w:rsid w:val="003A3EC7"/>
    <w:rsid w:val="003A40B4"/>
    <w:rsid w:val="003A410A"/>
    <w:rsid w:val="003A4586"/>
    <w:rsid w:val="003A47C0"/>
    <w:rsid w:val="003A501E"/>
    <w:rsid w:val="003A6336"/>
    <w:rsid w:val="003A63C7"/>
    <w:rsid w:val="003A663C"/>
    <w:rsid w:val="003A6D70"/>
    <w:rsid w:val="003A7834"/>
    <w:rsid w:val="003A78FB"/>
    <w:rsid w:val="003A7B6F"/>
    <w:rsid w:val="003A7C52"/>
    <w:rsid w:val="003B0B5B"/>
    <w:rsid w:val="003B0C7E"/>
    <w:rsid w:val="003B0E79"/>
    <w:rsid w:val="003B0FBC"/>
    <w:rsid w:val="003B11E7"/>
    <w:rsid w:val="003B1882"/>
    <w:rsid w:val="003B19F7"/>
    <w:rsid w:val="003B1F9D"/>
    <w:rsid w:val="003B2A34"/>
    <w:rsid w:val="003B2D6D"/>
    <w:rsid w:val="003B2E18"/>
    <w:rsid w:val="003B3575"/>
    <w:rsid w:val="003B3A72"/>
    <w:rsid w:val="003B4001"/>
    <w:rsid w:val="003B4062"/>
    <w:rsid w:val="003B4652"/>
    <w:rsid w:val="003B4675"/>
    <w:rsid w:val="003B48BA"/>
    <w:rsid w:val="003B4CD1"/>
    <w:rsid w:val="003B50BC"/>
    <w:rsid w:val="003B52B7"/>
    <w:rsid w:val="003B52DE"/>
    <w:rsid w:val="003B57D2"/>
    <w:rsid w:val="003B5D68"/>
    <w:rsid w:val="003B5D97"/>
    <w:rsid w:val="003B63A4"/>
    <w:rsid w:val="003B654A"/>
    <w:rsid w:val="003B68EA"/>
    <w:rsid w:val="003B68FE"/>
    <w:rsid w:val="003B6D7D"/>
    <w:rsid w:val="003B7255"/>
    <w:rsid w:val="003B7700"/>
    <w:rsid w:val="003B792F"/>
    <w:rsid w:val="003B7D7E"/>
    <w:rsid w:val="003C0043"/>
    <w:rsid w:val="003C03DF"/>
    <w:rsid w:val="003C064A"/>
    <w:rsid w:val="003C0BEE"/>
    <w:rsid w:val="003C1012"/>
    <w:rsid w:val="003C1173"/>
    <w:rsid w:val="003C11C9"/>
    <w:rsid w:val="003C1229"/>
    <w:rsid w:val="003C15E1"/>
    <w:rsid w:val="003C1A60"/>
    <w:rsid w:val="003C1FD4"/>
    <w:rsid w:val="003C213D"/>
    <w:rsid w:val="003C2406"/>
    <w:rsid w:val="003C25AD"/>
    <w:rsid w:val="003C2664"/>
    <w:rsid w:val="003C2D21"/>
    <w:rsid w:val="003C3563"/>
    <w:rsid w:val="003C3D37"/>
    <w:rsid w:val="003C4070"/>
    <w:rsid w:val="003C45B2"/>
    <w:rsid w:val="003C4787"/>
    <w:rsid w:val="003C4D10"/>
    <w:rsid w:val="003C4E23"/>
    <w:rsid w:val="003C4EBD"/>
    <w:rsid w:val="003C5E6B"/>
    <w:rsid w:val="003C5F34"/>
    <w:rsid w:val="003C6270"/>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521F"/>
    <w:rsid w:val="003D553D"/>
    <w:rsid w:val="003D55ED"/>
    <w:rsid w:val="003D568E"/>
    <w:rsid w:val="003D5842"/>
    <w:rsid w:val="003D58F9"/>
    <w:rsid w:val="003D5CBF"/>
    <w:rsid w:val="003D63CB"/>
    <w:rsid w:val="003D66D2"/>
    <w:rsid w:val="003D6C43"/>
    <w:rsid w:val="003D6D5C"/>
    <w:rsid w:val="003D73DB"/>
    <w:rsid w:val="003D73E5"/>
    <w:rsid w:val="003D7584"/>
    <w:rsid w:val="003D7A77"/>
    <w:rsid w:val="003D7B3D"/>
    <w:rsid w:val="003D7CA8"/>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93F"/>
    <w:rsid w:val="003E3F0C"/>
    <w:rsid w:val="003E4858"/>
    <w:rsid w:val="003E4A5E"/>
    <w:rsid w:val="003E4C14"/>
    <w:rsid w:val="003E5118"/>
    <w:rsid w:val="003E5434"/>
    <w:rsid w:val="003E6061"/>
    <w:rsid w:val="003E6316"/>
    <w:rsid w:val="003E66AE"/>
    <w:rsid w:val="003E6884"/>
    <w:rsid w:val="003E6AC5"/>
    <w:rsid w:val="003E6B3E"/>
    <w:rsid w:val="003E6E87"/>
    <w:rsid w:val="003E6EBA"/>
    <w:rsid w:val="003E719C"/>
    <w:rsid w:val="003E7614"/>
    <w:rsid w:val="003E778C"/>
    <w:rsid w:val="003E78D6"/>
    <w:rsid w:val="003E7AF2"/>
    <w:rsid w:val="003E7D9B"/>
    <w:rsid w:val="003E7F04"/>
    <w:rsid w:val="003F0096"/>
    <w:rsid w:val="003F0850"/>
    <w:rsid w:val="003F0D12"/>
    <w:rsid w:val="003F0ECB"/>
    <w:rsid w:val="003F11CA"/>
    <w:rsid w:val="003F160C"/>
    <w:rsid w:val="003F25EA"/>
    <w:rsid w:val="003F2718"/>
    <w:rsid w:val="003F2A93"/>
    <w:rsid w:val="003F2B89"/>
    <w:rsid w:val="003F324F"/>
    <w:rsid w:val="003F33BC"/>
    <w:rsid w:val="003F3BEF"/>
    <w:rsid w:val="003F3D4E"/>
    <w:rsid w:val="003F477E"/>
    <w:rsid w:val="003F4AE6"/>
    <w:rsid w:val="003F4F2E"/>
    <w:rsid w:val="003F5041"/>
    <w:rsid w:val="003F5354"/>
    <w:rsid w:val="003F5FBB"/>
    <w:rsid w:val="003F64A8"/>
    <w:rsid w:val="003F6CD2"/>
    <w:rsid w:val="003F745E"/>
    <w:rsid w:val="003F75FB"/>
    <w:rsid w:val="003F788D"/>
    <w:rsid w:val="004008F7"/>
    <w:rsid w:val="00400A43"/>
    <w:rsid w:val="00400CDF"/>
    <w:rsid w:val="0040126E"/>
    <w:rsid w:val="004015A5"/>
    <w:rsid w:val="00401E9A"/>
    <w:rsid w:val="004020D4"/>
    <w:rsid w:val="004020E1"/>
    <w:rsid w:val="004021B6"/>
    <w:rsid w:val="004023F6"/>
    <w:rsid w:val="00402616"/>
    <w:rsid w:val="00402A17"/>
    <w:rsid w:val="00403E68"/>
    <w:rsid w:val="00403E77"/>
    <w:rsid w:val="00404703"/>
    <w:rsid w:val="004047C4"/>
    <w:rsid w:val="00405157"/>
    <w:rsid w:val="00405190"/>
    <w:rsid w:val="00405262"/>
    <w:rsid w:val="004052A4"/>
    <w:rsid w:val="0040570B"/>
    <w:rsid w:val="004057C1"/>
    <w:rsid w:val="00405AA7"/>
    <w:rsid w:val="00405DD4"/>
    <w:rsid w:val="00405EDB"/>
    <w:rsid w:val="00405FB1"/>
    <w:rsid w:val="0040618D"/>
    <w:rsid w:val="004063B3"/>
    <w:rsid w:val="00406460"/>
    <w:rsid w:val="00406487"/>
    <w:rsid w:val="0040752B"/>
    <w:rsid w:val="0040776E"/>
    <w:rsid w:val="004108FA"/>
    <w:rsid w:val="00410B99"/>
    <w:rsid w:val="0041157B"/>
    <w:rsid w:val="00412461"/>
    <w:rsid w:val="00412483"/>
    <w:rsid w:val="0041249E"/>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135"/>
    <w:rsid w:val="0041529B"/>
    <w:rsid w:val="00415947"/>
    <w:rsid w:val="00415D76"/>
    <w:rsid w:val="00416665"/>
    <w:rsid w:val="00416A67"/>
    <w:rsid w:val="00416ACB"/>
    <w:rsid w:val="00416C1C"/>
    <w:rsid w:val="0041720C"/>
    <w:rsid w:val="0041727F"/>
    <w:rsid w:val="00417885"/>
    <w:rsid w:val="0042131B"/>
    <w:rsid w:val="004217C5"/>
    <w:rsid w:val="0042191E"/>
    <w:rsid w:val="00421B8B"/>
    <w:rsid w:val="00421DCF"/>
    <w:rsid w:val="00422341"/>
    <w:rsid w:val="004229F7"/>
    <w:rsid w:val="00422D65"/>
    <w:rsid w:val="00423067"/>
    <w:rsid w:val="004233AD"/>
    <w:rsid w:val="00423641"/>
    <w:rsid w:val="00423D96"/>
    <w:rsid w:val="00424687"/>
    <w:rsid w:val="00424932"/>
    <w:rsid w:val="00424C29"/>
    <w:rsid w:val="0042554F"/>
    <w:rsid w:val="00425667"/>
    <w:rsid w:val="00425C0B"/>
    <w:rsid w:val="00426266"/>
    <w:rsid w:val="00426621"/>
    <w:rsid w:val="0042676E"/>
    <w:rsid w:val="0042686F"/>
    <w:rsid w:val="00426CB4"/>
    <w:rsid w:val="00426CF7"/>
    <w:rsid w:val="00427420"/>
    <w:rsid w:val="00427A6D"/>
    <w:rsid w:val="00427A7B"/>
    <w:rsid w:val="00427D2C"/>
    <w:rsid w:val="00430A2D"/>
    <w:rsid w:val="0043112A"/>
    <w:rsid w:val="00431505"/>
    <w:rsid w:val="0043170F"/>
    <w:rsid w:val="00431AF0"/>
    <w:rsid w:val="00431DA9"/>
    <w:rsid w:val="0043213A"/>
    <w:rsid w:val="004324DB"/>
    <w:rsid w:val="004330F4"/>
    <w:rsid w:val="004332EC"/>
    <w:rsid w:val="004332FD"/>
    <w:rsid w:val="004334A9"/>
    <w:rsid w:val="00433590"/>
    <w:rsid w:val="0043366C"/>
    <w:rsid w:val="0043393D"/>
    <w:rsid w:val="00434050"/>
    <w:rsid w:val="004344C7"/>
    <w:rsid w:val="00434EB3"/>
    <w:rsid w:val="00435274"/>
    <w:rsid w:val="004352AD"/>
    <w:rsid w:val="004352F6"/>
    <w:rsid w:val="0043545D"/>
    <w:rsid w:val="00435D91"/>
    <w:rsid w:val="00435FE2"/>
    <w:rsid w:val="004360C5"/>
    <w:rsid w:val="004363F6"/>
    <w:rsid w:val="00436652"/>
    <w:rsid w:val="0043667E"/>
    <w:rsid w:val="00436E2F"/>
    <w:rsid w:val="00436EAB"/>
    <w:rsid w:val="004375BA"/>
    <w:rsid w:val="00437680"/>
    <w:rsid w:val="00437818"/>
    <w:rsid w:val="0043797D"/>
    <w:rsid w:val="0044014D"/>
    <w:rsid w:val="0044030E"/>
    <w:rsid w:val="0044143D"/>
    <w:rsid w:val="004416ED"/>
    <w:rsid w:val="00441A0D"/>
    <w:rsid w:val="00441BE9"/>
    <w:rsid w:val="00442181"/>
    <w:rsid w:val="004421C9"/>
    <w:rsid w:val="004426E6"/>
    <w:rsid w:val="0044282A"/>
    <w:rsid w:val="00442A0A"/>
    <w:rsid w:val="00442E5D"/>
    <w:rsid w:val="00442F2B"/>
    <w:rsid w:val="00443C85"/>
    <w:rsid w:val="004447AD"/>
    <w:rsid w:val="004449AA"/>
    <w:rsid w:val="00444C38"/>
    <w:rsid w:val="00444F21"/>
    <w:rsid w:val="00445702"/>
    <w:rsid w:val="00445F7D"/>
    <w:rsid w:val="004460C2"/>
    <w:rsid w:val="004461D9"/>
    <w:rsid w:val="00446528"/>
    <w:rsid w:val="004465F2"/>
    <w:rsid w:val="00446AC6"/>
    <w:rsid w:val="00446D21"/>
    <w:rsid w:val="00447379"/>
    <w:rsid w:val="00447417"/>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75"/>
    <w:rsid w:val="00460E86"/>
    <w:rsid w:val="00461310"/>
    <w:rsid w:val="0046149A"/>
    <w:rsid w:val="00461ADB"/>
    <w:rsid w:val="00462035"/>
    <w:rsid w:val="00462062"/>
    <w:rsid w:val="004620FE"/>
    <w:rsid w:val="004628BA"/>
    <w:rsid w:val="00462A4E"/>
    <w:rsid w:val="00463584"/>
    <w:rsid w:val="0046364E"/>
    <w:rsid w:val="00463680"/>
    <w:rsid w:val="00463A6F"/>
    <w:rsid w:val="00463BAE"/>
    <w:rsid w:val="00463E6B"/>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B"/>
    <w:rsid w:val="00480F2F"/>
    <w:rsid w:val="00481500"/>
    <w:rsid w:val="00481504"/>
    <w:rsid w:val="004818D4"/>
    <w:rsid w:val="00481E9E"/>
    <w:rsid w:val="00482078"/>
    <w:rsid w:val="00482682"/>
    <w:rsid w:val="00482BBE"/>
    <w:rsid w:val="00482D85"/>
    <w:rsid w:val="0048325D"/>
    <w:rsid w:val="004834BA"/>
    <w:rsid w:val="00483A12"/>
    <w:rsid w:val="00484458"/>
    <w:rsid w:val="0048477C"/>
    <w:rsid w:val="0048498F"/>
    <w:rsid w:val="00484A4C"/>
    <w:rsid w:val="00484A77"/>
    <w:rsid w:val="00484C94"/>
    <w:rsid w:val="004850F0"/>
    <w:rsid w:val="0048540F"/>
    <w:rsid w:val="00485527"/>
    <w:rsid w:val="00485970"/>
    <w:rsid w:val="00485C0D"/>
    <w:rsid w:val="00486262"/>
    <w:rsid w:val="00486575"/>
    <w:rsid w:val="004866D0"/>
    <w:rsid w:val="004866D7"/>
    <w:rsid w:val="00486EA5"/>
    <w:rsid w:val="004877FD"/>
    <w:rsid w:val="00487E33"/>
    <w:rsid w:val="00487FC6"/>
    <w:rsid w:val="004903DD"/>
    <w:rsid w:val="00491CD4"/>
    <w:rsid w:val="004920B9"/>
    <w:rsid w:val="00492613"/>
    <w:rsid w:val="00492B6F"/>
    <w:rsid w:val="00493951"/>
    <w:rsid w:val="00493958"/>
    <w:rsid w:val="00494242"/>
    <w:rsid w:val="00494E8E"/>
    <w:rsid w:val="00494F4C"/>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2CE"/>
    <w:rsid w:val="004A0367"/>
    <w:rsid w:val="004A0590"/>
    <w:rsid w:val="004A09A1"/>
    <w:rsid w:val="004A0D37"/>
    <w:rsid w:val="004A0F39"/>
    <w:rsid w:val="004A1107"/>
    <w:rsid w:val="004A223D"/>
    <w:rsid w:val="004A251F"/>
    <w:rsid w:val="004A3292"/>
    <w:rsid w:val="004A32E2"/>
    <w:rsid w:val="004A34B9"/>
    <w:rsid w:val="004A3BF1"/>
    <w:rsid w:val="004A3C7D"/>
    <w:rsid w:val="004A3D1E"/>
    <w:rsid w:val="004A3E42"/>
    <w:rsid w:val="004A4307"/>
    <w:rsid w:val="004A44FB"/>
    <w:rsid w:val="004A4715"/>
    <w:rsid w:val="004A4778"/>
    <w:rsid w:val="004A4C7D"/>
    <w:rsid w:val="004A5046"/>
    <w:rsid w:val="004A557F"/>
    <w:rsid w:val="004A565E"/>
    <w:rsid w:val="004A5DF3"/>
    <w:rsid w:val="004A6134"/>
    <w:rsid w:val="004A62E8"/>
    <w:rsid w:val="004A6522"/>
    <w:rsid w:val="004A6548"/>
    <w:rsid w:val="004A669F"/>
    <w:rsid w:val="004A6F46"/>
    <w:rsid w:val="004A7092"/>
    <w:rsid w:val="004B05D1"/>
    <w:rsid w:val="004B08AA"/>
    <w:rsid w:val="004B0B03"/>
    <w:rsid w:val="004B0E08"/>
    <w:rsid w:val="004B0E6F"/>
    <w:rsid w:val="004B1040"/>
    <w:rsid w:val="004B111A"/>
    <w:rsid w:val="004B13F0"/>
    <w:rsid w:val="004B182A"/>
    <w:rsid w:val="004B187B"/>
    <w:rsid w:val="004B1B11"/>
    <w:rsid w:val="004B22BC"/>
    <w:rsid w:val="004B267F"/>
    <w:rsid w:val="004B2781"/>
    <w:rsid w:val="004B27B5"/>
    <w:rsid w:val="004B287C"/>
    <w:rsid w:val="004B2EBA"/>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832"/>
    <w:rsid w:val="004B5B71"/>
    <w:rsid w:val="004B662B"/>
    <w:rsid w:val="004B6A48"/>
    <w:rsid w:val="004B6BA4"/>
    <w:rsid w:val="004B734E"/>
    <w:rsid w:val="004B78BA"/>
    <w:rsid w:val="004B79E3"/>
    <w:rsid w:val="004B7CAA"/>
    <w:rsid w:val="004C01A8"/>
    <w:rsid w:val="004C02CC"/>
    <w:rsid w:val="004C087A"/>
    <w:rsid w:val="004C1840"/>
    <w:rsid w:val="004C19A3"/>
    <w:rsid w:val="004C24C9"/>
    <w:rsid w:val="004C2ADA"/>
    <w:rsid w:val="004C2EDA"/>
    <w:rsid w:val="004C31B6"/>
    <w:rsid w:val="004C32D7"/>
    <w:rsid w:val="004C402D"/>
    <w:rsid w:val="004C407E"/>
    <w:rsid w:val="004C43B7"/>
    <w:rsid w:val="004C4BC1"/>
    <w:rsid w:val="004C4C4C"/>
    <w:rsid w:val="004C5082"/>
    <w:rsid w:val="004C5319"/>
    <w:rsid w:val="004C55D3"/>
    <w:rsid w:val="004C5C87"/>
    <w:rsid w:val="004C621F"/>
    <w:rsid w:val="004C64B1"/>
    <w:rsid w:val="004C65EA"/>
    <w:rsid w:val="004C77F4"/>
    <w:rsid w:val="004C7948"/>
    <w:rsid w:val="004C79C2"/>
    <w:rsid w:val="004C7AB1"/>
    <w:rsid w:val="004C7BB8"/>
    <w:rsid w:val="004C7BF1"/>
    <w:rsid w:val="004C7C60"/>
    <w:rsid w:val="004C7DC0"/>
    <w:rsid w:val="004D029B"/>
    <w:rsid w:val="004D0418"/>
    <w:rsid w:val="004D0893"/>
    <w:rsid w:val="004D08AF"/>
    <w:rsid w:val="004D0DFE"/>
    <w:rsid w:val="004D1371"/>
    <w:rsid w:val="004D1B17"/>
    <w:rsid w:val="004D1BDC"/>
    <w:rsid w:val="004D1D91"/>
    <w:rsid w:val="004D22C3"/>
    <w:rsid w:val="004D22F9"/>
    <w:rsid w:val="004D3A8F"/>
    <w:rsid w:val="004D3BB4"/>
    <w:rsid w:val="004D3C9B"/>
    <w:rsid w:val="004D4002"/>
    <w:rsid w:val="004D419A"/>
    <w:rsid w:val="004D446D"/>
    <w:rsid w:val="004D4DAC"/>
    <w:rsid w:val="004D4EE4"/>
    <w:rsid w:val="004D4EF0"/>
    <w:rsid w:val="004D5532"/>
    <w:rsid w:val="004D6A2A"/>
    <w:rsid w:val="004D6F4D"/>
    <w:rsid w:val="004D6F95"/>
    <w:rsid w:val="004D707F"/>
    <w:rsid w:val="004D72FE"/>
    <w:rsid w:val="004D74E0"/>
    <w:rsid w:val="004D7E91"/>
    <w:rsid w:val="004E003A"/>
    <w:rsid w:val="004E033C"/>
    <w:rsid w:val="004E0768"/>
    <w:rsid w:val="004E0F44"/>
    <w:rsid w:val="004E118C"/>
    <w:rsid w:val="004E1526"/>
    <w:rsid w:val="004E1545"/>
    <w:rsid w:val="004E162A"/>
    <w:rsid w:val="004E18EA"/>
    <w:rsid w:val="004E195F"/>
    <w:rsid w:val="004E1A31"/>
    <w:rsid w:val="004E1EC9"/>
    <w:rsid w:val="004E21B1"/>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942"/>
    <w:rsid w:val="004F0EB9"/>
    <w:rsid w:val="004F0FB9"/>
    <w:rsid w:val="004F154F"/>
    <w:rsid w:val="004F1AA9"/>
    <w:rsid w:val="004F258E"/>
    <w:rsid w:val="004F2603"/>
    <w:rsid w:val="004F2619"/>
    <w:rsid w:val="004F2F7E"/>
    <w:rsid w:val="004F32B5"/>
    <w:rsid w:val="004F407E"/>
    <w:rsid w:val="004F4D2D"/>
    <w:rsid w:val="004F5107"/>
    <w:rsid w:val="004F5479"/>
    <w:rsid w:val="004F5812"/>
    <w:rsid w:val="004F5D5D"/>
    <w:rsid w:val="004F5DFE"/>
    <w:rsid w:val="004F6264"/>
    <w:rsid w:val="004F6368"/>
    <w:rsid w:val="004F64BB"/>
    <w:rsid w:val="004F66EC"/>
    <w:rsid w:val="004F6946"/>
    <w:rsid w:val="004F6CBD"/>
    <w:rsid w:val="004F7528"/>
    <w:rsid w:val="004F78C6"/>
    <w:rsid w:val="004F7BCA"/>
    <w:rsid w:val="004F7D89"/>
    <w:rsid w:val="005008F8"/>
    <w:rsid w:val="00500EC4"/>
    <w:rsid w:val="00500F1A"/>
    <w:rsid w:val="005013A2"/>
    <w:rsid w:val="00501814"/>
    <w:rsid w:val="00501981"/>
    <w:rsid w:val="00501A85"/>
    <w:rsid w:val="00501BB3"/>
    <w:rsid w:val="00501E42"/>
    <w:rsid w:val="0050215D"/>
    <w:rsid w:val="005021DD"/>
    <w:rsid w:val="005026CA"/>
    <w:rsid w:val="00502B72"/>
    <w:rsid w:val="00502B7E"/>
    <w:rsid w:val="00502C9F"/>
    <w:rsid w:val="00502D10"/>
    <w:rsid w:val="00503F1F"/>
    <w:rsid w:val="00503FFD"/>
    <w:rsid w:val="00504BC1"/>
    <w:rsid w:val="00504FE8"/>
    <w:rsid w:val="00505011"/>
    <w:rsid w:val="00505134"/>
    <w:rsid w:val="00505209"/>
    <w:rsid w:val="00505C04"/>
    <w:rsid w:val="00505E47"/>
    <w:rsid w:val="00506980"/>
    <w:rsid w:val="005069D9"/>
    <w:rsid w:val="00506F0C"/>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4F09"/>
    <w:rsid w:val="005155D2"/>
    <w:rsid w:val="005157A9"/>
    <w:rsid w:val="0051599A"/>
    <w:rsid w:val="00515DD8"/>
    <w:rsid w:val="005165CE"/>
    <w:rsid w:val="005168FF"/>
    <w:rsid w:val="00516D50"/>
    <w:rsid w:val="005171E3"/>
    <w:rsid w:val="005173A7"/>
    <w:rsid w:val="00517616"/>
    <w:rsid w:val="005177E1"/>
    <w:rsid w:val="00517A2E"/>
    <w:rsid w:val="005201FC"/>
    <w:rsid w:val="0052055B"/>
    <w:rsid w:val="005205E4"/>
    <w:rsid w:val="00520C0A"/>
    <w:rsid w:val="00521010"/>
    <w:rsid w:val="00521043"/>
    <w:rsid w:val="0052127D"/>
    <w:rsid w:val="005218B6"/>
    <w:rsid w:val="00521F56"/>
    <w:rsid w:val="00522083"/>
    <w:rsid w:val="005223D0"/>
    <w:rsid w:val="00522562"/>
    <w:rsid w:val="00522589"/>
    <w:rsid w:val="005234F5"/>
    <w:rsid w:val="005237F8"/>
    <w:rsid w:val="00523F04"/>
    <w:rsid w:val="00524545"/>
    <w:rsid w:val="005249AE"/>
    <w:rsid w:val="00524AE4"/>
    <w:rsid w:val="005254A8"/>
    <w:rsid w:val="005255BF"/>
    <w:rsid w:val="005255F0"/>
    <w:rsid w:val="005257DE"/>
    <w:rsid w:val="00525861"/>
    <w:rsid w:val="00525F18"/>
    <w:rsid w:val="00526184"/>
    <w:rsid w:val="00526A94"/>
    <w:rsid w:val="00526C02"/>
    <w:rsid w:val="00527098"/>
    <w:rsid w:val="00527200"/>
    <w:rsid w:val="005274DC"/>
    <w:rsid w:val="00530157"/>
    <w:rsid w:val="00530423"/>
    <w:rsid w:val="00530AD9"/>
    <w:rsid w:val="005315B4"/>
    <w:rsid w:val="00531D97"/>
    <w:rsid w:val="00531E16"/>
    <w:rsid w:val="00531EBE"/>
    <w:rsid w:val="005320F8"/>
    <w:rsid w:val="005321E0"/>
    <w:rsid w:val="005323A7"/>
    <w:rsid w:val="0053242E"/>
    <w:rsid w:val="0053275A"/>
    <w:rsid w:val="00532F8B"/>
    <w:rsid w:val="0053323B"/>
    <w:rsid w:val="00533338"/>
    <w:rsid w:val="00533737"/>
    <w:rsid w:val="00533D4D"/>
    <w:rsid w:val="00534200"/>
    <w:rsid w:val="0053433E"/>
    <w:rsid w:val="00534D9F"/>
    <w:rsid w:val="00534E4B"/>
    <w:rsid w:val="00534EC0"/>
    <w:rsid w:val="00535342"/>
    <w:rsid w:val="005359CF"/>
    <w:rsid w:val="00535A98"/>
    <w:rsid w:val="00535B79"/>
    <w:rsid w:val="00535CF5"/>
    <w:rsid w:val="00535D7C"/>
    <w:rsid w:val="00535DD6"/>
    <w:rsid w:val="00535F44"/>
    <w:rsid w:val="00536219"/>
    <w:rsid w:val="00536579"/>
    <w:rsid w:val="00536C1E"/>
    <w:rsid w:val="00536C38"/>
    <w:rsid w:val="005370C1"/>
    <w:rsid w:val="005373F6"/>
    <w:rsid w:val="0054015C"/>
    <w:rsid w:val="005401B4"/>
    <w:rsid w:val="005409F7"/>
    <w:rsid w:val="00540AF3"/>
    <w:rsid w:val="0054104A"/>
    <w:rsid w:val="005416AD"/>
    <w:rsid w:val="00541AA0"/>
    <w:rsid w:val="00541D23"/>
    <w:rsid w:val="00541F6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F15"/>
    <w:rsid w:val="0054716D"/>
    <w:rsid w:val="005472E4"/>
    <w:rsid w:val="00547989"/>
    <w:rsid w:val="005479B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5817"/>
    <w:rsid w:val="00555BE4"/>
    <w:rsid w:val="005565FF"/>
    <w:rsid w:val="005567EC"/>
    <w:rsid w:val="00556D68"/>
    <w:rsid w:val="00557173"/>
    <w:rsid w:val="00557560"/>
    <w:rsid w:val="005576A1"/>
    <w:rsid w:val="00557941"/>
    <w:rsid w:val="00557A64"/>
    <w:rsid w:val="00557CC2"/>
    <w:rsid w:val="00557ED2"/>
    <w:rsid w:val="005605C0"/>
    <w:rsid w:val="00560C46"/>
    <w:rsid w:val="00560D23"/>
    <w:rsid w:val="00560E59"/>
    <w:rsid w:val="00561301"/>
    <w:rsid w:val="005615D8"/>
    <w:rsid w:val="00562156"/>
    <w:rsid w:val="005623B0"/>
    <w:rsid w:val="005626D6"/>
    <w:rsid w:val="005629E0"/>
    <w:rsid w:val="005638D4"/>
    <w:rsid w:val="00563AC1"/>
    <w:rsid w:val="00563B1A"/>
    <w:rsid w:val="00563DB6"/>
    <w:rsid w:val="005640F3"/>
    <w:rsid w:val="00564A45"/>
    <w:rsid w:val="005651D3"/>
    <w:rsid w:val="005656ED"/>
    <w:rsid w:val="00565884"/>
    <w:rsid w:val="00566544"/>
    <w:rsid w:val="00566608"/>
    <w:rsid w:val="00566756"/>
    <w:rsid w:val="005667B3"/>
    <w:rsid w:val="00566C83"/>
    <w:rsid w:val="00566D88"/>
    <w:rsid w:val="0056751C"/>
    <w:rsid w:val="00567E70"/>
    <w:rsid w:val="005700FE"/>
    <w:rsid w:val="00570175"/>
    <w:rsid w:val="005705C0"/>
    <w:rsid w:val="00570E24"/>
    <w:rsid w:val="0057121E"/>
    <w:rsid w:val="00571387"/>
    <w:rsid w:val="00571512"/>
    <w:rsid w:val="00572760"/>
    <w:rsid w:val="00572D7B"/>
    <w:rsid w:val="00572DA9"/>
    <w:rsid w:val="00572FC5"/>
    <w:rsid w:val="00573860"/>
    <w:rsid w:val="0057394B"/>
    <w:rsid w:val="00573B7D"/>
    <w:rsid w:val="0057408B"/>
    <w:rsid w:val="005740E8"/>
    <w:rsid w:val="005743DE"/>
    <w:rsid w:val="0057441C"/>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158"/>
    <w:rsid w:val="005811D1"/>
    <w:rsid w:val="00581246"/>
    <w:rsid w:val="00581735"/>
    <w:rsid w:val="00581A59"/>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1E2"/>
    <w:rsid w:val="0058620A"/>
    <w:rsid w:val="00586A96"/>
    <w:rsid w:val="00587345"/>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957"/>
    <w:rsid w:val="0059395C"/>
    <w:rsid w:val="00593AB9"/>
    <w:rsid w:val="00593C74"/>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285"/>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2B7"/>
    <w:rsid w:val="005A3580"/>
    <w:rsid w:val="005A3887"/>
    <w:rsid w:val="005A3931"/>
    <w:rsid w:val="005A3AF0"/>
    <w:rsid w:val="005A3BF2"/>
    <w:rsid w:val="005A4255"/>
    <w:rsid w:val="005A4257"/>
    <w:rsid w:val="005A43C3"/>
    <w:rsid w:val="005A4824"/>
    <w:rsid w:val="005A4FCA"/>
    <w:rsid w:val="005A5872"/>
    <w:rsid w:val="005A5910"/>
    <w:rsid w:val="005A5D15"/>
    <w:rsid w:val="005A5DE5"/>
    <w:rsid w:val="005A6404"/>
    <w:rsid w:val="005A65C6"/>
    <w:rsid w:val="005A6691"/>
    <w:rsid w:val="005A669D"/>
    <w:rsid w:val="005A6F77"/>
    <w:rsid w:val="005A7064"/>
    <w:rsid w:val="005A70DA"/>
    <w:rsid w:val="005A7734"/>
    <w:rsid w:val="005A7B31"/>
    <w:rsid w:val="005A7D6F"/>
    <w:rsid w:val="005A7E3D"/>
    <w:rsid w:val="005B01C6"/>
    <w:rsid w:val="005B0472"/>
    <w:rsid w:val="005B0542"/>
    <w:rsid w:val="005B063A"/>
    <w:rsid w:val="005B09A1"/>
    <w:rsid w:val="005B10E2"/>
    <w:rsid w:val="005B2225"/>
    <w:rsid w:val="005B2266"/>
    <w:rsid w:val="005B24EF"/>
    <w:rsid w:val="005B2799"/>
    <w:rsid w:val="005B2B3A"/>
    <w:rsid w:val="005B2B77"/>
    <w:rsid w:val="005B2DF2"/>
    <w:rsid w:val="005B382A"/>
    <w:rsid w:val="005B3A0B"/>
    <w:rsid w:val="005B3C8B"/>
    <w:rsid w:val="005B3D30"/>
    <w:rsid w:val="005B3D4A"/>
    <w:rsid w:val="005B3DB1"/>
    <w:rsid w:val="005B42C3"/>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182"/>
    <w:rsid w:val="005C14AB"/>
    <w:rsid w:val="005C18BC"/>
    <w:rsid w:val="005C1A05"/>
    <w:rsid w:val="005C1B22"/>
    <w:rsid w:val="005C1BEF"/>
    <w:rsid w:val="005C2403"/>
    <w:rsid w:val="005C28FA"/>
    <w:rsid w:val="005C2F38"/>
    <w:rsid w:val="005C2FA2"/>
    <w:rsid w:val="005C30FC"/>
    <w:rsid w:val="005C37EC"/>
    <w:rsid w:val="005C3A99"/>
    <w:rsid w:val="005C3FFF"/>
    <w:rsid w:val="005C4031"/>
    <w:rsid w:val="005C40F4"/>
    <w:rsid w:val="005C43BE"/>
    <w:rsid w:val="005C44F3"/>
    <w:rsid w:val="005C4620"/>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750"/>
    <w:rsid w:val="005D0E4F"/>
    <w:rsid w:val="005D1314"/>
    <w:rsid w:val="005D14D0"/>
    <w:rsid w:val="005D15D0"/>
    <w:rsid w:val="005D197E"/>
    <w:rsid w:val="005D1BC2"/>
    <w:rsid w:val="005D1E32"/>
    <w:rsid w:val="005D206B"/>
    <w:rsid w:val="005D22B7"/>
    <w:rsid w:val="005D2651"/>
    <w:rsid w:val="005D2BDE"/>
    <w:rsid w:val="005D3B60"/>
    <w:rsid w:val="005D3D76"/>
    <w:rsid w:val="005D3F19"/>
    <w:rsid w:val="005D44C4"/>
    <w:rsid w:val="005D4578"/>
    <w:rsid w:val="005D4EB0"/>
    <w:rsid w:val="005D4EFA"/>
    <w:rsid w:val="005D54C3"/>
    <w:rsid w:val="005D55BA"/>
    <w:rsid w:val="005D59D6"/>
    <w:rsid w:val="005D5ADB"/>
    <w:rsid w:val="005D5C91"/>
    <w:rsid w:val="005D5CD0"/>
    <w:rsid w:val="005D6112"/>
    <w:rsid w:val="005D648A"/>
    <w:rsid w:val="005D654C"/>
    <w:rsid w:val="005D696C"/>
    <w:rsid w:val="005D6E82"/>
    <w:rsid w:val="005D70DC"/>
    <w:rsid w:val="005D746C"/>
    <w:rsid w:val="005D77E4"/>
    <w:rsid w:val="005D7802"/>
    <w:rsid w:val="005D796C"/>
    <w:rsid w:val="005D799D"/>
    <w:rsid w:val="005D7BCD"/>
    <w:rsid w:val="005D7E0D"/>
    <w:rsid w:val="005E0376"/>
    <w:rsid w:val="005E0D4F"/>
    <w:rsid w:val="005E0F12"/>
    <w:rsid w:val="005E0FF3"/>
    <w:rsid w:val="005E1997"/>
    <w:rsid w:val="005E1BD0"/>
    <w:rsid w:val="005E234A"/>
    <w:rsid w:val="005E26D8"/>
    <w:rsid w:val="005E28A8"/>
    <w:rsid w:val="005E2BF0"/>
    <w:rsid w:val="005E2F4B"/>
    <w:rsid w:val="005E303C"/>
    <w:rsid w:val="005E3040"/>
    <w:rsid w:val="005E35CC"/>
    <w:rsid w:val="005E360B"/>
    <w:rsid w:val="005E3713"/>
    <w:rsid w:val="005E371E"/>
    <w:rsid w:val="005E3905"/>
    <w:rsid w:val="005E3E21"/>
    <w:rsid w:val="005E4697"/>
    <w:rsid w:val="005E53F9"/>
    <w:rsid w:val="005E5925"/>
    <w:rsid w:val="005E592C"/>
    <w:rsid w:val="005E5F05"/>
    <w:rsid w:val="005E6504"/>
    <w:rsid w:val="005E6790"/>
    <w:rsid w:val="005E6A78"/>
    <w:rsid w:val="005E6DD4"/>
    <w:rsid w:val="005E6E6C"/>
    <w:rsid w:val="005E7034"/>
    <w:rsid w:val="005E775D"/>
    <w:rsid w:val="005E7C77"/>
    <w:rsid w:val="005F0A43"/>
    <w:rsid w:val="005F13AB"/>
    <w:rsid w:val="005F2273"/>
    <w:rsid w:val="005F2795"/>
    <w:rsid w:val="005F27BF"/>
    <w:rsid w:val="005F293E"/>
    <w:rsid w:val="005F2F5E"/>
    <w:rsid w:val="005F3009"/>
    <w:rsid w:val="005F311A"/>
    <w:rsid w:val="005F37C2"/>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A75"/>
    <w:rsid w:val="005F6B77"/>
    <w:rsid w:val="005F70F9"/>
    <w:rsid w:val="005F7487"/>
    <w:rsid w:val="005F75EB"/>
    <w:rsid w:val="005F76AB"/>
    <w:rsid w:val="005F7AEF"/>
    <w:rsid w:val="006000D3"/>
    <w:rsid w:val="0060013C"/>
    <w:rsid w:val="006002C7"/>
    <w:rsid w:val="00600D85"/>
    <w:rsid w:val="00600E06"/>
    <w:rsid w:val="00600F95"/>
    <w:rsid w:val="00601213"/>
    <w:rsid w:val="006016C6"/>
    <w:rsid w:val="00601839"/>
    <w:rsid w:val="00601AA8"/>
    <w:rsid w:val="00601D99"/>
    <w:rsid w:val="00602759"/>
    <w:rsid w:val="0060277A"/>
    <w:rsid w:val="00602B7C"/>
    <w:rsid w:val="00603312"/>
    <w:rsid w:val="006039C9"/>
    <w:rsid w:val="00603FFF"/>
    <w:rsid w:val="0060428C"/>
    <w:rsid w:val="006044AB"/>
    <w:rsid w:val="00604668"/>
    <w:rsid w:val="0060498D"/>
    <w:rsid w:val="00604CA2"/>
    <w:rsid w:val="00604DC7"/>
    <w:rsid w:val="00604E47"/>
    <w:rsid w:val="00605441"/>
    <w:rsid w:val="006059AC"/>
    <w:rsid w:val="006061D2"/>
    <w:rsid w:val="0060690F"/>
    <w:rsid w:val="00606970"/>
    <w:rsid w:val="00606A20"/>
    <w:rsid w:val="006072C6"/>
    <w:rsid w:val="00607443"/>
    <w:rsid w:val="00607A2E"/>
    <w:rsid w:val="00607B36"/>
    <w:rsid w:val="006103A1"/>
    <w:rsid w:val="006107EB"/>
    <w:rsid w:val="00610931"/>
    <w:rsid w:val="00610BCA"/>
    <w:rsid w:val="00610E30"/>
    <w:rsid w:val="00611634"/>
    <w:rsid w:val="00611698"/>
    <w:rsid w:val="00611A26"/>
    <w:rsid w:val="00611DC1"/>
    <w:rsid w:val="006124EE"/>
    <w:rsid w:val="006126B8"/>
    <w:rsid w:val="00612D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832"/>
    <w:rsid w:val="00621CB3"/>
    <w:rsid w:val="00621F53"/>
    <w:rsid w:val="00622E2A"/>
    <w:rsid w:val="00623089"/>
    <w:rsid w:val="0062308E"/>
    <w:rsid w:val="006234C4"/>
    <w:rsid w:val="0062407B"/>
    <w:rsid w:val="00624121"/>
    <w:rsid w:val="006243C3"/>
    <w:rsid w:val="006244C9"/>
    <w:rsid w:val="006245F6"/>
    <w:rsid w:val="0062475D"/>
    <w:rsid w:val="00624832"/>
    <w:rsid w:val="0062495F"/>
    <w:rsid w:val="00624F6B"/>
    <w:rsid w:val="00625200"/>
    <w:rsid w:val="006252EE"/>
    <w:rsid w:val="00626003"/>
    <w:rsid w:val="006265C2"/>
    <w:rsid w:val="0062660B"/>
    <w:rsid w:val="00626AD1"/>
    <w:rsid w:val="006271BB"/>
    <w:rsid w:val="00627E93"/>
    <w:rsid w:val="006304BC"/>
    <w:rsid w:val="00630DCE"/>
    <w:rsid w:val="00630E37"/>
    <w:rsid w:val="006310DD"/>
    <w:rsid w:val="0063120A"/>
    <w:rsid w:val="00631471"/>
    <w:rsid w:val="0063150B"/>
    <w:rsid w:val="00631585"/>
    <w:rsid w:val="006315B0"/>
    <w:rsid w:val="006315E2"/>
    <w:rsid w:val="00632670"/>
    <w:rsid w:val="0063275E"/>
    <w:rsid w:val="006327F1"/>
    <w:rsid w:val="00632C1B"/>
    <w:rsid w:val="00632C8E"/>
    <w:rsid w:val="00633149"/>
    <w:rsid w:val="0063391D"/>
    <w:rsid w:val="00633C46"/>
    <w:rsid w:val="00633FBE"/>
    <w:rsid w:val="00634ACF"/>
    <w:rsid w:val="00635035"/>
    <w:rsid w:val="006357A4"/>
    <w:rsid w:val="0063580D"/>
    <w:rsid w:val="00635824"/>
    <w:rsid w:val="00635A32"/>
    <w:rsid w:val="00635CAE"/>
    <w:rsid w:val="00635ED7"/>
    <w:rsid w:val="006360F6"/>
    <w:rsid w:val="00636638"/>
    <w:rsid w:val="00636A9D"/>
    <w:rsid w:val="00637240"/>
    <w:rsid w:val="00637CF3"/>
    <w:rsid w:val="0064030A"/>
    <w:rsid w:val="0064059B"/>
    <w:rsid w:val="006406F5"/>
    <w:rsid w:val="00640B57"/>
    <w:rsid w:val="00641208"/>
    <w:rsid w:val="00641323"/>
    <w:rsid w:val="006414A1"/>
    <w:rsid w:val="00642179"/>
    <w:rsid w:val="006423B8"/>
    <w:rsid w:val="00642601"/>
    <w:rsid w:val="00642D69"/>
    <w:rsid w:val="006435FF"/>
    <w:rsid w:val="00643660"/>
    <w:rsid w:val="00643750"/>
    <w:rsid w:val="0064487F"/>
    <w:rsid w:val="00645468"/>
    <w:rsid w:val="00645739"/>
    <w:rsid w:val="00645CB3"/>
    <w:rsid w:val="0064637E"/>
    <w:rsid w:val="006468B9"/>
    <w:rsid w:val="00646D8C"/>
    <w:rsid w:val="0064781C"/>
    <w:rsid w:val="00647A5E"/>
    <w:rsid w:val="00647C1A"/>
    <w:rsid w:val="00650139"/>
    <w:rsid w:val="00650195"/>
    <w:rsid w:val="00650785"/>
    <w:rsid w:val="00650E8D"/>
    <w:rsid w:val="00651E5F"/>
    <w:rsid w:val="0065203B"/>
    <w:rsid w:val="00652350"/>
    <w:rsid w:val="006523AD"/>
    <w:rsid w:val="00652756"/>
    <w:rsid w:val="00652AD8"/>
    <w:rsid w:val="00652B79"/>
    <w:rsid w:val="00652E88"/>
    <w:rsid w:val="00653122"/>
    <w:rsid w:val="00653212"/>
    <w:rsid w:val="006533C3"/>
    <w:rsid w:val="0065346D"/>
    <w:rsid w:val="006535E4"/>
    <w:rsid w:val="00653E6D"/>
    <w:rsid w:val="00654068"/>
    <w:rsid w:val="0065495F"/>
    <w:rsid w:val="00654B38"/>
    <w:rsid w:val="00654B83"/>
    <w:rsid w:val="00654BB8"/>
    <w:rsid w:val="00655061"/>
    <w:rsid w:val="0065510C"/>
    <w:rsid w:val="006553BE"/>
    <w:rsid w:val="006555AE"/>
    <w:rsid w:val="00655956"/>
    <w:rsid w:val="00655B63"/>
    <w:rsid w:val="0065695A"/>
    <w:rsid w:val="00656A5C"/>
    <w:rsid w:val="00656AB4"/>
    <w:rsid w:val="00656E74"/>
    <w:rsid w:val="006571F6"/>
    <w:rsid w:val="0065759D"/>
    <w:rsid w:val="00660514"/>
    <w:rsid w:val="0066090A"/>
    <w:rsid w:val="00660E17"/>
    <w:rsid w:val="006618CC"/>
    <w:rsid w:val="00662111"/>
    <w:rsid w:val="00662118"/>
    <w:rsid w:val="00662BEF"/>
    <w:rsid w:val="00662E6C"/>
    <w:rsid w:val="00663418"/>
    <w:rsid w:val="006638AD"/>
    <w:rsid w:val="00663DE4"/>
    <w:rsid w:val="00663ECA"/>
    <w:rsid w:val="00663F30"/>
    <w:rsid w:val="006644C7"/>
    <w:rsid w:val="00665829"/>
    <w:rsid w:val="0066609E"/>
    <w:rsid w:val="0066615C"/>
    <w:rsid w:val="00666D8C"/>
    <w:rsid w:val="00667020"/>
    <w:rsid w:val="0066732C"/>
    <w:rsid w:val="006679F5"/>
    <w:rsid w:val="00667B77"/>
    <w:rsid w:val="006709B2"/>
    <w:rsid w:val="00670A0B"/>
    <w:rsid w:val="00670E10"/>
    <w:rsid w:val="00671026"/>
    <w:rsid w:val="0067107A"/>
    <w:rsid w:val="006716DA"/>
    <w:rsid w:val="00671965"/>
    <w:rsid w:val="00672347"/>
    <w:rsid w:val="006728ED"/>
    <w:rsid w:val="0067294F"/>
    <w:rsid w:val="006732B1"/>
    <w:rsid w:val="00673AD6"/>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211"/>
    <w:rsid w:val="006812C2"/>
    <w:rsid w:val="00681308"/>
    <w:rsid w:val="006819B4"/>
    <w:rsid w:val="006819DF"/>
    <w:rsid w:val="00681B36"/>
    <w:rsid w:val="00682431"/>
    <w:rsid w:val="006828D9"/>
    <w:rsid w:val="00682E14"/>
    <w:rsid w:val="006835E1"/>
    <w:rsid w:val="006839EF"/>
    <w:rsid w:val="0068407E"/>
    <w:rsid w:val="0068436C"/>
    <w:rsid w:val="00684BFC"/>
    <w:rsid w:val="00684FDE"/>
    <w:rsid w:val="0068545E"/>
    <w:rsid w:val="006854A6"/>
    <w:rsid w:val="0068559F"/>
    <w:rsid w:val="00685FD4"/>
    <w:rsid w:val="00686200"/>
    <w:rsid w:val="00686212"/>
    <w:rsid w:val="00686612"/>
    <w:rsid w:val="0068661E"/>
    <w:rsid w:val="00686632"/>
    <w:rsid w:val="006868B3"/>
    <w:rsid w:val="0068724E"/>
    <w:rsid w:val="00687343"/>
    <w:rsid w:val="00687846"/>
    <w:rsid w:val="00690A49"/>
    <w:rsid w:val="00690B1F"/>
    <w:rsid w:val="00690BB6"/>
    <w:rsid w:val="0069118B"/>
    <w:rsid w:val="0069159E"/>
    <w:rsid w:val="00691906"/>
    <w:rsid w:val="00691B30"/>
    <w:rsid w:val="0069207C"/>
    <w:rsid w:val="006920FE"/>
    <w:rsid w:val="00692A89"/>
    <w:rsid w:val="00692E24"/>
    <w:rsid w:val="00693E1F"/>
    <w:rsid w:val="00693ECB"/>
    <w:rsid w:val="00694797"/>
    <w:rsid w:val="00694867"/>
    <w:rsid w:val="006948D3"/>
    <w:rsid w:val="00694BDE"/>
    <w:rsid w:val="006952E2"/>
    <w:rsid w:val="006954D8"/>
    <w:rsid w:val="006954D9"/>
    <w:rsid w:val="00695887"/>
    <w:rsid w:val="006960D7"/>
    <w:rsid w:val="006962DF"/>
    <w:rsid w:val="00696E9A"/>
    <w:rsid w:val="00697733"/>
    <w:rsid w:val="00697C63"/>
    <w:rsid w:val="00697CE8"/>
    <w:rsid w:val="00697DC8"/>
    <w:rsid w:val="006A0018"/>
    <w:rsid w:val="006A01EA"/>
    <w:rsid w:val="006A0769"/>
    <w:rsid w:val="006A0ED3"/>
    <w:rsid w:val="006A0F70"/>
    <w:rsid w:val="006A11A1"/>
    <w:rsid w:val="006A2223"/>
    <w:rsid w:val="006A2307"/>
    <w:rsid w:val="006A254E"/>
    <w:rsid w:val="006A2576"/>
    <w:rsid w:val="006A2A6F"/>
    <w:rsid w:val="006A2C30"/>
    <w:rsid w:val="006A301C"/>
    <w:rsid w:val="006A301E"/>
    <w:rsid w:val="006A3229"/>
    <w:rsid w:val="006A399A"/>
    <w:rsid w:val="006A3E2B"/>
    <w:rsid w:val="006A3F39"/>
    <w:rsid w:val="006A57F3"/>
    <w:rsid w:val="006A5E83"/>
    <w:rsid w:val="006A6242"/>
    <w:rsid w:val="006A6E17"/>
    <w:rsid w:val="006A7116"/>
    <w:rsid w:val="006A76EE"/>
    <w:rsid w:val="006A7A28"/>
    <w:rsid w:val="006B009E"/>
    <w:rsid w:val="006B0D1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555A"/>
    <w:rsid w:val="006B5718"/>
    <w:rsid w:val="006B589B"/>
    <w:rsid w:val="006B600A"/>
    <w:rsid w:val="006B6635"/>
    <w:rsid w:val="006B71DF"/>
    <w:rsid w:val="006B77DB"/>
    <w:rsid w:val="006B78FD"/>
    <w:rsid w:val="006B7D22"/>
    <w:rsid w:val="006B7D2C"/>
    <w:rsid w:val="006C05BE"/>
    <w:rsid w:val="006C1019"/>
    <w:rsid w:val="006C2A71"/>
    <w:rsid w:val="006C2BB5"/>
    <w:rsid w:val="006C2BEE"/>
    <w:rsid w:val="006C2C40"/>
    <w:rsid w:val="006C2D01"/>
    <w:rsid w:val="006C3AD8"/>
    <w:rsid w:val="006C3ED9"/>
    <w:rsid w:val="006C3FA4"/>
    <w:rsid w:val="006C4516"/>
    <w:rsid w:val="006C455E"/>
    <w:rsid w:val="006C46AD"/>
    <w:rsid w:val="006C4B2A"/>
    <w:rsid w:val="006C4FB5"/>
    <w:rsid w:val="006C507B"/>
    <w:rsid w:val="006C5958"/>
    <w:rsid w:val="006C5B4F"/>
    <w:rsid w:val="006C62D5"/>
    <w:rsid w:val="006C6368"/>
    <w:rsid w:val="006C643C"/>
    <w:rsid w:val="006C6E3A"/>
    <w:rsid w:val="006C6FD7"/>
    <w:rsid w:val="006C73CC"/>
    <w:rsid w:val="006C7523"/>
    <w:rsid w:val="006C78B7"/>
    <w:rsid w:val="006C7EB0"/>
    <w:rsid w:val="006D00DB"/>
    <w:rsid w:val="006D0300"/>
    <w:rsid w:val="006D0361"/>
    <w:rsid w:val="006D0810"/>
    <w:rsid w:val="006D09DA"/>
    <w:rsid w:val="006D0E02"/>
    <w:rsid w:val="006D16B0"/>
    <w:rsid w:val="006D2182"/>
    <w:rsid w:val="006D230B"/>
    <w:rsid w:val="006D2444"/>
    <w:rsid w:val="006D254B"/>
    <w:rsid w:val="006D289B"/>
    <w:rsid w:val="006D2973"/>
    <w:rsid w:val="006D2CD1"/>
    <w:rsid w:val="006D2EB7"/>
    <w:rsid w:val="006D34C6"/>
    <w:rsid w:val="006D368A"/>
    <w:rsid w:val="006D3BE1"/>
    <w:rsid w:val="006D3D18"/>
    <w:rsid w:val="006D4042"/>
    <w:rsid w:val="006D43BD"/>
    <w:rsid w:val="006D48FC"/>
    <w:rsid w:val="006D4D8F"/>
    <w:rsid w:val="006D51B5"/>
    <w:rsid w:val="006D55EF"/>
    <w:rsid w:val="006D5A78"/>
    <w:rsid w:val="006D5B0D"/>
    <w:rsid w:val="006D5FAD"/>
    <w:rsid w:val="006D62BC"/>
    <w:rsid w:val="006D6450"/>
    <w:rsid w:val="006D6939"/>
    <w:rsid w:val="006D6987"/>
    <w:rsid w:val="006D6DA3"/>
    <w:rsid w:val="006D7040"/>
    <w:rsid w:val="006D74F3"/>
    <w:rsid w:val="006D75DA"/>
    <w:rsid w:val="006D7C73"/>
    <w:rsid w:val="006D7EB0"/>
    <w:rsid w:val="006E0138"/>
    <w:rsid w:val="006E06C4"/>
    <w:rsid w:val="006E0B73"/>
    <w:rsid w:val="006E0BB0"/>
    <w:rsid w:val="006E0D34"/>
    <w:rsid w:val="006E12C3"/>
    <w:rsid w:val="006E1D76"/>
    <w:rsid w:val="006E2529"/>
    <w:rsid w:val="006E2E36"/>
    <w:rsid w:val="006E320D"/>
    <w:rsid w:val="006E35C7"/>
    <w:rsid w:val="006E3C3D"/>
    <w:rsid w:val="006E3FCA"/>
    <w:rsid w:val="006E4457"/>
    <w:rsid w:val="006E45F3"/>
    <w:rsid w:val="006E4A2F"/>
    <w:rsid w:val="006E4ED4"/>
    <w:rsid w:val="006E4F86"/>
    <w:rsid w:val="006E5432"/>
    <w:rsid w:val="006E550F"/>
    <w:rsid w:val="006E5E19"/>
    <w:rsid w:val="006E61C3"/>
    <w:rsid w:val="006E6588"/>
    <w:rsid w:val="006E696F"/>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557"/>
    <w:rsid w:val="007047F0"/>
    <w:rsid w:val="007048F4"/>
    <w:rsid w:val="0070490C"/>
    <w:rsid w:val="00704B9E"/>
    <w:rsid w:val="00704BA9"/>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44F"/>
    <w:rsid w:val="0070782D"/>
    <w:rsid w:val="00707EC1"/>
    <w:rsid w:val="0071022D"/>
    <w:rsid w:val="00710503"/>
    <w:rsid w:val="007109C2"/>
    <w:rsid w:val="007109C9"/>
    <w:rsid w:val="00710C6A"/>
    <w:rsid w:val="00711223"/>
    <w:rsid w:val="007112BA"/>
    <w:rsid w:val="00711340"/>
    <w:rsid w:val="0071196D"/>
    <w:rsid w:val="00711A92"/>
    <w:rsid w:val="00711BC6"/>
    <w:rsid w:val="00712A5F"/>
    <w:rsid w:val="00712BFC"/>
    <w:rsid w:val="00712C42"/>
    <w:rsid w:val="00713522"/>
    <w:rsid w:val="00713DE4"/>
    <w:rsid w:val="007140FF"/>
    <w:rsid w:val="00714C47"/>
    <w:rsid w:val="007153A1"/>
    <w:rsid w:val="00715BB1"/>
    <w:rsid w:val="00716462"/>
    <w:rsid w:val="007167D6"/>
    <w:rsid w:val="00716F72"/>
    <w:rsid w:val="00717011"/>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96E"/>
    <w:rsid w:val="00724A75"/>
    <w:rsid w:val="00726036"/>
    <w:rsid w:val="00726083"/>
    <w:rsid w:val="00726279"/>
    <w:rsid w:val="00726578"/>
    <w:rsid w:val="00726A9B"/>
    <w:rsid w:val="00726CB9"/>
    <w:rsid w:val="00726EB1"/>
    <w:rsid w:val="00727037"/>
    <w:rsid w:val="00727530"/>
    <w:rsid w:val="007276A0"/>
    <w:rsid w:val="00727DA2"/>
    <w:rsid w:val="00730D37"/>
    <w:rsid w:val="00731086"/>
    <w:rsid w:val="00731367"/>
    <w:rsid w:val="0073144B"/>
    <w:rsid w:val="0073178C"/>
    <w:rsid w:val="007317C5"/>
    <w:rsid w:val="007318F4"/>
    <w:rsid w:val="00731E7C"/>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605"/>
    <w:rsid w:val="00735662"/>
    <w:rsid w:val="007358C4"/>
    <w:rsid w:val="007367F2"/>
    <w:rsid w:val="00736B04"/>
    <w:rsid w:val="00736DD8"/>
    <w:rsid w:val="00737615"/>
    <w:rsid w:val="007377C4"/>
    <w:rsid w:val="00737D1E"/>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4276"/>
    <w:rsid w:val="007448C3"/>
    <w:rsid w:val="00744A64"/>
    <w:rsid w:val="00744BE2"/>
    <w:rsid w:val="00744D47"/>
    <w:rsid w:val="00744EA0"/>
    <w:rsid w:val="00745D2E"/>
    <w:rsid w:val="0074638D"/>
    <w:rsid w:val="00746484"/>
    <w:rsid w:val="007466AC"/>
    <w:rsid w:val="00746706"/>
    <w:rsid w:val="00746865"/>
    <w:rsid w:val="0074704F"/>
    <w:rsid w:val="00747DE6"/>
    <w:rsid w:val="00747F48"/>
    <w:rsid w:val="00747F4C"/>
    <w:rsid w:val="0075028C"/>
    <w:rsid w:val="007509FF"/>
    <w:rsid w:val="0075101B"/>
    <w:rsid w:val="00751091"/>
    <w:rsid w:val="00751B83"/>
    <w:rsid w:val="007520C2"/>
    <w:rsid w:val="00752A63"/>
    <w:rsid w:val="00752D18"/>
    <w:rsid w:val="00752EFE"/>
    <w:rsid w:val="007538DD"/>
    <w:rsid w:val="00753A95"/>
    <w:rsid w:val="00753E5D"/>
    <w:rsid w:val="0075401A"/>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D9B"/>
    <w:rsid w:val="00761F3E"/>
    <w:rsid w:val="00761FDA"/>
    <w:rsid w:val="007621FF"/>
    <w:rsid w:val="007622C2"/>
    <w:rsid w:val="007622CD"/>
    <w:rsid w:val="00762EFC"/>
    <w:rsid w:val="007631F5"/>
    <w:rsid w:val="007634E3"/>
    <w:rsid w:val="0076357A"/>
    <w:rsid w:val="007639D2"/>
    <w:rsid w:val="00764194"/>
    <w:rsid w:val="00764954"/>
    <w:rsid w:val="00764B56"/>
    <w:rsid w:val="00764CE3"/>
    <w:rsid w:val="00764D22"/>
    <w:rsid w:val="007651A2"/>
    <w:rsid w:val="00765291"/>
    <w:rsid w:val="00765ED3"/>
    <w:rsid w:val="00766055"/>
    <w:rsid w:val="007662DD"/>
    <w:rsid w:val="007666BA"/>
    <w:rsid w:val="0076681D"/>
    <w:rsid w:val="00766A65"/>
    <w:rsid w:val="007671F5"/>
    <w:rsid w:val="00767227"/>
    <w:rsid w:val="007675EB"/>
    <w:rsid w:val="007676B8"/>
    <w:rsid w:val="00767A74"/>
    <w:rsid w:val="00767CA5"/>
    <w:rsid w:val="0077011D"/>
    <w:rsid w:val="00770486"/>
    <w:rsid w:val="007708E0"/>
    <w:rsid w:val="0077097C"/>
    <w:rsid w:val="00771270"/>
    <w:rsid w:val="0077175C"/>
    <w:rsid w:val="00771870"/>
    <w:rsid w:val="007719D0"/>
    <w:rsid w:val="00771B42"/>
    <w:rsid w:val="00771BF9"/>
    <w:rsid w:val="00771D4B"/>
    <w:rsid w:val="007725C4"/>
    <w:rsid w:val="00772F8A"/>
    <w:rsid w:val="00772FAA"/>
    <w:rsid w:val="007733C7"/>
    <w:rsid w:val="007739C6"/>
    <w:rsid w:val="00773CF2"/>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119"/>
    <w:rsid w:val="0078483B"/>
    <w:rsid w:val="00784BC9"/>
    <w:rsid w:val="00784EED"/>
    <w:rsid w:val="007851BB"/>
    <w:rsid w:val="00785900"/>
    <w:rsid w:val="00785CAD"/>
    <w:rsid w:val="007861DF"/>
    <w:rsid w:val="00786347"/>
    <w:rsid w:val="00786651"/>
    <w:rsid w:val="00786657"/>
    <w:rsid w:val="00786958"/>
    <w:rsid w:val="00786C49"/>
    <w:rsid w:val="00786E71"/>
    <w:rsid w:val="00786EC2"/>
    <w:rsid w:val="0078744E"/>
    <w:rsid w:val="0078773B"/>
    <w:rsid w:val="007878F1"/>
    <w:rsid w:val="00790CA8"/>
    <w:rsid w:val="00791288"/>
    <w:rsid w:val="00791306"/>
    <w:rsid w:val="0079150D"/>
    <w:rsid w:val="0079162F"/>
    <w:rsid w:val="0079196C"/>
    <w:rsid w:val="00791C4C"/>
    <w:rsid w:val="00791EC5"/>
    <w:rsid w:val="00791F39"/>
    <w:rsid w:val="007922ED"/>
    <w:rsid w:val="007926AD"/>
    <w:rsid w:val="00792724"/>
    <w:rsid w:val="0079339E"/>
    <w:rsid w:val="00793539"/>
    <w:rsid w:val="007936FE"/>
    <w:rsid w:val="00793985"/>
    <w:rsid w:val="00793D5F"/>
    <w:rsid w:val="0079468D"/>
    <w:rsid w:val="00794924"/>
    <w:rsid w:val="00794B58"/>
    <w:rsid w:val="00794C8A"/>
    <w:rsid w:val="00797109"/>
    <w:rsid w:val="00797921"/>
    <w:rsid w:val="007A022A"/>
    <w:rsid w:val="007A05C7"/>
    <w:rsid w:val="007A0B99"/>
    <w:rsid w:val="007A0BC2"/>
    <w:rsid w:val="007A1770"/>
    <w:rsid w:val="007A1822"/>
    <w:rsid w:val="007A1F44"/>
    <w:rsid w:val="007A23FF"/>
    <w:rsid w:val="007A2618"/>
    <w:rsid w:val="007A295B"/>
    <w:rsid w:val="007A2AEE"/>
    <w:rsid w:val="007A2FED"/>
    <w:rsid w:val="007A3158"/>
    <w:rsid w:val="007A3424"/>
    <w:rsid w:val="007A35EF"/>
    <w:rsid w:val="007A3BF1"/>
    <w:rsid w:val="007A3FD6"/>
    <w:rsid w:val="007A41B3"/>
    <w:rsid w:val="007A41E7"/>
    <w:rsid w:val="007A41EE"/>
    <w:rsid w:val="007A43A2"/>
    <w:rsid w:val="007A4A8F"/>
    <w:rsid w:val="007A4C27"/>
    <w:rsid w:val="007A4D04"/>
    <w:rsid w:val="007A4DD5"/>
    <w:rsid w:val="007A5406"/>
    <w:rsid w:val="007A580B"/>
    <w:rsid w:val="007A639A"/>
    <w:rsid w:val="007A6541"/>
    <w:rsid w:val="007A665C"/>
    <w:rsid w:val="007A6C90"/>
    <w:rsid w:val="007A77E7"/>
    <w:rsid w:val="007A7856"/>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FF7"/>
    <w:rsid w:val="007B7A68"/>
    <w:rsid w:val="007B7DC1"/>
    <w:rsid w:val="007B7EDB"/>
    <w:rsid w:val="007C013E"/>
    <w:rsid w:val="007C01AA"/>
    <w:rsid w:val="007C02EB"/>
    <w:rsid w:val="007C06E6"/>
    <w:rsid w:val="007C0FEF"/>
    <w:rsid w:val="007C1052"/>
    <w:rsid w:val="007C1217"/>
    <w:rsid w:val="007C19AD"/>
    <w:rsid w:val="007C21D7"/>
    <w:rsid w:val="007C2AE9"/>
    <w:rsid w:val="007C2E99"/>
    <w:rsid w:val="007C2EAE"/>
    <w:rsid w:val="007C2F57"/>
    <w:rsid w:val="007C3497"/>
    <w:rsid w:val="007C34CF"/>
    <w:rsid w:val="007C3598"/>
    <w:rsid w:val="007C383D"/>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4A4"/>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9B"/>
    <w:rsid w:val="007D3B66"/>
    <w:rsid w:val="007D40DA"/>
    <w:rsid w:val="007D4178"/>
    <w:rsid w:val="007D4D33"/>
    <w:rsid w:val="007D4FE8"/>
    <w:rsid w:val="007D5FC3"/>
    <w:rsid w:val="007D60F4"/>
    <w:rsid w:val="007D670C"/>
    <w:rsid w:val="007D67F3"/>
    <w:rsid w:val="007D6BA3"/>
    <w:rsid w:val="007D7175"/>
    <w:rsid w:val="007E07CB"/>
    <w:rsid w:val="007E0B8D"/>
    <w:rsid w:val="007E1211"/>
    <w:rsid w:val="007E1369"/>
    <w:rsid w:val="007E1A1B"/>
    <w:rsid w:val="007E1A88"/>
    <w:rsid w:val="007E2663"/>
    <w:rsid w:val="007E2935"/>
    <w:rsid w:val="007E295C"/>
    <w:rsid w:val="007E2FE2"/>
    <w:rsid w:val="007E3322"/>
    <w:rsid w:val="007E3575"/>
    <w:rsid w:val="007E3746"/>
    <w:rsid w:val="007E3C8C"/>
    <w:rsid w:val="007E444D"/>
    <w:rsid w:val="007E44DF"/>
    <w:rsid w:val="007E4834"/>
    <w:rsid w:val="007E4C88"/>
    <w:rsid w:val="007E50B1"/>
    <w:rsid w:val="007E5368"/>
    <w:rsid w:val="007E585E"/>
    <w:rsid w:val="007E5B1E"/>
    <w:rsid w:val="007E5F48"/>
    <w:rsid w:val="007E642E"/>
    <w:rsid w:val="007E67C2"/>
    <w:rsid w:val="007E6A6F"/>
    <w:rsid w:val="007E6EDE"/>
    <w:rsid w:val="007E6EEA"/>
    <w:rsid w:val="007E7070"/>
    <w:rsid w:val="007E72AB"/>
    <w:rsid w:val="007E74EB"/>
    <w:rsid w:val="007E7D01"/>
    <w:rsid w:val="007E7DDF"/>
    <w:rsid w:val="007F06E1"/>
    <w:rsid w:val="007F11C8"/>
    <w:rsid w:val="007F120A"/>
    <w:rsid w:val="007F1CFB"/>
    <w:rsid w:val="007F220B"/>
    <w:rsid w:val="007F27DD"/>
    <w:rsid w:val="007F2AE3"/>
    <w:rsid w:val="007F33A3"/>
    <w:rsid w:val="007F34ED"/>
    <w:rsid w:val="007F3522"/>
    <w:rsid w:val="007F3586"/>
    <w:rsid w:val="007F35ED"/>
    <w:rsid w:val="007F36FD"/>
    <w:rsid w:val="007F388B"/>
    <w:rsid w:val="007F3ECA"/>
    <w:rsid w:val="007F3EDD"/>
    <w:rsid w:val="007F43D5"/>
    <w:rsid w:val="007F443C"/>
    <w:rsid w:val="007F4FE4"/>
    <w:rsid w:val="007F5A37"/>
    <w:rsid w:val="007F5FA5"/>
    <w:rsid w:val="007F681D"/>
    <w:rsid w:val="007F6880"/>
    <w:rsid w:val="007F68E0"/>
    <w:rsid w:val="007F69F1"/>
    <w:rsid w:val="007F70DF"/>
    <w:rsid w:val="007F7237"/>
    <w:rsid w:val="007F76B4"/>
    <w:rsid w:val="007F76E4"/>
    <w:rsid w:val="008001B4"/>
    <w:rsid w:val="00800769"/>
    <w:rsid w:val="00800ED2"/>
    <w:rsid w:val="0080124F"/>
    <w:rsid w:val="008015A8"/>
    <w:rsid w:val="008017A9"/>
    <w:rsid w:val="00801CAD"/>
    <w:rsid w:val="0080237E"/>
    <w:rsid w:val="008023C2"/>
    <w:rsid w:val="00802E74"/>
    <w:rsid w:val="0080301B"/>
    <w:rsid w:val="008031C2"/>
    <w:rsid w:val="00803AE2"/>
    <w:rsid w:val="00803B89"/>
    <w:rsid w:val="0080412F"/>
    <w:rsid w:val="00804210"/>
    <w:rsid w:val="00804351"/>
    <w:rsid w:val="008048DB"/>
    <w:rsid w:val="00804B92"/>
    <w:rsid w:val="00804E21"/>
    <w:rsid w:val="00805092"/>
    <w:rsid w:val="0080601C"/>
    <w:rsid w:val="008067CC"/>
    <w:rsid w:val="00806AAF"/>
    <w:rsid w:val="00806FD7"/>
    <w:rsid w:val="008070AC"/>
    <w:rsid w:val="008101FD"/>
    <w:rsid w:val="00810AB5"/>
    <w:rsid w:val="00810D8D"/>
    <w:rsid w:val="00810E59"/>
    <w:rsid w:val="00810F97"/>
    <w:rsid w:val="00811835"/>
    <w:rsid w:val="00811961"/>
    <w:rsid w:val="00812A20"/>
    <w:rsid w:val="00812BEF"/>
    <w:rsid w:val="0081387B"/>
    <w:rsid w:val="00813A16"/>
    <w:rsid w:val="00814631"/>
    <w:rsid w:val="0081491B"/>
    <w:rsid w:val="00814A89"/>
    <w:rsid w:val="00814B3C"/>
    <w:rsid w:val="00814F96"/>
    <w:rsid w:val="008152C6"/>
    <w:rsid w:val="0081581D"/>
    <w:rsid w:val="00815CFA"/>
    <w:rsid w:val="00815E27"/>
    <w:rsid w:val="00816DA7"/>
    <w:rsid w:val="00816F6D"/>
    <w:rsid w:val="0081715C"/>
    <w:rsid w:val="008172BE"/>
    <w:rsid w:val="0081732D"/>
    <w:rsid w:val="00817B71"/>
    <w:rsid w:val="00820244"/>
    <w:rsid w:val="00820440"/>
    <w:rsid w:val="008207BF"/>
    <w:rsid w:val="00820B6A"/>
    <w:rsid w:val="00820C09"/>
    <w:rsid w:val="00820FF3"/>
    <w:rsid w:val="008211EA"/>
    <w:rsid w:val="0082122A"/>
    <w:rsid w:val="00821B1C"/>
    <w:rsid w:val="00821B7C"/>
    <w:rsid w:val="00821F91"/>
    <w:rsid w:val="008221B3"/>
    <w:rsid w:val="0082248E"/>
    <w:rsid w:val="00822E5B"/>
    <w:rsid w:val="00823415"/>
    <w:rsid w:val="00823AAF"/>
    <w:rsid w:val="00823BE3"/>
    <w:rsid w:val="00823C58"/>
    <w:rsid w:val="008243C5"/>
    <w:rsid w:val="0082460B"/>
    <w:rsid w:val="00824DE7"/>
    <w:rsid w:val="00824FDF"/>
    <w:rsid w:val="00825125"/>
    <w:rsid w:val="00825680"/>
    <w:rsid w:val="008257CC"/>
    <w:rsid w:val="008259F8"/>
    <w:rsid w:val="00825CEC"/>
    <w:rsid w:val="008260CA"/>
    <w:rsid w:val="0082632F"/>
    <w:rsid w:val="00826488"/>
    <w:rsid w:val="00826EC5"/>
    <w:rsid w:val="008274BF"/>
    <w:rsid w:val="00827603"/>
    <w:rsid w:val="0082786A"/>
    <w:rsid w:val="008279AE"/>
    <w:rsid w:val="00830991"/>
    <w:rsid w:val="00830B75"/>
    <w:rsid w:val="00830DC3"/>
    <w:rsid w:val="0083103D"/>
    <w:rsid w:val="00831555"/>
    <w:rsid w:val="008319DD"/>
    <w:rsid w:val="00831CE2"/>
    <w:rsid w:val="00831D7D"/>
    <w:rsid w:val="00831F52"/>
    <w:rsid w:val="00831FE7"/>
    <w:rsid w:val="00832154"/>
    <w:rsid w:val="00832F5C"/>
    <w:rsid w:val="00833107"/>
    <w:rsid w:val="00833E67"/>
    <w:rsid w:val="00833FCD"/>
    <w:rsid w:val="00834717"/>
    <w:rsid w:val="00834906"/>
    <w:rsid w:val="0083491A"/>
    <w:rsid w:val="00834E0F"/>
    <w:rsid w:val="00834FEA"/>
    <w:rsid w:val="008356F4"/>
    <w:rsid w:val="008359E0"/>
    <w:rsid w:val="00835D4F"/>
    <w:rsid w:val="0083632D"/>
    <w:rsid w:val="008367D7"/>
    <w:rsid w:val="008376F6"/>
    <w:rsid w:val="008378AA"/>
    <w:rsid w:val="00837B0A"/>
    <w:rsid w:val="00837D5B"/>
    <w:rsid w:val="00837E83"/>
    <w:rsid w:val="00840607"/>
    <w:rsid w:val="00840768"/>
    <w:rsid w:val="00840970"/>
    <w:rsid w:val="008411FC"/>
    <w:rsid w:val="00841C3B"/>
    <w:rsid w:val="00841CD2"/>
    <w:rsid w:val="00842910"/>
    <w:rsid w:val="00842931"/>
    <w:rsid w:val="00842B77"/>
    <w:rsid w:val="00842EEA"/>
    <w:rsid w:val="0084309F"/>
    <w:rsid w:val="008434B9"/>
    <w:rsid w:val="00844198"/>
    <w:rsid w:val="008444AA"/>
    <w:rsid w:val="00844613"/>
    <w:rsid w:val="00844997"/>
    <w:rsid w:val="00844A90"/>
    <w:rsid w:val="00844D85"/>
    <w:rsid w:val="008459A2"/>
    <w:rsid w:val="00845A00"/>
    <w:rsid w:val="00845C12"/>
    <w:rsid w:val="0084625F"/>
    <w:rsid w:val="0084658B"/>
    <w:rsid w:val="00846790"/>
    <w:rsid w:val="0084684C"/>
    <w:rsid w:val="008469D9"/>
    <w:rsid w:val="00846D4A"/>
    <w:rsid w:val="00846DC0"/>
    <w:rsid w:val="008474A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3EC3"/>
    <w:rsid w:val="008544D7"/>
    <w:rsid w:val="00854572"/>
    <w:rsid w:val="00854BD5"/>
    <w:rsid w:val="00855D6D"/>
    <w:rsid w:val="00856632"/>
    <w:rsid w:val="00856833"/>
    <w:rsid w:val="00856840"/>
    <w:rsid w:val="00857099"/>
    <w:rsid w:val="00857CFC"/>
    <w:rsid w:val="0086007C"/>
    <w:rsid w:val="0086087C"/>
    <w:rsid w:val="00860B84"/>
    <w:rsid w:val="00860D8E"/>
    <w:rsid w:val="00860FA5"/>
    <w:rsid w:val="00861340"/>
    <w:rsid w:val="008613CA"/>
    <w:rsid w:val="008616F5"/>
    <w:rsid w:val="00861763"/>
    <w:rsid w:val="0086197D"/>
    <w:rsid w:val="00861F73"/>
    <w:rsid w:val="0086219B"/>
    <w:rsid w:val="00862200"/>
    <w:rsid w:val="008624EA"/>
    <w:rsid w:val="0086251F"/>
    <w:rsid w:val="0086275E"/>
    <w:rsid w:val="008628D1"/>
    <w:rsid w:val="00862C3B"/>
    <w:rsid w:val="00862D0A"/>
    <w:rsid w:val="00862D30"/>
    <w:rsid w:val="00862E23"/>
    <w:rsid w:val="00863304"/>
    <w:rsid w:val="0086359E"/>
    <w:rsid w:val="0086395D"/>
    <w:rsid w:val="00864190"/>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1EF5"/>
    <w:rsid w:val="00871EF8"/>
    <w:rsid w:val="0087267D"/>
    <w:rsid w:val="008728A2"/>
    <w:rsid w:val="00872B33"/>
    <w:rsid w:val="00872D3F"/>
    <w:rsid w:val="00872D44"/>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3208"/>
    <w:rsid w:val="008833E8"/>
    <w:rsid w:val="00883819"/>
    <w:rsid w:val="008846C5"/>
    <w:rsid w:val="008846F1"/>
    <w:rsid w:val="008847D2"/>
    <w:rsid w:val="00885CA4"/>
    <w:rsid w:val="00885FA3"/>
    <w:rsid w:val="00886870"/>
    <w:rsid w:val="0088718A"/>
    <w:rsid w:val="00887886"/>
    <w:rsid w:val="00887B48"/>
    <w:rsid w:val="00887D27"/>
    <w:rsid w:val="0089019A"/>
    <w:rsid w:val="0089033E"/>
    <w:rsid w:val="00890680"/>
    <w:rsid w:val="008908B8"/>
    <w:rsid w:val="0089098F"/>
    <w:rsid w:val="0089108C"/>
    <w:rsid w:val="0089176E"/>
    <w:rsid w:val="008917E0"/>
    <w:rsid w:val="00891DD7"/>
    <w:rsid w:val="00892365"/>
    <w:rsid w:val="008928DB"/>
    <w:rsid w:val="00892BE5"/>
    <w:rsid w:val="008935F1"/>
    <w:rsid w:val="0089387C"/>
    <w:rsid w:val="00893FD6"/>
    <w:rsid w:val="00894162"/>
    <w:rsid w:val="0089426C"/>
    <w:rsid w:val="0089444E"/>
    <w:rsid w:val="0089498B"/>
    <w:rsid w:val="008949DF"/>
    <w:rsid w:val="00894F04"/>
    <w:rsid w:val="00895088"/>
    <w:rsid w:val="00895199"/>
    <w:rsid w:val="008951DB"/>
    <w:rsid w:val="008953DC"/>
    <w:rsid w:val="008958BE"/>
    <w:rsid w:val="00895D81"/>
    <w:rsid w:val="00896A75"/>
    <w:rsid w:val="00896C81"/>
    <w:rsid w:val="00896D83"/>
    <w:rsid w:val="008977B9"/>
    <w:rsid w:val="008977FF"/>
    <w:rsid w:val="008978FD"/>
    <w:rsid w:val="008979CA"/>
    <w:rsid w:val="00897CC8"/>
    <w:rsid w:val="00897F6C"/>
    <w:rsid w:val="008A0AB2"/>
    <w:rsid w:val="008A0CFC"/>
    <w:rsid w:val="008A0EF9"/>
    <w:rsid w:val="008A12FE"/>
    <w:rsid w:val="008A1D80"/>
    <w:rsid w:val="008A1DB6"/>
    <w:rsid w:val="008A23B8"/>
    <w:rsid w:val="008A2518"/>
    <w:rsid w:val="008A252F"/>
    <w:rsid w:val="008A28B6"/>
    <w:rsid w:val="008A2BB1"/>
    <w:rsid w:val="008A3466"/>
    <w:rsid w:val="008A389F"/>
    <w:rsid w:val="008A3D02"/>
    <w:rsid w:val="008A44CE"/>
    <w:rsid w:val="008A4B98"/>
    <w:rsid w:val="008A4C29"/>
    <w:rsid w:val="008A50E5"/>
    <w:rsid w:val="008A5199"/>
    <w:rsid w:val="008A5940"/>
    <w:rsid w:val="008A6AC3"/>
    <w:rsid w:val="008A73B2"/>
    <w:rsid w:val="008B043F"/>
    <w:rsid w:val="008B0808"/>
    <w:rsid w:val="008B0AEC"/>
    <w:rsid w:val="008B0EE6"/>
    <w:rsid w:val="008B10CA"/>
    <w:rsid w:val="008B17C3"/>
    <w:rsid w:val="008B197C"/>
    <w:rsid w:val="008B1BD5"/>
    <w:rsid w:val="008B1E53"/>
    <w:rsid w:val="008B1E5B"/>
    <w:rsid w:val="008B246C"/>
    <w:rsid w:val="008B2F97"/>
    <w:rsid w:val="008B3586"/>
    <w:rsid w:val="008B389D"/>
    <w:rsid w:val="008B3C5C"/>
    <w:rsid w:val="008B5299"/>
    <w:rsid w:val="008B52E0"/>
    <w:rsid w:val="008B56CC"/>
    <w:rsid w:val="008B5A1A"/>
    <w:rsid w:val="008B5A5F"/>
    <w:rsid w:val="008B5AB0"/>
    <w:rsid w:val="008B6054"/>
    <w:rsid w:val="008B60CF"/>
    <w:rsid w:val="008B611B"/>
    <w:rsid w:val="008B68D0"/>
    <w:rsid w:val="008B694E"/>
    <w:rsid w:val="008B7098"/>
    <w:rsid w:val="008B72E2"/>
    <w:rsid w:val="008B7B08"/>
    <w:rsid w:val="008C00B5"/>
    <w:rsid w:val="008C0F21"/>
    <w:rsid w:val="008C1096"/>
    <w:rsid w:val="008C13F0"/>
    <w:rsid w:val="008C14DD"/>
    <w:rsid w:val="008C1671"/>
    <w:rsid w:val="008C1A09"/>
    <w:rsid w:val="008C1E66"/>
    <w:rsid w:val="008C1F26"/>
    <w:rsid w:val="008C2452"/>
    <w:rsid w:val="008C24CA"/>
    <w:rsid w:val="008C2A3A"/>
    <w:rsid w:val="008C2FA3"/>
    <w:rsid w:val="008C42F2"/>
    <w:rsid w:val="008C48B9"/>
    <w:rsid w:val="008C48C4"/>
    <w:rsid w:val="008C4A76"/>
    <w:rsid w:val="008C4C7E"/>
    <w:rsid w:val="008C5263"/>
    <w:rsid w:val="008C544A"/>
    <w:rsid w:val="008C580E"/>
    <w:rsid w:val="008C5C17"/>
    <w:rsid w:val="008C5C46"/>
    <w:rsid w:val="008C6184"/>
    <w:rsid w:val="008C6D43"/>
    <w:rsid w:val="008C6DEB"/>
    <w:rsid w:val="008C785E"/>
    <w:rsid w:val="008D004F"/>
    <w:rsid w:val="008D083E"/>
    <w:rsid w:val="008D0AFB"/>
    <w:rsid w:val="008D14EF"/>
    <w:rsid w:val="008D1511"/>
    <w:rsid w:val="008D1A0F"/>
    <w:rsid w:val="008D1F2D"/>
    <w:rsid w:val="008D20DC"/>
    <w:rsid w:val="008D2D5E"/>
    <w:rsid w:val="008D2FE5"/>
    <w:rsid w:val="008D32DF"/>
    <w:rsid w:val="008D35E9"/>
    <w:rsid w:val="008D3959"/>
    <w:rsid w:val="008D3966"/>
    <w:rsid w:val="008D3A03"/>
    <w:rsid w:val="008D42BE"/>
    <w:rsid w:val="008D4352"/>
    <w:rsid w:val="008D4743"/>
    <w:rsid w:val="008D4808"/>
    <w:rsid w:val="008D5183"/>
    <w:rsid w:val="008D5465"/>
    <w:rsid w:val="008D5711"/>
    <w:rsid w:val="008D60BC"/>
    <w:rsid w:val="008D63F9"/>
    <w:rsid w:val="008D6BC3"/>
    <w:rsid w:val="008D6D7B"/>
    <w:rsid w:val="008D7232"/>
    <w:rsid w:val="008D73D8"/>
    <w:rsid w:val="008D744B"/>
    <w:rsid w:val="008D74B4"/>
    <w:rsid w:val="008D7EB7"/>
    <w:rsid w:val="008D7F54"/>
    <w:rsid w:val="008E03C8"/>
    <w:rsid w:val="008E0621"/>
    <w:rsid w:val="008E0EB8"/>
    <w:rsid w:val="008E10A6"/>
    <w:rsid w:val="008E1271"/>
    <w:rsid w:val="008E12E7"/>
    <w:rsid w:val="008E14CC"/>
    <w:rsid w:val="008E1B3F"/>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E87"/>
    <w:rsid w:val="008F20B1"/>
    <w:rsid w:val="008F20F7"/>
    <w:rsid w:val="008F21A5"/>
    <w:rsid w:val="008F21F0"/>
    <w:rsid w:val="008F23D8"/>
    <w:rsid w:val="008F2787"/>
    <w:rsid w:val="008F2F3A"/>
    <w:rsid w:val="008F2FD5"/>
    <w:rsid w:val="008F3028"/>
    <w:rsid w:val="008F351A"/>
    <w:rsid w:val="008F3651"/>
    <w:rsid w:val="008F37E5"/>
    <w:rsid w:val="008F3F01"/>
    <w:rsid w:val="008F48C2"/>
    <w:rsid w:val="008F4EE4"/>
    <w:rsid w:val="008F4F7F"/>
    <w:rsid w:val="008F5840"/>
    <w:rsid w:val="008F5EEF"/>
    <w:rsid w:val="008F663C"/>
    <w:rsid w:val="008F66FE"/>
    <w:rsid w:val="008F6A78"/>
    <w:rsid w:val="008F6EEE"/>
    <w:rsid w:val="008F72CC"/>
    <w:rsid w:val="008F72CD"/>
    <w:rsid w:val="009004F8"/>
    <w:rsid w:val="009005AA"/>
    <w:rsid w:val="00901883"/>
    <w:rsid w:val="00901AD7"/>
    <w:rsid w:val="00901B8A"/>
    <w:rsid w:val="00902132"/>
    <w:rsid w:val="0090271D"/>
    <w:rsid w:val="00902F22"/>
    <w:rsid w:val="009036A1"/>
    <w:rsid w:val="00903802"/>
    <w:rsid w:val="0090389B"/>
    <w:rsid w:val="00903BB5"/>
    <w:rsid w:val="00903C23"/>
    <w:rsid w:val="0090403B"/>
    <w:rsid w:val="009040ED"/>
    <w:rsid w:val="00904249"/>
    <w:rsid w:val="0090431F"/>
    <w:rsid w:val="009047C2"/>
    <w:rsid w:val="0090515C"/>
    <w:rsid w:val="0090566D"/>
    <w:rsid w:val="009057C7"/>
    <w:rsid w:val="00906717"/>
    <w:rsid w:val="0090696D"/>
    <w:rsid w:val="0090699C"/>
    <w:rsid w:val="00906CD6"/>
    <w:rsid w:val="00906E4D"/>
    <w:rsid w:val="00906F31"/>
    <w:rsid w:val="00906F9A"/>
    <w:rsid w:val="009078B3"/>
    <w:rsid w:val="00907A77"/>
    <w:rsid w:val="00907ACD"/>
    <w:rsid w:val="00907E00"/>
    <w:rsid w:val="00910853"/>
    <w:rsid w:val="0091088D"/>
    <w:rsid w:val="00910AF1"/>
    <w:rsid w:val="00910D1D"/>
    <w:rsid w:val="00910FC9"/>
    <w:rsid w:val="0091118F"/>
    <w:rsid w:val="009114B6"/>
    <w:rsid w:val="009114F9"/>
    <w:rsid w:val="00911CA3"/>
    <w:rsid w:val="0091263B"/>
    <w:rsid w:val="0091291A"/>
    <w:rsid w:val="00912D19"/>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201E7"/>
    <w:rsid w:val="00920454"/>
    <w:rsid w:val="009204C5"/>
    <w:rsid w:val="00920673"/>
    <w:rsid w:val="009209AB"/>
    <w:rsid w:val="00920D3D"/>
    <w:rsid w:val="00920FB4"/>
    <w:rsid w:val="0092108A"/>
    <w:rsid w:val="009214CD"/>
    <w:rsid w:val="0092153B"/>
    <w:rsid w:val="00921566"/>
    <w:rsid w:val="0092180D"/>
    <w:rsid w:val="009220CA"/>
    <w:rsid w:val="00922A63"/>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206"/>
    <w:rsid w:val="00931891"/>
    <w:rsid w:val="00931B76"/>
    <w:rsid w:val="00932832"/>
    <w:rsid w:val="009328C7"/>
    <w:rsid w:val="009334A5"/>
    <w:rsid w:val="00933573"/>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805"/>
    <w:rsid w:val="00936D98"/>
    <w:rsid w:val="009376A2"/>
    <w:rsid w:val="00937763"/>
    <w:rsid w:val="00937AC2"/>
    <w:rsid w:val="009400AF"/>
    <w:rsid w:val="00940937"/>
    <w:rsid w:val="00941495"/>
    <w:rsid w:val="00942068"/>
    <w:rsid w:val="0094246A"/>
    <w:rsid w:val="00942A29"/>
    <w:rsid w:val="00942B04"/>
    <w:rsid w:val="00942BD8"/>
    <w:rsid w:val="00942C80"/>
    <w:rsid w:val="009430A5"/>
    <w:rsid w:val="00943197"/>
    <w:rsid w:val="0094344F"/>
    <w:rsid w:val="00943584"/>
    <w:rsid w:val="009435F2"/>
    <w:rsid w:val="00943C70"/>
    <w:rsid w:val="00943EBA"/>
    <w:rsid w:val="00943FD8"/>
    <w:rsid w:val="0094403E"/>
    <w:rsid w:val="00945180"/>
    <w:rsid w:val="0094590C"/>
    <w:rsid w:val="00945A9E"/>
    <w:rsid w:val="00946355"/>
    <w:rsid w:val="00946380"/>
    <w:rsid w:val="00946640"/>
    <w:rsid w:val="009468B7"/>
    <w:rsid w:val="00946B07"/>
    <w:rsid w:val="00946F1C"/>
    <w:rsid w:val="0094724E"/>
    <w:rsid w:val="00947BE6"/>
    <w:rsid w:val="00947BFA"/>
    <w:rsid w:val="009500E3"/>
    <w:rsid w:val="00950128"/>
    <w:rsid w:val="0095017E"/>
    <w:rsid w:val="0095031F"/>
    <w:rsid w:val="0095037D"/>
    <w:rsid w:val="0095048D"/>
    <w:rsid w:val="00951852"/>
    <w:rsid w:val="00951AAB"/>
    <w:rsid w:val="00951ADB"/>
    <w:rsid w:val="00951C84"/>
    <w:rsid w:val="00952EEB"/>
    <w:rsid w:val="00953087"/>
    <w:rsid w:val="0095364F"/>
    <w:rsid w:val="0095373F"/>
    <w:rsid w:val="0095380C"/>
    <w:rsid w:val="00953D92"/>
    <w:rsid w:val="00954293"/>
    <w:rsid w:val="00954353"/>
    <w:rsid w:val="0095437F"/>
    <w:rsid w:val="00954C8A"/>
    <w:rsid w:val="009556F2"/>
    <w:rsid w:val="009557EC"/>
    <w:rsid w:val="00955C0A"/>
    <w:rsid w:val="00955C4F"/>
    <w:rsid w:val="00955D2D"/>
    <w:rsid w:val="00955EB8"/>
    <w:rsid w:val="00955EBC"/>
    <w:rsid w:val="00956570"/>
    <w:rsid w:val="00960064"/>
    <w:rsid w:val="0096046E"/>
    <w:rsid w:val="00960528"/>
    <w:rsid w:val="0096064D"/>
    <w:rsid w:val="00960C07"/>
    <w:rsid w:val="00961160"/>
    <w:rsid w:val="009611D2"/>
    <w:rsid w:val="00961377"/>
    <w:rsid w:val="009618C1"/>
    <w:rsid w:val="00961B2B"/>
    <w:rsid w:val="00961D3E"/>
    <w:rsid w:val="00961DED"/>
    <w:rsid w:val="00961FFD"/>
    <w:rsid w:val="00962476"/>
    <w:rsid w:val="0096294F"/>
    <w:rsid w:val="00962C20"/>
    <w:rsid w:val="00963E2B"/>
    <w:rsid w:val="00964D6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526"/>
    <w:rsid w:val="00972929"/>
    <w:rsid w:val="00972BD7"/>
    <w:rsid w:val="00972BFA"/>
    <w:rsid w:val="00972F91"/>
    <w:rsid w:val="009731B4"/>
    <w:rsid w:val="0097333A"/>
    <w:rsid w:val="00973827"/>
    <w:rsid w:val="00973E1D"/>
    <w:rsid w:val="00973F06"/>
    <w:rsid w:val="009742D3"/>
    <w:rsid w:val="0097434D"/>
    <w:rsid w:val="0097483F"/>
    <w:rsid w:val="00974A1F"/>
    <w:rsid w:val="00974AD9"/>
    <w:rsid w:val="0097507C"/>
    <w:rsid w:val="00975EB1"/>
    <w:rsid w:val="009762E7"/>
    <w:rsid w:val="009766C7"/>
    <w:rsid w:val="0097670B"/>
    <w:rsid w:val="009767B0"/>
    <w:rsid w:val="00976E60"/>
    <w:rsid w:val="0097721C"/>
    <w:rsid w:val="00977BA7"/>
    <w:rsid w:val="00981144"/>
    <w:rsid w:val="009813ED"/>
    <w:rsid w:val="0098143D"/>
    <w:rsid w:val="0098147B"/>
    <w:rsid w:val="0098194F"/>
    <w:rsid w:val="00981D58"/>
    <w:rsid w:val="00982632"/>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6F92"/>
    <w:rsid w:val="009870B9"/>
    <w:rsid w:val="00987199"/>
    <w:rsid w:val="00987454"/>
    <w:rsid w:val="00987536"/>
    <w:rsid w:val="00987776"/>
    <w:rsid w:val="009878B0"/>
    <w:rsid w:val="00987EED"/>
    <w:rsid w:val="00990903"/>
    <w:rsid w:val="00990BAE"/>
    <w:rsid w:val="00990BD5"/>
    <w:rsid w:val="00991091"/>
    <w:rsid w:val="0099196F"/>
    <w:rsid w:val="00991F2C"/>
    <w:rsid w:val="00991FF6"/>
    <w:rsid w:val="0099251A"/>
    <w:rsid w:val="0099276E"/>
    <w:rsid w:val="00992B98"/>
    <w:rsid w:val="00992F09"/>
    <w:rsid w:val="0099307F"/>
    <w:rsid w:val="0099353A"/>
    <w:rsid w:val="0099359F"/>
    <w:rsid w:val="0099445B"/>
    <w:rsid w:val="009944CF"/>
    <w:rsid w:val="009944FD"/>
    <w:rsid w:val="0099483F"/>
    <w:rsid w:val="00994871"/>
    <w:rsid w:val="00994A0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5FF"/>
    <w:rsid w:val="009A1932"/>
    <w:rsid w:val="009A1F0E"/>
    <w:rsid w:val="009A286E"/>
    <w:rsid w:val="009A2A28"/>
    <w:rsid w:val="009A2DF9"/>
    <w:rsid w:val="009A2F7D"/>
    <w:rsid w:val="009A2FDD"/>
    <w:rsid w:val="009A3201"/>
    <w:rsid w:val="009A3A86"/>
    <w:rsid w:val="009A457D"/>
    <w:rsid w:val="009A483C"/>
    <w:rsid w:val="009A4869"/>
    <w:rsid w:val="009A48DA"/>
    <w:rsid w:val="009A4CA4"/>
    <w:rsid w:val="009A5624"/>
    <w:rsid w:val="009A5A7A"/>
    <w:rsid w:val="009A5AE1"/>
    <w:rsid w:val="009A67A8"/>
    <w:rsid w:val="009A6839"/>
    <w:rsid w:val="009A6A6B"/>
    <w:rsid w:val="009A70DE"/>
    <w:rsid w:val="009A7626"/>
    <w:rsid w:val="009A791C"/>
    <w:rsid w:val="009A7DE1"/>
    <w:rsid w:val="009B01AC"/>
    <w:rsid w:val="009B101B"/>
    <w:rsid w:val="009B1A9D"/>
    <w:rsid w:val="009B1E81"/>
    <w:rsid w:val="009B1EF9"/>
    <w:rsid w:val="009B1F0A"/>
    <w:rsid w:val="009B2090"/>
    <w:rsid w:val="009B26AC"/>
    <w:rsid w:val="009B2A77"/>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EDE"/>
    <w:rsid w:val="009B704F"/>
    <w:rsid w:val="009B7204"/>
    <w:rsid w:val="009B746C"/>
    <w:rsid w:val="009B7820"/>
    <w:rsid w:val="009C0074"/>
    <w:rsid w:val="009C02A5"/>
    <w:rsid w:val="009C0564"/>
    <w:rsid w:val="009C0C58"/>
    <w:rsid w:val="009C0E14"/>
    <w:rsid w:val="009C111A"/>
    <w:rsid w:val="009C18CC"/>
    <w:rsid w:val="009C1B7F"/>
    <w:rsid w:val="009C2685"/>
    <w:rsid w:val="009C2967"/>
    <w:rsid w:val="009C2DC6"/>
    <w:rsid w:val="009C2E63"/>
    <w:rsid w:val="009C379C"/>
    <w:rsid w:val="009C38F4"/>
    <w:rsid w:val="009C39BC"/>
    <w:rsid w:val="009C4147"/>
    <w:rsid w:val="009C488B"/>
    <w:rsid w:val="009C4BC2"/>
    <w:rsid w:val="009C4D22"/>
    <w:rsid w:val="009C52AF"/>
    <w:rsid w:val="009C54CA"/>
    <w:rsid w:val="009C59E1"/>
    <w:rsid w:val="009C6075"/>
    <w:rsid w:val="009C6A6B"/>
    <w:rsid w:val="009C6FC3"/>
    <w:rsid w:val="009C7320"/>
    <w:rsid w:val="009C79FE"/>
    <w:rsid w:val="009C7B95"/>
    <w:rsid w:val="009D0206"/>
    <w:rsid w:val="009D0729"/>
    <w:rsid w:val="009D0B25"/>
    <w:rsid w:val="009D0EFE"/>
    <w:rsid w:val="009D0F66"/>
    <w:rsid w:val="009D1815"/>
    <w:rsid w:val="009D199B"/>
    <w:rsid w:val="009D1A06"/>
    <w:rsid w:val="009D1BA4"/>
    <w:rsid w:val="009D1D5A"/>
    <w:rsid w:val="009D1F52"/>
    <w:rsid w:val="009D1F9A"/>
    <w:rsid w:val="009D207E"/>
    <w:rsid w:val="009D22E4"/>
    <w:rsid w:val="009D22F7"/>
    <w:rsid w:val="009D319C"/>
    <w:rsid w:val="009D3DB8"/>
    <w:rsid w:val="009D42EB"/>
    <w:rsid w:val="009D4823"/>
    <w:rsid w:val="009D5106"/>
    <w:rsid w:val="009D55B6"/>
    <w:rsid w:val="009D5BAB"/>
    <w:rsid w:val="009D5FE8"/>
    <w:rsid w:val="009D6A0A"/>
    <w:rsid w:val="009D7432"/>
    <w:rsid w:val="009D7656"/>
    <w:rsid w:val="009D78D0"/>
    <w:rsid w:val="009D7B89"/>
    <w:rsid w:val="009E058F"/>
    <w:rsid w:val="009E05BC"/>
    <w:rsid w:val="009E067E"/>
    <w:rsid w:val="009E0A9E"/>
    <w:rsid w:val="009E0F39"/>
    <w:rsid w:val="009E18F2"/>
    <w:rsid w:val="009E19A2"/>
    <w:rsid w:val="009E1B47"/>
    <w:rsid w:val="009E29DE"/>
    <w:rsid w:val="009E2E60"/>
    <w:rsid w:val="009E3AFD"/>
    <w:rsid w:val="009E3CDD"/>
    <w:rsid w:val="009E4427"/>
    <w:rsid w:val="009E4B16"/>
    <w:rsid w:val="009E4F92"/>
    <w:rsid w:val="009E560E"/>
    <w:rsid w:val="009E5C60"/>
    <w:rsid w:val="009E5C9E"/>
    <w:rsid w:val="009E5E3B"/>
    <w:rsid w:val="009E64DB"/>
    <w:rsid w:val="009E6794"/>
    <w:rsid w:val="009E6848"/>
    <w:rsid w:val="009E6969"/>
    <w:rsid w:val="009E7058"/>
    <w:rsid w:val="009E7189"/>
    <w:rsid w:val="009E7223"/>
    <w:rsid w:val="009E7229"/>
    <w:rsid w:val="009E7661"/>
    <w:rsid w:val="009E7765"/>
    <w:rsid w:val="009E78F4"/>
    <w:rsid w:val="009E7E46"/>
    <w:rsid w:val="009E7FC1"/>
    <w:rsid w:val="009F01E1"/>
    <w:rsid w:val="009F04DB"/>
    <w:rsid w:val="009F0692"/>
    <w:rsid w:val="009F08B2"/>
    <w:rsid w:val="009F0B4D"/>
    <w:rsid w:val="009F1096"/>
    <w:rsid w:val="009F1303"/>
    <w:rsid w:val="009F150E"/>
    <w:rsid w:val="009F194A"/>
    <w:rsid w:val="009F195D"/>
    <w:rsid w:val="009F2520"/>
    <w:rsid w:val="009F27AD"/>
    <w:rsid w:val="009F28BF"/>
    <w:rsid w:val="009F3AF2"/>
    <w:rsid w:val="009F3F6F"/>
    <w:rsid w:val="009F3FB5"/>
    <w:rsid w:val="009F4445"/>
    <w:rsid w:val="009F4D77"/>
    <w:rsid w:val="009F4F66"/>
    <w:rsid w:val="009F510E"/>
    <w:rsid w:val="009F520B"/>
    <w:rsid w:val="009F521F"/>
    <w:rsid w:val="009F553C"/>
    <w:rsid w:val="009F59F8"/>
    <w:rsid w:val="009F5CF4"/>
    <w:rsid w:val="009F6878"/>
    <w:rsid w:val="009F6A6A"/>
    <w:rsid w:val="009F6B33"/>
    <w:rsid w:val="009F74D0"/>
    <w:rsid w:val="009F7AE6"/>
    <w:rsid w:val="009F7D02"/>
    <w:rsid w:val="009F7E10"/>
    <w:rsid w:val="00A004F5"/>
    <w:rsid w:val="00A005B0"/>
    <w:rsid w:val="00A0078C"/>
    <w:rsid w:val="00A00851"/>
    <w:rsid w:val="00A00B9B"/>
    <w:rsid w:val="00A015B3"/>
    <w:rsid w:val="00A018DE"/>
    <w:rsid w:val="00A01F17"/>
    <w:rsid w:val="00A022A5"/>
    <w:rsid w:val="00A029D8"/>
    <w:rsid w:val="00A02A6F"/>
    <w:rsid w:val="00A02CB0"/>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8EE"/>
    <w:rsid w:val="00A10BB8"/>
    <w:rsid w:val="00A10D1D"/>
    <w:rsid w:val="00A11072"/>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387"/>
    <w:rsid w:val="00A14475"/>
    <w:rsid w:val="00A14813"/>
    <w:rsid w:val="00A15591"/>
    <w:rsid w:val="00A1566A"/>
    <w:rsid w:val="00A161C1"/>
    <w:rsid w:val="00A165BF"/>
    <w:rsid w:val="00A16B59"/>
    <w:rsid w:val="00A172E8"/>
    <w:rsid w:val="00A179FF"/>
    <w:rsid w:val="00A208BC"/>
    <w:rsid w:val="00A20ED3"/>
    <w:rsid w:val="00A2126F"/>
    <w:rsid w:val="00A2133C"/>
    <w:rsid w:val="00A21498"/>
    <w:rsid w:val="00A2159D"/>
    <w:rsid w:val="00A2196A"/>
    <w:rsid w:val="00A21A36"/>
    <w:rsid w:val="00A21ECE"/>
    <w:rsid w:val="00A21F65"/>
    <w:rsid w:val="00A22D45"/>
    <w:rsid w:val="00A233EF"/>
    <w:rsid w:val="00A24216"/>
    <w:rsid w:val="00A24520"/>
    <w:rsid w:val="00A245B9"/>
    <w:rsid w:val="00A25007"/>
    <w:rsid w:val="00A251CB"/>
    <w:rsid w:val="00A25294"/>
    <w:rsid w:val="00A253B6"/>
    <w:rsid w:val="00A254EE"/>
    <w:rsid w:val="00A25BE7"/>
    <w:rsid w:val="00A25DB0"/>
    <w:rsid w:val="00A26C31"/>
    <w:rsid w:val="00A27008"/>
    <w:rsid w:val="00A27029"/>
    <w:rsid w:val="00A27A8F"/>
    <w:rsid w:val="00A27CDB"/>
    <w:rsid w:val="00A27CDF"/>
    <w:rsid w:val="00A309C6"/>
    <w:rsid w:val="00A30B8D"/>
    <w:rsid w:val="00A30D13"/>
    <w:rsid w:val="00A30F06"/>
    <w:rsid w:val="00A312A7"/>
    <w:rsid w:val="00A317E2"/>
    <w:rsid w:val="00A319D0"/>
    <w:rsid w:val="00A32316"/>
    <w:rsid w:val="00A327F7"/>
    <w:rsid w:val="00A33042"/>
    <w:rsid w:val="00A33172"/>
    <w:rsid w:val="00A33CF3"/>
    <w:rsid w:val="00A34322"/>
    <w:rsid w:val="00A3432B"/>
    <w:rsid w:val="00A346BA"/>
    <w:rsid w:val="00A34C67"/>
    <w:rsid w:val="00A34D62"/>
    <w:rsid w:val="00A34DC8"/>
    <w:rsid w:val="00A34F08"/>
    <w:rsid w:val="00A3611D"/>
    <w:rsid w:val="00A3620E"/>
    <w:rsid w:val="00A362C5"/>
    <w:rsid w:val="00A36339"/>
    <w:rsid w:val="00A364EE"/>
    <w:rsid w:val="00A366E4"/>
    <w:rsid w:val="00A37DE9"/>
    <w:rsid w:val="00A40F05"/>
    <w:rsid w:val="00A40F3B"/>
    <w:rsid w:val="00A41B37"/>
    <w:rsid w:val="00A42458"/>
    <w:rsid w:val="00A4267B"/>
    <w:rsid w:val="00A42912"/>
    <w:rsid w:val="00A42DF9"/>
    <w:rsid w:val="00A43221"/>
    <w:rsid w:val="00A434E5"/>
    <w:rsid w:val="00A4376F"/>
    <w:rsid w:val="00A43BDD"/>
    <w:rsid w:val="00A43D5B"/>
    <w:rsid w:val="00A43DEA"/>
    <w:rsid w:val="00A44689"/>
    <w:rsid w:val="00A4549F"/>
    <w:rsid w:val="00A457AD"/>
    <w:rsid w:val="00A45B9B"/>
    <w:rsid w:val="00A45D2B"/>
    <w:rsid w:val="00A45F6B"/>
    <w:rsid w:val="00A46124"/>
    <w:rsid w:val="00A462FE"/>
    <w:rsid w:val="00A469BD"/>
    <w:rsid w:val="00A469FB"/>
    <w:rsid w:val="00A46ADE"/>
    <w:rsid w:val="00A47A27"/>
    <w:rsid w:val="00A501C9"/>
    <w:rsid w:val="00A50506"/>
    <w:rsid w:val="00A50943"/>
    <w:rsid w:val="00A50CE0"/>
    <w:rsid w:val="00A50F11"/>
    <w:rsid w:val="00A52200"/>
    <w:rsid w:val="00A52305"/>
    <w:rsid w:val="00A52446"/>
    <w:rsid w:val="00A524D3"/>
    <w:rsid w:val="00A52DAD"/>
    <w:rsid w:val="00A534FD"/>
    <w:rsid w:val="00A53E38"/>
    <w:rsid w:val="00A53F55"/>
    <w:rsid w:val="00A54114"/>
    <w:rsid w:val="00A5417B"/>
    <w:rsid w:val="00A54599"/>
    <w:rsid w:val="00A54A1A"/>
    <w:rsid w:val="00A54B82"/>
    <w:rsid w:val="00A54FB1"/>
    <w:rsid w:val="00A55460"/>
    <w:rsid w:val="00A555E2"/>
    <w:rsid w:val="00A556F9"/>
    <w:rsid w:val="00A55F79"/>
    <w:rsid w:val="00A56167"/>
    <w:rsid w:val="00A56739"/>
    <w:rsid w:val="00A569D4"/>
    <w:rsid w:val="00A56A8E"/>
    <w:rsid w:val="00A56D26"/>
    <w:rsid w:val="00A5753C"/>
    <w:rsid w:val="00A57806"/>
    <w:rsid w:val="00A57967"/>
    <w:rsid w:val="00A57F1A"/>
    <w:rsid w:val="00A60163"/>
    <w:rsid w:val="00A6038D"/>
    <w:rsid w:val="00A60C3B"/>
    <w:rsid w:val="00A60CF0"/>
    <w:rsid w:val="00A6113E"/>
    <w:rsid w:val="00A611D9"/>
    <w:rsid w:val="00A61429"/>
    <w:rsid w:val="00A614F1"/>
    <w:rsid w:val="00A61514"/>
    <w:rsid w:val="00A61645"/>
    <w:rsid w:val="00A6171D"/>
    <w:rsid w:val="00A62080"/>
    <w:rsid w:val="00A62A32"/>
    <w:rsid w:val="00A62F4E"/>
    <w:rsid w:val="00A630A2"/>
    <w:rsid w:val="00A6317C"/>
    <w:rsid w:val="00A631DD"/>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7F"/>
    <w:rsid w:val="00A67CF9"/>
    <w:rsid w:val="00A704B9"/>
    <w:rsid w:val="00A70519"/>
    <w:rsid w:val="00A705DF"/>
    <w:rsid w:val="00A7075B"/>
    <w:rsid w:val="00A70A8D"/>
    <w:rsid w:val="00A70B9A"/>
    <w:rsid w:val="00A71946"/>
    <w:rsid w:val="00A719F5"/>
    <w:rsid w:val="00A71CE6"/>
    <w:rsid w:val="00A71D23"/>
    <w:rsid w:val="00A720A8"/>
    <w:rsid w:val="00A7257D"/>
    <w:rsid w:val="00A72D66"/>
    <w:rsid w:val="00A7333A"/>
    <w:rsid w:val="00A7364D"/>
    <w:rsid w:val="00A739AC"/>
    <w:rsid w:val="00A73D0D"/>
    <w:rsid w:val="00A74006"/>
    <w:rsid w:val="00A74926"/>
    <w:rsid w:val="00A74A92"/>
    <w:rsid w:val="00A74CDF"/>
    <w:rsid w:val="00A74E2A"/>
    <w:rsid w:val="00A751D8"/>
    <w:rsid w:val="00A75CC1"/>
    <w:rsid w:val="00A75E88"/>
    <w:rsid w:val="00A761F1"/>
    <w:rsid w:val="00A7627C"/>
    <w:rsid w:val="00A76792"/>
    <w:rsid w:val="00A76D51"/>
    <w:rsid w:val="00A77820"/>
    <w:rsid w:val="00A77A72"/>
    <w:rsid w:val="00A77F53"/>
    <w:rsid w:val="00A801C9"/>
    <w:rsid w:val="00A803D5"/>
    <w:rsid w:val="00A8056E"/>
    <w:rsid w:val="00A80C01"/>
    <w:rsid w:val="00A8100D"/>
    <w:rsid w:val="00A812BF"/>
    <w:rsid w:val="00A82907"/>
    <w:rsid w:val="00A82D58"/>
    <w:rsid w:val="00A82FF7"/>
    <w:rsid w:val="00A833DA"/>
    <w:rsid w:val="00A83463"/>
    <w:rsid w:val="00A8357E"/>
    <w:rsid w:val="00A836FF"/>
    <w:rsid w:val="00A8399D"/>
    <w:rsid w:val="00A839F3"/>
    <w:rsid w:val="00A83C6C"/>
    <w:rsid w:val="00A83E3D"/>
    <w:rsid w:val="00A8443A"/>
    <w:rsid w:val="00A8479C"/>
    <w:rsid w:val="00A847CB"/>
    <w:rsid w:val="00A849DB"/>
    <w:rsid w:val="00A8557B"/>
    <w:rsid w:val="00A85A05"/>
    <w:rsid w:val="00A85B0E"/>
    <w:rsid w:val="00A86D63"/>
    <w:rsid w:val="00A86EF1"/>
    <w:rsid w:val="00A87294"/>
    <w:rsid w:val="00A8762A"/>
    <w:rsid w:val="00A87797"/>
    <w:rsid w:val="00A87A79"/>
    <w:rsid w:val="00A87B8C"/>
    <w:rsid w:val="00A87DDE"/>
    <w:rsid w:val="00A87FBF"/>
    <w:rsid w:val="00A9007D"/>
    <w:rsid w:val="00A90A50"/>
    <w:rsid w:val="00A90BA4"/>
    <w:rsid w:val="00A90BE6"/>
    <w:rsid w:val="00A90E4F"/>
    <w:rsid w:val="00A90E72"/>
    <w:rsid w:val="00A91AFF"/>
    <w:rsid w:val="00A9220B"/>
    <w:rsid w:val="00A922A2"/>
    <w:rsid w:val="00A92499"/>
    <w:rsid w:val="00A9252E"/>
    <w:rsid w:val="00A9291A"/>
    <w:rsid w:val="00A9327B"/>
    <w:rsid w:val="00A9332C"/>
    <w:rsid w:val="00A93610"/>
    <w:rsid w:val="00A93B69"/>
    <w:rsid w:val="00A94730"/>
    <w:rsid w:val="00A95105"/>
    <w:rsid w:val="00A951C3"/>
    <w:rsid w:val="00A955FE"/>
    <w:rsid w:val="00A95682"/>
    <w:rsid w:val="00A95951"/>
    <w:rsid w:val="00A95D66"/>
    <w:rsid w:val="00A95EED"/>
    <w:rsid w:val="00A95F6F"/>
    <w:rsid w:val="00A9601D"/>
    <w:rsid w:val="00A963C7"/>
    <w:rsid w:val="00A97044"/>
    <w:rsid w:val="00A97799"/>
    <w:rsid w:val="00AA01DA"/>
    <w:rsid w:val="00AA0C34"/>
    <w:rsid w:val="00AA0D73"/>
    <w:rsid w:val="00AA11FE"/>
    <w:rsid w:val="00AA1626"/>
    <w:rsid w:val="00AA1653"/>
    <w:rsid w:val="00AA19F2"/>
    <w:rsid w:val="00AA1C25"/>
    <w:rsid w:val="00AA1DC6"/>
    <w:rsid w:val="00AA2AA1"/>
    <w:rsid w:val="00AA2EBC"/>
    <w:rsid w:val="00AA3016"/>
    <w:rsid w:val="00AA3247"/>
    <w:rsid w:val="00AA371B"/>
    <w:rsid w:val="00AA383F"/>
    <w:rsid w:val="00AA3DB7"/>
    <w:rsid w:val="00AA41A6"/>
    <w:rsid w:val="00AA4398"/>
    <w:rsid w:val="00AA4B0F"/>
    <w:rsid w:val="00AA4EDB"/>
    <w:rsid w:val="00AA51F5"/>
    <w:rsid w:val="00AA5E3B"/>
    <w:rsid w:val="00AA68B4"/>
    <w:rsid w:val="00AA6D13"/>
    <w:rsid w:val="00AA70B0"/>
    <w:rsid w:val="00AA75B2"/>
    <w:rsid w:val="00AA7798"/>
    <w:rsid w:val="00AA7A7D"/>
    <w:rsid w:val="00AB0008"/>
    <w:rsid w:val="00AB0543"/>
    <w:rsid w:val="00AB06EA"/>
    <w:rsid w:val="00AB0AC9"/>
    <w:rsid w:val="00AB0D3B"/>
    <w:rsid w:val="00AB185A"/>
    <w:rsid w:val="00AB1B72"/>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C67"/>
    <w:rsid w:val="00AB5E57"/>
    <w:rsid w:val="00AB6048"/>
    <w:rsid w:val="00AB639E"/>
    <w:rsid w:val="00AB6859"/>
    <w:rsid w:val="00AB6A36"/>
    <w:rsid w:val="00AB6A6E"/>
    <w:rsid w:val="00AB725F"/>
    <w:rsid w:val="00AB74A7"/>
    <w:rsid w:val="00AB7535"/>
    <w:rsid w:val="00AB774E"/>
    <w:rsid w:val="00AB7CFB"/>
    <w:rsid w:val="00AC0705"/>
    <w:rsid w:val="00AC0E88"/>
    <w:rsid w:val="00AC109B"/>
    <w:rsid w:val="00AC111C"/>
    <w:rsid w:val="00AC12CB"/>
    <w:rsid w:val="00AC174A"/>
    <w:rsid w:val="00AC2896"/>
    <w:rsid w:val="00AC28D4"/>
    <w:rsid w:val="00AC2D2D"/>
    <w:rsid w:val="00AC3A07"/>
    <w:rsid w:val="00AC4167"/>
    <w:rsid w:val="00AC44F8"/>
    <w:rsid w:val="00AC4BD1"/>
    <w:rsid w:val="00AC50BD"/>
    <w:rsid w:val="00AC59A5"/>
    <w:rsid w:val="00AC6752"/>
    <w:rsid w:val="00AC6FBF"/>
    <w:rsid w:val="00AC707F"/>
    <w:rsid w:val="00AC74DA"/>
    <w:rsid w:val="00AC789C"/>
    <w:rsid w:val="00AC79DD"/>
    <w:rsid w:val="00AC7A2B"/>
    <w:rsid w:val="00AC7C25"/>
    <w:rsid w:val="00AC7C56"/>
    <w:rsid w:val="00AC7E45"/>
    <w:rsid w:val="00AD011B"/>
    <w:rsid w:val="00AD063F"/>
    <w:rsid w:val="00AD08E3"/>
    <w:rsid w:val="00AD0A51"/>
    <w:rsid w:val="00AD0B37"/>
    <w:rsid w:val="00AD11F7"/>
    <w:rsid w:val="00AD1DB7"/>
    <w:rsid w:val="00AD1F85"/>
    <w:rsid w:val="00AD1FE3"/>
    <w:rsid w:val="00AD2852"/>
    <w:rsid w:val="00AD28A8"/>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774"/>
    <w:rsid w:val="00AD7E64"/>
    <w:rsid w:val="00AD7F1C"/>
    <w:rsid w:val="00AE02E4"/>
    <w:rsid w:val="00AE06D0"/>
    <w:rsid w:val="00AE0AF4"/>
    <w:rsid w:val="00AE0C56"/>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37F"/>
    <w:rsid w:val="00AE3A6A"/>
    <w:rsid w:val="00AE3B3B"/>
    <w:rsid w:val="00AE3B4E"/>
    <w:rsid w:val="00AE3E92"/>
    <w:rsid w:val="00AE41ED"/>
    <w:rsid w:val="00AE4256"/>
    <w:rsid w:val="00AE59EC"/>
    <w:rsid w:val="00AE6176"/>
    <w:rsid w:val="00AE67B3"/>
    <w:rsid w:val="00AE6A0F"/>
    <w:rsid w:val="00AE74D0"/>
    <w:rsid w:val="00AE7864"/>
    <w:rsid w:val="00AE78EC"/>
    <w:rsid w:val="00AE7949"/>
    <w:rsid w:val="00AE7B27"/>
    <w:rsid w:val="00AE7CCA"/>
    <w:rsid w:val="00AE7EE1"/>
    <w:rsid w:val="00AF05CB"/>
    <w:rsid w:val="00AF0B51"/>
    <w:rsid w:val="00AF1699"/>
    <w:rsid w:val="00AF17C2"/>
    <w:rsid w:val="00AF18D6"/>
    <w:rsid w:val="00AF18E5"/>
    <w:rsid w:val="00AF2348"/>
    <w:rsid w:val="00AF25D5"/>
    <w:rsid w:val="00AF2752"/>
    <w:rsid w:val="00AF3C9F"/>
    <w:rsid w:val="00AF3DBB"/>
    <w:rsid w:val="00AF4205"/>
    <w:rsid w:val="00AF4209"/>
    <w:rsid w:val="00AF5194"/>
    <w:rsid w:val="00AF53EF"/>
    <w:rsid w:val="00AF5EFD"/>
    <w:rsid w:val="00AF6195"/>
    <w:rsid w:val="00AF65AE"/>
    <w:rsid w:val="00AF73C3"/>
    <w:rsid w:val="00AF74CE"/>
    <w:rsid w:val="00AF7650"/>
    <w:rsid w:val="00AF76A6"/>
    <w:rsid w:val="00AF790F"/>
    <w:rsid w:val="00AF795C"/>
    <w:rsid w:val="00AF7B9C"/>
    <w:rsid w:val="00AF7DDF"/>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353B"/>
    <w:rsid w:val="00B037C2"/>
    <w:rsid w:val="00B040B2"/>
    <w:rsid w:val="00B04B89"/>
    <w:rsid w:val="00B04C05"/>
    <w:rsid w:val="00B050E9"/>
    <w:rsid w:val="00B052DD"/>
    <w:rsid w:val="00B05426"/>
    <w:rsid w:val="00B05CBB"/>
    <w:rsid w:val="00B061EF"/>
    <w:rsid w:val="00B062B1"/>
    <w:rsid w:val="00B06CAA"/>
    <w:rsid w:val="00B07166"/>
    <w:rsid w:val="00B07468"/>
    <w:rsid w:val="00B074D5"/>
    <w:rsid w:val="00B0782D"/>
    <w:rsid w:val="00B07F59"/>
    <w:rsid w:val="00B10234"/>
    <w:rsid w:val="00B104CB"/>
    <w:rsid w:val="00B10558"/>
    <w:rsid w:val="00B10E61"/>
    <w:rsid w:val="00B111A2"/>
    <w:rsid w:val="00B11770"/>
    <w:rsid w:val="00B1223A"/>
    <w:rsid w:val="00B1354C"/>
    <w:rsid w:val="00B1393F"/>
    <w:rsid w:val="00B13B3E"/>
    <w:rsid w:val="00B13B7A"/>
    <w:rsid w:val="00B13DAA"/>
    <w:rsid w:val="00B1422B"/>
    <w:rsid w:val="00B145AB"/>
    <w:rsid w:val="00B14AB9"/>
    <w:rsid w:val="00B14C3D"/>
    <w:rsid w:val="00B14C79"/>
    <w:rsid w:val="00B14F20"/>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B15"/>
    <w:rsid w:val="00B17E46"/>
    <w:rsid w:val="00B212D2"/>
    <w:rsid w:val="00B21CBF"/>
    <w:rsid w:val="00B21CEB"/>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46"/>
    <w:rsid w:val="00B26CA2"/>
    <w:rsid w:val="00B273D1"/>
    <w:rsid w:val="00B2770D"/>
    <w:rsid w:val="00B27E25"/>
    <w:rsid w:val="00B3049F"/>
    <w:rsid w:val="00B30598"/>
    <w:rsid w:val="00B309BC"/>
    <w:rsid w:val="00B30B4E"/>
    <w:rsid w:val="00B30B96"/>
    <w:rsid w:val="00B31058"/>
    <w:rsid w:val="00B3111C"/>
    <w:rsid w:val="00B31246"/>
    <w:rsid w:val="00B31316"/>
    <w:rsid w:val="00B3138F"/>
    <w:rsid w:val="00B322E8"/>
    <w:rsid w:val="00B3243D"/>
    <w:rsid w:val="00B324E9"/>
    <w:rsid w:val="00B3259A"/>
    <w:rsid w:val="00B326FF"/>
    <w:rsid w:val="00B32ADB"/>
    <w:rsid w:val="00B33104"/>
    <w:rsid w:val="00B336B4"/>
    <w:rsid w:val="00B336F9"/>
    <w:rsid w:val="00B33FC3"/>
    <w:rsid w:val="00B340AA"/>
    <w:rsid w:val="00B3411F"/>
    <w:rsid w:val="00B34A9F"/>
    <w:rsid w:val="00B34B80"/>
    <w:rsid w:val="00B34F63"/>
    <w:rsid w:val="00B351C7"/>
    <w:rsid w:val="00B35CDA"/>
    <w:rsid w:val="00B36373"/>
    <w:rsid w:val="00B363DF"/>
    <w:rsid w:val="00B3651E"/>
    <w:rsid w:val="00B3763E"/>
    <w:rsid w:val="00B37900"/>
    <w:rsid w:val="00B37D97"/>
    <w:rsid w:val="00B40429"/>
    <w:rsid w:val="00B4087D"/>
    <w:rsid w:val="00B40B8A"/>
    <w:rsid w:val="00B40D70"/>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47AEA"/>
    <w:rsid w:val="00B5005A"/>
    <w:rsid w:val="00B500B2"/>
    <w:rsid w:val="00B504C1"/>
    <w:rsid w:val="00B50B02"/>
    <w:rsid w:val="00B50E84"/>
    <w:rsid w:val="00B5118C"/>
    <w:rsid w:val="00B51542"/>
    <w:rsid w:val="00B51D1D"/>
    <w:rsid w:val="00B51F24"/>
    <w:rsid w:val="00B51FA9"/>
    <w:rsid w:val="00B5285D"/>
    <w:rsid w:val="00B52BF7"/>
    <w:rsid w:val="00B53040"/>
    <w:rsid w:val="00B5310E"/>
    <w:rsid w:val="00B535DD"/>
    <w:rsid w:val="00B53753"/>
    <w:rsid w:val="00B53A5F"/>
    <w:rsid w:val="00B53BB5"/>
    <w:rsid w:val="00B540F8"/>
    <w:rsid w:val="00B540FF"/>
    <w:rsid w:val="00B541D5"/>
    <w:rsid w:val="00B54ACC"/>
    <w:rsid w:val="00B54B7C"/>
    <w:rsid w:val="00B54DCB"/>
    <w:rsid w:val="00B54EEA"/>
    <w:rsid w:val="00B551A8"/>
    <w:rsid w:val="00B558FF"/>
    <w:rsid w:val="00B55AC2"/>
    <w:rsid w:val="00B560C9"/>
    <w:rsid w:val="00B56533"/>
    <w:rsid w:val="00B56CFC"/>
    <w:rsid w:val="00B56D7D"/>
    <w:rsid w:val="00B5754F"/>
    <w:rsid w:val="00B57777"/>
    <w:rsid w:val="00B5784C"/>
    <w:rsid w:val="00B57A17"/>
    <w:rsid w:val="00B57CD6"/>
    <w:rsid w:val="00B57D9E"/>
    <w:rsid w:val="00B57F0C"/>
    <w:rsid w:val="00B57FB9"/>
    <w:rsid w:val="00B6038A"/>
    <w:rsid w:val="00B608EC"/>
    <w:rsid w:val="00B60AD4"/>
    <w:rsid w:val="00B60E74"/>
    <w:rsid w:val="00B60FD2"/>
    <w:rsid w:val="00B612D0"/>
    <w:rsid w:val="00B61892"/>
    <w:rsid w:val="00B61B0B"/>
    <w:rsid w:val="00B61B7D"/>
    <w:rsid w:val="00B61BE2"/>
    <w:rsid w:val="00B61F0E"/>
    <w:rsid w:val="00B6266F"/>
    <w:rsid w:val="00B62E0B"/>
    <w:rsid w:val="00B63762"/>
    <w:rsid w:val="00B63776"/>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43B"/>
    <w:rsid w:val="00B67518"/>
    <w:rsid w:val="00B67955"/>
    <w:rsid w:val="00B7037E"/>
    <w:rsid w:val="00B703FC"/>
    <w:rsid w:val="00B70F27"/>
    <w:rsid w:val="00B711CE"/>
    <w:rsid w:val="00B714DA"/>
    <w:rsid w:val="00B7157B"/>
    <w:rsid w:val="00B71822"/>
    <w:rsid w:val="00B71DC8"/>
    <w:rsid w:val="00B72081"/>
    <w:rsid w:val="00B72651"/>
    <w:rsid w:val="00B733AB"/>
    <w:rsid w:val="00B74251"/>
    <w:rsid w:val="00B7455A"/>
    <w:rsid w:val="00B746C6"/>
    <w:rsid w:val="00B74F3C"/>
    <w:rsid w:val="00B755AD"/>
    <w:rsid w:val="00B757EC"/>
    <w:rsid w:val="00B75BBA"/>
    <w:rsid w:val="00B76027"/>
    <w:rsid w:val="00B7604C"/>
    <w:rsid w:val="00B7652C"/>
    <w:rsid w:val="00B766BF"/>
    <w:rsid w:val="00B76EAF"/>
    <w:rsid w:val="00B76FA6"/>
    <w:rsid w:val="00B777A6"/>
    <w:rsid w:val="00B77C1F"/>
    <w:rsid w:val="00B8006D"/>
    <w:rsid w:val="00B801CC"/>
    <w:rsid w:val="00B80246"/>
    <w:rsid w:val="00B80910"/>
    <w:rsid w:val="00B8159F"/>
    <w:rsid w:val="00B818F4"/>
    <w:rsid w:val="00B81BC9"/>
    <w:rsid w:val="00B81C91"/>
    <w:rsid w:val="00B81E72"/>
    <w:rsid w:val="00B81F9C"/>
    <w:rsid w:val="00B8222F"/>
    <w:rsid w:val="00B825CF"/>
    <w:rsid w:val="00B82615"/>
    <w:rsid w:val="00B82800"/>
    <w:rsid w:val="00B8284A"/>
    <w:rsid w:val="00B82C34"/>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875D8"/>
    <w:rsid w:val="00B87B24"/>
    <w:rsid w:val="00B90D10"/>
    <w:rsid w:val="00B90FE5"/>
    <w:rsid w:val="00B914B9"/>
    <w:rsid w:val="00B919AD"/>
    <w:rsid w:val="00B91A2B"/>
    <w:rsid w:val="00B91AEE"/>
    <w:rsid w:val="00B91DCC"/>
    <w:rsid w:val="00B920DF"/>
    <w:rsid w:val="00B921E3"/>
    <w:rsid w:val="00B92A3A"/>
    <w:rsid w:val="00B92AFF"/>
    <w:rsid w:val="00B92FD2"/>
    <w:rsid w:val="00B931EC"/>
    <w:rsid w:val="00B93204"/>
    <w:rsid w:val="00B9455B"/>
    <w:rsid w:val="00B948B4"/>
    <w:rsid w:val="00B94B40"/>
    <w:rsid w:val="00B94E17"/>
    <w:rsid w:val="00B94F1F"/>
    <w:rsid w:val="00B95320"/>
    <w:rsid w:val="00B957FE"/>
    <w:rsid w:val="00B95E28"/>
    <w:rsid w:val="00B95F02"/>
    <w:rsid w:val="00B9667E"/>
    <w:rsid w:val="00B96BEF"/>
    <w:rsid w:val="00B96ED4"/>
    <w:rsid w:val="00B96FC0"/>
    <w:rsid w:val="00B97260"/>
    <w:rsid w:val="00B978B7"/>
    <w:rsid w:val="00B97A69"/>
    <w:rsid w:val="00BA00EF"/>
    <w:rsid w:val="00BA0632"/>
    <w:rsid w:val="00BA0AAA"/>
    <w:rsid w:val="00BA0AD1"/>
    <w:rsid w:val="00BA0DFB"/>
    <w:rsid w:val="00BA1F56"/>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9E8"/>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3D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24"/>
    <w:rsid w:val="00BB7B91"/>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5E3E"/>
    <w:rsid w:val="00BC6164"/>
    <w:rsid w:val="00BC6FD6"/>
    <w:rsid w:val="00BC7198"/>
    <w:rsid w:val="00BC7674"/>
    <w:rsid w:val="00BC7F62"/>
    <w:rsid w:val="00BD008E"/>
    <w:rsid w:val="00BD0D12"/>
    <w:rsid w:val="00BD1846"/>
    <w:rsid w:val="00BD23D2"/>
    <w:rsid w:val="00BD2F3B"/>
    <w:rsid w:val="00BD2F7D"/>
    <w:rsid w:val="00BD3372"/>
    <w:rsid w:val="00BD3A0F"/>
    <w:rsid w:val="00BD409C"/>
    <w:rsid w:val="00BD4173"/>
    <w:rsid w:val="00BD46E5"/>
    <w:rsid w:val="00BD50AA"/>
    <w:rsid w:val="00BD5135"/>
    <w:rsid w:val="00BD5180"/>
    <w:rsid w:val="00BD521A"/>
    <w:rsid w:val="00BD5C52"/>
    <w:rsid w:val="00BD61DB"/>
    <w:rsid w:val="00BD7151"/>
    <w:rsid w:val="00BD7291"/>
    <w:rsid w:val="00BD7EA3"/>
    <w:rsid w:val="00BD7FE2"/>
    <w:rsid w:val="00BE00EA"/>
    <w:rsid w:val="00BE0443"/>
    <w:rsid w:val="00BE08F4"/>
    <w:rsid w:val="00BE0B0E"/>
    <w:rsid w:val="00BE0B19"/>
    <w:rsid w:val="00BE0B44"/>
    <w:rsid w:val="00BE0DD8"/>
    <w:rsid w:val="00BE0E4C"/>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421"/>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784"/>
    <w:rsid w:val="00BF47DD"/>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855"/>
    <w:rsid w:val="00C03EE8"/>
    <w:rsid w:val="00C044ED"/>
    <w:rsid w:val="00C04CC2"/>
    <w:rsid w:val="00C04D0D"/>
    <w:rsid w:val="00C0522F"/>
    <w:rsid w:val="00C05972"/>
    <w:rsid w:val="00C05BEC"/>
    <w:rsid w:val="00C06616"/>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A8D"/>
    <w:rsid w:val="00C13BDA"/>
    <w:rsid w:val="00C13FFD"/>
    <w:rsid w:val="00C14632"/>
    <w:rsid w:val="00C14E41"/>
    <w:rsid w:val="00C154B6"/>
    <w:rsid w:val="00C15637"/>
    <w:rsid w:val="00C159F5"/>
    <w:rsid w:val="00C15E04"/>
    <w:rsid w:val="00C16200"/>
    <w:rsid w:val="00C162DC"/>
    <w:rsid w:val="00C1667B"/>
    <w:rsid w:val="00C16C30"/>
    <w:rsid w:val="00C17299"/>
    <w:rsid w:val="00C17437"/>
    <w:rsid w:val="00C17A5C"/>
    <w:rsid w:val="00C17DA6"/>
    <w:rsid w:val="00C205E6"/>
    <w:rsid w:val="00C20A00"/>
    <w:rsid w:val="00C20B3B"/>
    <w:rsid w:val="00C20F87"/>
    <w:rsid w:val="00C21673"/>
    <w:rsid w:val="00C21729"/>
    <w:rsid w:val="00C21754"/>
    <w:rsid w:val="00C21C7A"/>
    <w:rsid w:val="00C21FBD"/>
    <w:rsid w:val="00C22766"/>
    <w:rsid w:val="00C22E61"/>
    <w:rsid w:val="00C23130"/>
    <w:rsid w:val="00C23A1F"/>
    <w:rsid w:val="00C23CC4"/>
    <w:rsid w:val="00C23CC8"/>
    <w:rsid w:val="00C23D8A"/>
    <w:rsid w:val="00C23EB0"/>
    <w:rsid w:val="00C24764"/>
    <w:rsid w:val="00C2500A"/>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285"/>
    <w:rsid w:val="00C32461"/>
    <w:rsid w:val="00C32623"/>
    <w:rsid w:val="00C32E8E"/>
    <w:rsid w:val="00C33091"/>
    <w:rsid w:val="00C337E5"/>
    <w:rsid w:val="00C3381C"/>
    <w:rsid w:val="00C33A34"/>
    <w:rsid w:val="00C3400F"/>
    <w:rsid w:val="00C340E0"/>
    <w:rsid w:val="00C349E9"/>
    <w:rsid w:val="00C34B1C"/>
    <w:rsid w:val="00C34B64"/>
    <w:rsid w:val="00C34C20"/>
    <w:rsid w:val="00C34C36"/>
    <w:rsid w:val="00C350FB"/>
    <w:rsid w:val="00C3529F"/>
    <w:rsid w:val="00C352B3"/>
    <w:rsid w:val="00C35F1C"/>
    <w:rsid w:val="00C360BB"/>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4F5D"/>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1598"/>
    <w:rsid w:val="00C52744"/>
    <w:rsid w:val="00C528AF"/>
    <w:rsid w:val="00C52EE9"/>
    <w:rsid w:val="00C530AD"/>
    <w:rsid w:val="00C53265"/>
    <w:rsid w:val="00C53DD7"/>
    <w:rsid w:val="00C53EB3"/>
    <w:rsid w:val="00C542D4"/>
    <w:rsid w:val="00C54D71"/>
    <w:rsid w:val="00C55164"/>
    <w:rsid w:val="00C554A8"/>
    <w:rsid w:val="00C55BE8"/>
    <w:rsid w:val="00C55C0A"/>
    <w:rsid w:val="00C56149"/>
    <w:rsid w:val="00C563F5"/>
    <w:rsid w:val="00C563FA"/>
    <w:rsid w:val="00C56EDA"/>
    <w:rsid w:val="00C570F7"/>
    <w:rsid w:val="00C5720D"/>
    <w:rsid w:val="00C57C32"/>
    <w:rsid w:val="00C57E45"/>
    <w:rsid w:val="00C57FD0"/>
    <w:rsid w:val="00C6017E"/>
    <w:rsid w:val="00C6038C"/>
    <w:rsid w:val="00C6041F"/>
    <w:rsid w:val="00C60D08"/>
    <w:rsid w:val="00C60E04"/>
    <w:rsid w:val="00C610C1"/>
    <w:rsid w:val="00C6135F"/>
    <w:rsid w:val="00C61459"/>
    <w:rsid w:val="00C6156E"/>
    <w:rsid w:val="00C61644"/>
    <w:rsid w:val="00C61AB9"/>
    <w:rsid w:val="00C61CD0"/>
    <w:rsid w:val="00C61E6E"/>
    <w:rsid w:val="00C620EE"/>
    <w:rsid w:val="00C623DD"/>
    <w:rsid w:val="00C62539"/>
    <w:rsid w:val="00C62643"/>
    <w:rsid w:val="00C62B92"/>
    <w:rsid w:val="00C62CD5"/>
    <w:rsid w:val="00C62FF8"/>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53D"/>
    <w:rsid w:val="00C65AFE"/>
    <w:rsid w:val="00C6602E"/>
    <w:rsid w:val="00C661AE"/>
    <w:rsid w:val="00C6656E"/>
    <w:rsid w:val="00C667F9"/>
    <w:rsid w:val="00C672F1"/>
    <w:rsid w:val="00C67700"/>
    <w:rsid w:val="00C67C73"/>
    <w:rsid w:val="00C67EA3"/>
    <w:rsid w:val="00C67EAB"/>
    <w:rsid w:val="00C67FA1"/>
    <w:rsid w:val="00C70D52"/>
    <w:rsid w:val="00C70DFF"/>
    <w:rsid w:val="00C7159F"/>
    <w:rsid w:val="00C715B6"/>
    <w:rsid w:val="00C717E2"/>
    <w:rsid w:val="00C71EC2"/>
    <w:rsid w:val="00C725C9"/>
    <w:rsid w:val="00C72609"/>
    <w:rsid w:val="00C7267B"/>
    <w:rsid w:val="00C73022"/>
    <w:rsid w:val="00C73283"/>
    <w:rsid w:val="00C7368D"/>
    <w:rsid w:val="00C744EC"/>
    <w:rsid w:val="00C748EA"/>
    <w:rsid w:val="00C75A6B"/>
    <w:rsid w:val="00C75AF9"/>
    <w:rsid w:val="00C75B76"/>
    <w:rsid w:val="00C75DB6"/>
    <w:rsid w:val="00C75EF5"/>
    <w:rsid w:val="00C7632F"/>
    <w:rsid w:val="00C763B6"/>
    <w:rsid w:val="00C7644F"/>
    <w:rsid w:val="00C768F6"/>
    <w:rsid w:val="00C775B8"/>
    <w:rsid w:val="00C80073"/>
    <w:rsid w:val="00C80180"/>
    <w:rsid w:val="00C809B3"/>
    <w:rsid w:val="00C809BC"/>
    <w:rsid w:val="00C80C52"/>
    <w:rsid w:val="00C80DEA"/>
    <w:rsid w:val="00C81257"/>
    <w:rsid w:val="00C81481"/>
    <w:rsid w:val="00C81DCB"/>
    <w:rsid w:val="00C824A1"/>
    <w:rsid w:val="00C82E5B"/>
    <w:rsid w:val="00C832DC"/>
    <w:rsid w:val="00C8363E"/>
    <w:rsid w:val="00C8377F"/>
    <w:rsid w:val="00C840A1"/>
    <w:rsid w:val="00C84300"/>
    <w:rsid w:val="00C84C67"/>
    <w:rsid w:val="00C84E06"/>
    <w:rsid w:val="00C85124"/>
    <w:rsid w:val="00C85424"/>
    <w:rsid w:val="00C8646D"/>
    <w:rsid w:val="00C8715E"/>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7C2"/>
    <w:rsid w:val="00C92C7F"/>
    <w:rsid w:val="00C92DFF"/>
    <w:rsid w:val="00C9307D"/>
    <w:rsid w:val="00C933D4"/>
    <w:rsid w:val="00C93586"/>
    <w:rsid w:val="00C9369D"/>
    <w:rsid w:val="00C939A6"/>
    <w:rsid w:val="00C9403A"/>
    <w:rsid w:val="00C944FA"/>
    <w:rsid w:val="00C95854"/>
    <w:rsid w:val="00C95DB6"/>
    <w:rsid w:val="00C95EFF"/>
    <w:rsid w:val="00C96E6F"/>
    <w:rsid w:val="00C96EAD"/>
    <w:rsid w:val="00C976DE"/>
    <w:rsid w:val="00C97872"/>
    <w:rsid w:val="00C97C96"/>
    <w:rsid w:val="00CA0532"/>
    <w:rsid w:val="00CA0571"/>
    <w:rsid w:val="00CA0A07"/>
    <w:rsid w:val="00CA14A5"/>
    <w:rsid w:val="00CA14C2"/>
    <w:rsid w:val="00CA1952"/>
    <w:rsid w:val="00CA195D"/>
    <w:rsid w:val="00CA1984"/>
    <w:rsid w:val="00CA1E14"/>
    <w:rsid w:val="00CA20C1"/>
    <w:rsid w:val="00CA21D8"/>
    <w:rsid w:val="00CA2241"/>
    <w:rsid w:val="00CA2E9A"/>
    <w:rsid w:val="00CA30D8"/>
    <w:rsid w:val="00CA361D"/>
    <w:rsid w:val="00CA396C"/>
    <w:rsid w:val="00CA3C5A"/>
    <w:rsid w:val="00CA3CDD"/>
    <w:rsid w:val="00CA403B"/>
    <w:rsid w:val="00CA4574"/>
    <w:rsid w:val="00CA505A"/>
    <w:rsid w:val="00CA54C6"/>
    <w:rsid w:val="00CA5822"/>
    <w:rsid w:val="00CA5858"/>
    <w:rsid w:val="00CA59DD"/>
    <w:rsid w:val="00CA6061"/>
    <w:rsid w:val="00CA617F"/>
    <w:rsid w:val="00CA633D"/>
    <w:rsid w:val="00CA6790"/>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065"/>
    <w:rsid w:val="00CB318C"/>
    <w:rsid w:val="00CB3E2E"/>
    <w:rsid w:val="00CB4078"/>
    <w:rsid w:val="00CB4692"/>
    <w:rsid w:val="00CB4B6D"/>
    <w:rsid w:val="00CB51CE"/>
    <w:rsid w:val="00CB541B"/>
    <w:rsid w:val="00CB5B1E"/>
    <w:rsid w:val="00CB6154"/>
    <w:rsid w:val="00CB62A3"/>
    <w:rsid w:val="00CB676D"/>
    <w:rsid w:val="00CB6933"/>
    <w:rsid w:val="00CB6E08"/>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5"/>
    <w:rsid w:val="00CC2CDF"/>
    <w:rsid w:val="00CC3A23"/>
    <w:rsid w:val="00CC430E"/>
    <w:rsid w:val="00CC48DC"/>
    <w:rsid w:val="00CC4AB7"/>
    <w:rsid w:val="00CC4D16"/>
    <w:rsid w:val="00CC5C5B"/>
    <w:rsid w:val="00CC6BFB"/>
    <w:rsid w:val="00CC709F"/>
    <w:rsid w:val="00CC711C"/>
    <w:rsid w:val="00CC737C"/>
    <w:rsid w:val="00CD04F4"/>
    <w:rsid w:val="00CD0552"/>
    <w:rsid w:val="00CD05A0"/>
    <w:rsid w:val="00CD05E5"/>
    <w:rsid w:val="00CD087D"/>
    <w:rsid w:val="00CD0B93"/>
    <w:rsid w:val="00CD0F5D"/>
    <w:rsid w:val="00CD1C0B"/>
    <w:rsid w:val="00CD22A1"/>
    <w:rsid w:val="00CD239A"/>
    <w:rsid w:val="00CD270B"/>
    <w:rsid w:val="00CD283D"/>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073"/>
    <w:rsid w:val="00CE0109"/>
    <w:rsid w:val="00CE0AC0"/>
    <w:rsid w:val="00CE11E0"/>
    <w:rsid w:val="00CE1FC5"/>
    <w:rsid w:val="00CE25A7"/>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77E"/>
    <w:rsid w:val="00CE6814"/>
    <w:rsid w:val="00CE69BD"/>
    <w:rsid w:val="00CE6E40"/>
    <w:rsid w:val="00CE6F06"/>
    <w:rsid w:val="00CE7408"/>
    <w:rsid w:val="00CE78AE"/>
    <w:rsid w:val="00CE7E62"/>
    <w:rsid w:val="00CF024F"/>
    <w:rsid w:val="00CF100C"/>
    <w:rsid w:val="00CF1943"/>
    <w:rsid w:val="00CF19DA"/>
    <w:rsid w:val="00CF1C7F"/>
    <w:rsid w:val="00CF1CC0"/>
    <w:rsid w:val="00CF22D0"/>
    <w:rsid w:val="00CF231C"/>
    <w:rsid w:val="00CF23FC"/>
    <w:rsid w:val="00CF247E"/>
    <w:rsid w:val="00CF2485"/>
    <w:rsid w:val="00CF24F8"/>
    <w:rsid w:val="00CF2653"/>
    <w:rsid w:val="00CF26AF"/>
    <w:rsid w:val="00CF3040"/>
    <w:rsid w:val="00CF3528"/>
    <w:rsid w:val="00CF36FF"/>
    <w:rsid w:val="00CF3A15"/>
    <w:rsid w:val="00CF4247"/>
    <w:rsid w:val="00CF50BA"/>
    <w:rsid w:val="00CF5263"/>
    <w:rsid w:val="00CF536E"/>
    <w:rsid w:val="00CF5B69"/>
    <w:rsid w:val="00CF5E9B"/>
    <w:rsid w:val="00CF5EDD"/>
    <w:rsid w:val="00CF60B5"/>
    <w:rsid w:val="00CF6331"/>
    <w:rsid w:val="00CF6ED0"/>
    <w:rsid w:val="00CF723D"/>
    <w:rsid w:val="00CF7E2F"/>
    <w:rsid w:val="00CF7F39"/>
    <w:rsid w:val="00D00137"/>
    <w:rsid w:val="00D0027D"/>
    <w:rsid w:val="00D0040A"/>
    <w:rsid w:val="00D004FA"/>
    <w:rsid w:val="00D006DF"/>
    <w:rsid w:val="00D00A4C"/>
    <w:rsid w:val="00D00D34"/>
    <w:rsid w:val="00D00E3C"/>
    <w:rsid w:val="00D01662"/>
    <w:rsid w:val="00D018E3"/>
    <w:rsid w:val="00D01ACD"/>
    <w:rsid w:val="00D01B21"/>
    <w:rsid w:val="00D01E2F"/>
    <w:rsid w:val="00D02A52"/>
    <w:rsid w:val="00D02B7D"/>
    <w:rsid w:val="00D03102"/>
    <w:rsid w:val="00D03727"/>
    <w:rsid w:val="00D0378A"/>
    <w:rsid w:val="00D043FB"/>
    <w:rsid w:val="00D046CA"/>
    <w:rsid w:val="00D05132"/>
    <w:rsid w:val="00D0544F"/>
    <w:rsid w:val="00D05EA9"/>
    <w:rsid w:val="00D05F70"/>
    <w:rsid w:val="00D061EB"/>
    <w:rsid w:val="00D06228"/>
    <w:rsid w:val="00D06240"/>
    <w:rsid w:val="00D0681C"/>
    <w:rsid w:val="00D0698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81D"/>
    <w:rsid w:val="00D17B86"/>
    <w:rsid w:val="00D203B8"/>
    <w:rsid w:val="00D208D9"/>
    <w:rsid w:val="00D20B8B"/>
    <w:rsid w:val="00D20E14"/>
    <w:rsid w:val="00D2139F"/>
    <w:rsid w:val="00D2162C"/>
    <w:rsid w:val="00D21A3C"/>
    <w:rsid w:val="00D21A83"/>
    <w:rsid w:val="00D22B39"/>
    <w:rsid w:val="00D22CB0"/>
    <w:rsid w:val="00D233F1"/>
    <w:rsid w:val="00D235C5"/>
    <w:rsid w:val="00D23FF7"/>
    <w:rsid w:val="00D24929"/>
    <w:rsid w:val="00D2493A"/>
    <w:rsid w:val="00D24D92"/>
    <w:rsid w:val="00D2545F"/>
    <w:rsid w:val="00D256F8"/>
    <w:rsid w:val="00D2604D"/>
    <w:rsid w:val="00D2605B"/>
    <w:rsid w:val="00D262E9"/>
    <w:rsid w:val="00D2685C"/>
    <w:rsid w:val="00D26A3B"/>
    <w:rsid w:val="00D277AC"/>
    <w:rsid w:val="00D27B8C"/>
    <w:rsid w:val="00D27DDE"/>
    <w:rsid w:val="00D302FD"/>
    <w:rsid w:val="00D3038A"/>
    <w:rsid w:val="00D303D8"/>
    <w:rsid w:val="00D3098D"/>
    <w:rsid w:val="00D315CC"/>
    <w:rsid w:val="00D31A02"/>
    <w:rsid w:val="00D32251"/>
    <w:rsid w:val="00D32D53"/>
    <w:rsid w:val="00D32DFE"/>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26A"/>
    <w:rsid w:val="00D3580A"/>
    <w:rsid w:val="00D35D4F"/>
    <w:rsid w:val="00D35F61"/>
    <w:rsid w:val="00D36234"/>
    <w:rsid w:val="00D362DD"/>
    <w:rsid w:val="00D36371"/>
    <w:rsid w:val="00D37E19"/>
    <w:rsid w:val="00D4017F"/>
    <w:rsid w:val="00D403F7"/>
    <w:rsid w:val="00D40622"/>
    <w:rsid w:val="00D41685"/>
    <w:rsid w:val="00D41784"/>
    <w:rsid w:val="00D42333"/>
    <w:rsid w:val="00D42A20"/>
    <w:rsid w:val="00D4341C"/>
    <w:rsid w:val="00D435B6"/>
    <w:rsid w:val="00D437D8"/>
    <w:rsid w:val="00D437E6"/>
    <w:rsid w:val="00D43C52"/>
    <w:rsid w:val="00D43D6A"/>
    <w:rsid w:val="00D44994"/>
    <w:rsid w:val="00D45053"/>
    <w:rsid w:val="00D45748"/>
    <w:rsid w:val="00D45B94"/>
    <w:rsid w:val="00D45DF3"/>
    <w:rsid w:val="00D46174"/>
    <w:rsid w:val="00D46182"/>
    <w:rsid w:val="00D467D1"/>
    <w:rsid w:val="00D46952"/>
    <w:rsid w:val="00D4726F"/>
    <w:rsid w:val="00D475AC"/>
    <w:rsid w:val="00D47DD0"/>
    <w:rsid w:val="00D50134"/>
    <w:rsid w:val="00D50183"/>
    <w:rsid w:val="00D50579"/>
    <w:rsid w:val="00D5079C"/>
    <w:rsid w:val="00D5087F"/>
    <w:rsid w:val="00D50922"/>
    <w:rsid w:val="00D50E7E"/>
    <w:rsid w:val="00D51956"/>
    <w:rsid w:val="00D519F3"/>
    <w:rsid w:val="00D51D12"/>
    <w:rsid w:val="00D52A75"/>
    <w:rsid w:val="00D52B1D"/>
    <w:rsid w:val="00D5329E"/>
    <w:rsid w:val="00D53493"/>
    <w:rsid w:val="00D5362B"/>
    <w:rsid w:val="00D53B8A"/>
    <w:rsid w:val="00D542CC"/>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09E"/>
    <w:rsid w:val="00D60368"/>
    <w:rsid w:val="00D60869"/>
    <w:rsid w:val="00D60C8D"/>
    <w:rsid w:val="00D60D30"/>
    <w:rsid w:val="00D61374"/>
    <w:rsid w:val="00D6168A"/>
    <w:rsid w:val="00D616A5"/>
    <w:rsid w:val="00D61B44"/>
    <w:rsid w:val="00D61C7A"/>
    <w:rsid w:val="00D61FF0"/>
    <w:rsid w:val="00D6211D"/>
    <w:rsid w:val="00D62C97"/>
    <w:rsid w:val="00D632A1"/>
    <w:rsid w:val="00D63517"/>
    <w:rsid w:val="00D637A1"/>
    <w:rsid w:val="00D63B75"/>
    <w:rsid w:val="00D63F33"/>
    <w:rsid w:val="00D640E7"/>
    <w:rsid w:val="00D64B43"/>
    <w:rsid w:val="00D650A8"/>
    <w:rsid w:val="00D6570B"/>
    <w:rsid w:val="00D659B1"/>
    <w:rsid w:val="00D66A2D"/>
    <w:rsid w:val="00D66E18"/>
    <w:rsid w:val="00D67107"/>
    <w:rsid w:val="00D6734D"/>
    <w:rsid w:val="00D674F3"/>
    <w:rsid w:val="00D6752A"/>
    <w:rsid w:val="00D679CF"/>
    <w:rsid w:val="00D679D3"/>
    <w:rsid w:val="00D70376"/>
    <w:rsid w:val="00D704ED"/>
    <w:rsid w:val="00D70A87"/>
    <w:rsid w:val="00D70DDA"/>
    <w:rsid w:val="00D71516"/>
    <w:rsid w:val="00D71904"/>
    <w:rsid w:val="00D7356F"/>
    <w:rsid w:val="00D73587"/>
    <w:rsid w:val="00D73C55"/>
    <w:rsid w:val="00D73EBB"/>
    <w:rsid w:val="00D74620"/>
    <w:rsid w:val="00D74635"/>
    <w:rsid w:val="00D7469D"/>
    <w:rsid w:val="00D74BC1"/>
    <w:rsid w:val="00D751FB"/>
    <w:rsid w:val="00D753CE"/>
    <w:rsid w:val="00D754D6"/>
    <w:rsid w:val="00D75E10"/>
    <w:rsid w:val="00D761AA"/>
    <w:rsid w:val="00D765F5"/>
    <w:rsid w:val="00D76F2F"/>
    <w:rsid w:val="00D76FAE"/>
    <w:rsid w:val="00D777D7"/>
    <w:rsid w:val="00D804EA"/>
    <w:rsid w:val="00D8066D"/>
    <w:rsid w:val="00D80955"/>
    <w:rsid w:val="00D80AB8"/>
    <w:rsid w:val="00D80D1C"/>
    <w:rsid w:val="00D80EBE"/>
    <w:rsid w:val="00D81452"/>
    <w:rsid w:val="00D81792"/>
    <w:rsid w:val="00D819B1"/>
    <w:rsid w:val="00D82437"/>
    <w:rsid w:val="00D82494"/>
    <w:rsid w:val="00D83463"/>
    <w:rsid w:val="00D83AE9"/>
    <w:rsid w:val="00D83E5D"/>
    <w:rsid w:val="00D83EF2"/>
    <w:rsid w:val="00D84BA8"/>
    <w:rsid w:val="00D84D0B"/>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979E0"/>
    <w:rsid w:val="00DA0A7F"/>
    <w:rsid w:val="00DA197B"/>
    <w:rsid w:val="00DA1C31"/>
    <w:rsid w:val="00DA1E61"/>
    <w:rsid w:val="00DA20BC"/>
    <w:rsid w:val="00DA25EB"/>
    <w:rsid w:val="00DA2C0E"/>
    <w:rsid w:val="00DA2D9B"/>
    <w:rsid w:val="00DA2ED7"/>
    <w:rsid w:val="00DA3520"/>
    <w:rsid w:val="00DA37D9"/>
    <w:rsid w:val="00DA3E7A"/>
    <w:rsid w:val="00DA430C"/>
    <w:rsid w:val="00DA43A6"/>
    <w:rsid w:val="00DA4648"/>
    <w:rsid w:val="00DA464F"/>
    <w:rsid w:val="00DA49E0"/>
    <w:rsid w:val="00DA5F3B"/>
    <w:rsid w:val="00DA60D9"/>
    <w:rsid w:val="00DA615D"/>
    <w:rsid w:val="00DA64CD"/>
    <w:rsid w:val="00DA6598"/>
    <w:rsid w:val="00DA6C0F"/>
    <w:rsid w:val="00DA702F"/>
    <w:rsid w:val="00DA79F9"/>
    <w:rsid w:val="00DA7F8A"/>
    <w:rsid w:val="00DB0170"/>
    <w:rsid w:val="00DB0176"/>
    <w:rsid w:val="00DB0181"/>
    <w:rsid w:val="00DB0404"/>
    <w:rsid w:val="00DB0A49"/>
    <w:rsid w:val="00DB11F8"/>
    <w:rsid w:val="00DB15BF"/>
    <w:rsid w:val="00DB1604"/>
    <w:rsid w:val="00DB1656"/>
    <w:rsid w:val="00DB18F8"/>
    <w:rsid w:val="00DB1CC3"/>
    <w:rsid w:val="00DB1F2A"/>
    <w:rsid w:val="00DB21B9"/>
    <w:rsid w:val="00DB25C0"/>
    <w:rsid w:val="00DB286A"/>
    <w:rsid w:val="00DB297F"/>
    <w:rsid w:val="00DB2A5E"/>
    <w:rsid w:val="00DB2ABE"/>
    <w:rsid w:val="00DB2BF2"/>
    <w:rsid w:val="00DB3153"/>
    <w:rsid w:val="00DB317A"/>
    <w:rsid w:val="00DB3ADA"/>
    <w:rsid w:val="00DB3B82"/>
    <w:rsid w:val="00DB3C4E"/>
    <w:rsid w:val="00DB485D"/>
    <w:rsid w:val="00DB4C07"/>
    <w:rsid w:val="00DB4D78"/>
    <w:rsid w:val="00DB4E6B"/>
    <w:rsid w:val="00DB51C3"/>
    <w:rsid w:val="00DB5709"/>
    <w:rsid w:val="00DB5A6A"/>
    <w:rsid w:val="00DB6001"/>
    <w:rsid w:val="00DB67F9"/>
    <w:rsid w:val="00DB6C02"/>
    <w:rsid w:val="00DB6DCF"/>
    <w:rsid w:val="00DB781B"/>
    <w:rsid w:val="00DC00B2"/>
    <w:rsid w:val="00DC0E5A"/>
    <w:rsid w:val="00DC1327"/>
    <w:rsid w:val="00DC1350"/>
    <w:rsid w:val="00DC142A"/>
    <w:rsid w:val="00DC183E"/>
    <w:rsid w:val="00DC2758"/>
    <w:rsid w:val="00DC2B43"/>
    <w:rsid w:val="00DC2DEE"/>
    <w:rsid w:val="00DC2E69"/>
    <w:rsid w:val="00DC2F32"/>
    <w:rsid w:val="00DC3237"/>
    <w:rsid w:val="00DC3787"/>
    <w:rsid w:val="00DC3CAE"/>
    <w:rsid w:val="00DC41A4"/>
    <w:rsid w:val="00DC45D3"/>
    <w:rsid w:val="00DC4948"/>
    <w:rsid w:val="00DC5672"/>
    <w:rsid w:val="00DC60A2"/>
    <w:rsid w:val="00DC615E"/>
    <w:rsid w:val="00DC6600"/>
    <w:rsid w:val="00DC665B"/>
    <w:rsid w:val="00DC67AB"/>
    <w:rsid w:val="00DC67BD"/>
    <w:rsid w:val="00DC6924"/>
    <w:rsid w:val="00DC6F4B"/>
    <w:rsid w:val="00DC71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4FE"/>
    <w:rsid w:val="00DD3BE5"/>
    <w:rsid w:val="00DD3EF5"/>
    <w:rsid w:val="00DD458A"/>
    <w:rsid w:val="00DD4B3A"/>
    <w:rsid w:val="00DD526B"/>
    <w:rsid w:val="00DD53FA"/>
    <w:rsid w:val="00DD55FE"/>
    <w:rsid w:val="00DD5F42"/>
    <w:rsid w:val="00DD617B"/>
    <w:rsid w:val="00DD6B09"/>
    <w:rsid w:val="00DD6D1A"/>
    <w:rsid w:val="00DD6ED3"/>
    <w:rsid w:val="00DD7613"/>
    <w:rsid w:val="00DD7B5A"/>
    <w:rsid w:val="00DE02AD"/>
    <w:rsid w:val="00DE0632"/>
    <w:rsid w:val="00DE0E59"/>
    <w:rsid w:val="00DE0F6C"/>
    <w:rsid w:val="00DE124E"/>
    <w:rsid w:val="00DE12D8"/>
    <w:rsid w:val="00DE219B"/>
    <w:rsid w:val="00DE271A"/>
    <w:rsid w:val="00DE28B7"/>
    <w:rsid w:val="00DE2E7A"/>
    <w:rsid w:val="00DE332B"/>
    <w:rsid w:val="00DE3598"/>
    <w:rsid w:val="00DE37D4"/>
    <w:rsid w:val="00DE3A5F"/>
    <w:rsid w:val="00DE4066"/>
    <w:rsid w:val="00DE49CA"/>
    <w:rsid w:val="00DE4CB4"/>
    <w:rsid w:val="00DE52E3"/>
    <w:rsid w:val="00DE5D60"/>
    <w:rsid w:val="00DE5E32"/>
    <w:rsid w:val="00DE6344"/>
    <w:rsid w:val="00DE689E"/>
    <w:rsid w:val="00DE699E"/>
    <w:rsid w:val="00DE6C08"/>
    <w:rsid w:val="00DE71D3"/>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6FA"/>
    <w:rsid w:val="00DF5B71"/>
    <w:rsid w:val="00DF5F1F"/>
    <w:rsid w:val="00DF6006"/>
    <w:rsid w:val="00DF6C8B"/>
    <w:rsid w:val="00DF6D88"/>
    <w:rsid w:val="00DF6E05"/>
    <w:rsid w:val="00DF6F17"/>
    <w:rsid w:val="00DF78FA"/>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D74"/>
    <w:rsid w:val="00E03F1B"/>
    <w:rsid w:val="00E04022"/>
    <w:rsid w:val="00E04A75"/>
    <w:rsid w:val="00E04BC7"/>
    <w:rsid w:val="00E04C08"/>
    <w:rsid w:val="00E0514B"/>
    <w:rsid w:val="00E05207"/>
    <w:rsid w:val="00E0539F"/>
    <w:rsid w:val="00E059B5"/>
    <w:rsid w:val="00E05DFF"/>
    <w:rsid w:val="00E065C3"/>
    <w:rsid w:val="00E06F96"/>
    <w:rsid w:val="00E0728F"/>
    <w:rsid w:val="00E0755C"/>
    <w:rsid w:val="00E075CE"/>
    <w:rsid w:val="00E07758"/>
    <w:rsid w:val="00E10240"/>
    <w:rsid w:val="00E104B5"/>
    <w:rsid w:val="00E1143C"/>
    <w:rsid w:val="00E127A6"/>
    <w:rsid w:val="00E12B3E"/>
    <w:rsid w:val="00E14026"/>
    <w:rsid w:val="00E144C8"/>
    <w:rsid w:val="00E14946"/>
    <w:rsid w:val="00E14A42"/>
    <w:rsid w:val="00E14A7E"/>
    <w:rsid w:val="00E14D25"/>
    <w:rsid w:val="00E151E1"/>
    <w:rsid w:val="00E163A5"/>
    <w:rsid w:val="00E17619"/>
    <w:rsid w:val="00E177CB"/>
    <w:rsid w:val="00E17805"/>
    <w:rsid w:val="00E2077C"/>
    <w:rsid w:val="00E2079E"/>
    <w:rsid w:val="00E20F79"/>
    <w:rsid w:val="00E21278"/>
    <w:rsid w:val="00E215C9"/>
    <w:rsid w:val="00E2177A"/>
    <w:rsid w:val="00E21897"/>
    <w:rsid w:val="00E22CCD"/>
    <w:rsid w:val="00E23412"/>
    <w:rsid w:val="00E23A11"/>
    <w:rsid w:val="00E23FB7"/>
    <w:rsid w:val="00E240FF"/>
    <w:rsid w:val="00E245F4"/>
    <w:rsid w:val="00E24752"/>
    <w:rsid w:val="00E248C2"/>
    <w:rsid w:val="00E24A26"/>
    <w:rsid w:val="00E24A27"/>
    <w:rsid w:val="00E24B2D"/>
    <w:rsid w:val="00E24DA0"/>
    <w:rsid w:val="00E253B3"/>
    <w:rsid w:val="00E25C91"/>
    <w:rsid w:val="00E25DBE"/>
    <w:rsid w:val="00E25F89"/>
    <w:rsid w:val="00E25F8B"/>
    <w:rsid w:val="00E26418"/>
    <w:rsid w:val="00E269DA"/>
    <w:rsid w:val="00E26C0B"/>
    <w:rsid w:val="00E26D6D"/>
    <w:rsid w:val="00E2766A"/>
    <w:rsid w:val="00E27BAE"/>
    <w:rsid w:val="00E30253"/>
    <w:rsid w:val="00E30D23"/>
    <w:rsid w:val="00E30E7B"/>
    <w:rsid w:val="00E313B4"/>
    <w:rsid w:val="00E3163B"/>
    <w:rsid w:val="00E3165B"/>
    <w:rsid w:val="00E3182A"/>
    <w:rsid w:val="00E32D62"/>
    <w:rsid w:val="00E339C0"/>
    <w:rsid w:val="00E339DC"/>
    <w:rsid w:val="00E33E15"/>
    <w:rsid w:val="00E3584D"/>
    <w:rsid w:val="00E35AF2"/>
    <w:rsid w:val="00E35CC0"/>
    <w:rsid w:val="00E35F2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2F25"/>
    <w:rsid w:val="00E434CC"/>
    <w:rsid w:val="00E435E4"/>
    <w:rsid w:val="00E43F37"/>
    <w:rsid w:val="00E44185"/>
    <w:rsid w:val="00E44539"/>
    <w:rsid w:val="00E447F7"/>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E31"/>
    <w:rsid w:val="00E53122"/>
    <w:rsid w:val="00E5320C"/>
    <w:rsid w:val="00E5329E"/>
    <w:rsid w:val="00E5351B"/>
    <w:rsid w:val="00E5390A"/>
    <w:rsid w:val="00E53E26"/>
    <w:rsid w:val="00E53FA9"/>
    <w:rsid w:val="00E5414C"/>
    <w:rsid w:val="00E54649"/>
    <w:rsid w:val="00E547B3"/>
    <w:rsid w:val="00E54A59"/>
    <w:rsid w:val="00E55D5A"/>
    <w:rsid w:val="00E56619"/>
    <w:rsid w:val="00E56800"/>
    <w:rsid w:val="00E56B1E"/>
    <w:rsid w:val="00E56CA2"/>
    <w:rsid w:val="00E56E14"/>
    <w:rsid w:val="00E5733D"/>
    <w:rsid w:val="00E57786"/>
    <w:rsid w:val="00E57A4F"/>
    <w:rsid w:val="00E6017E"/>
    <w:rsid w:val="00E61001"/>
    <w:rsid w:val="00E61602"/>
    <w:rsid w:val="00E61B59"/>
    <w:rsid w:val="00E61CC0"/>
    <w:rsid w:val="00E6201E"/>
    <w:rsid w:val="00E620E6"/>
    <w:rsid w:val="00E6277B"/>
    <w:rsid w:val="00E6344E"/>
    <w:rsid w:val="00E6393D"/>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70DB"/>
    <w:rsid w:val="00E77702"/>
    <w:rsid w:val="00E777A6"/>
    <w:rsid w:val="00E77848"/>
    <w:rsid w:val="00E80514"/>
    <w:rsid w:val="00E809D0"/>
    <w:rsid w:val="00E80E5B"/>
    <w:rsid w:val="00E816C5"/>
    <w:rsid w:val="00E81CD4"/>
    <w:rsid w:val="00E81CE0"/>
    <w:rsid w:val="00E81E7C"/>
    <w:rsid w:val="00E8224D"/>
    <w:rsid w:val="00E829DE"/>
    <w:rsid w:val="00E82B74"/>
    <w:rsid w:val="00E83196"/>
    <w:rsid w:val="00E83765"/>
    <w:rsid w:val="00E83AC3"/>
    <w:rsid w:val="00E84604"/>
    <w:rsid w:val="00E8519F"/>
    <w:rsid w:val="00E855CD"/>
    <w:rsid w:val="00E85CC3"/>
    <w:rsid w:val="00E861A5"/>
    <w:rsid w:val="00E8644A"/>
    <w:rsid w:val="00E868FF"/>
    <w:rsid w:val="00E86FE9"/>
    <w:rsid w:val="00E87DBD"/>
    <w:rsid w:val="00E87DF8"/>
    <w:rsid w:val="00E87F7E"/>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393B"/>
    <w:rsid w:val="00E940D5"/>
    <w:rsid w:val="00E94213"/>
    <w:rsid w:val="00E943C2"/>
    <w:rsid w:val="00E94B38"/>
    <w:rsid w:val="00E94CF1"/>
    <w:rsid w:val="00E94F0D"/>
    <w:rsid w:val="00E957AB"/>
    <w:rsid w:val="00E95BA6"/>
    <w:rsid w:val="00E960D0"/>
    <w:rsid w:val="00E9612B"/>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AF3"/>
    <w:rsid w:val="00EA2ED3"/>
    <w:rsid w:val="00EA3B5A"/>
    <w:rsid w:val="00EA3BF4"/>
    <w:rsid w:val="00EA410E"/>
    <w:rsid w:val="00EA4E50"/>
    <w:rsid w:val="00EA4FD1"/>
    <w:rsid w:val="00EA530D"/>
    <w:rsid w:val="00EA53C2"/>
    <w:rsid w:val="00EA5695"/>
    <w:rsid w:val="00EA5B0A"/>
    <w:rsid w:val="00EA61F6"/>
    <w:rsid w:val="00EA64F1"/>
    <w:rsid w:val="00EA65AD"/>
    <w:rsid w:val="00EA691C"/>
    <w:rsid w:val="00EA6953"/>
    <w:rsid w:val="00EA7A95"/>
    <w:rsid w:val="00EA7F77"/>
    <w:rsid w:val="00EA7FCF"/>
    <w:rsid w:val="00EB0846"/>
    <w:rsid w:val="00EB0A08"/>
    <w:rsid w:val="00EB0CA3"/>
    <w:rsid w:val="00EB0F98"/>
    <w:rsid w:val="00EB0FCB"/>
    <w:rsid w:val="00EB104F"/>
    <w:rsid w:val="00EB120F"/>
    <w:rsid w:val="00EB14AA"/>
    <w:rsid w:val="00EB160C"/>
    <w:rsid w:val="00EB1A70"/>
    <w:rsid w:val="00EB1B27"/>
    <w:rsid w:val="00EB1DA8"/>
    <w:rsid w:val="00EB1DFA"/>
    <w:rsid w:val="00EB2A10"/>
    <w:rsid w:val="00EB2CC6"/>
    <w:rsid w:val="00EB3283"/>
    <w:rsid w:val="00EB3C5E"/>
    <w:rsid w:val="00EB3D55"/>
    <w:rsid w:val="00EB4C59"/>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7AD"/>
    <w:rsid w:val="00EC3AB3"/>
    <w:rsid w:val="00EC3E0D"/>
    <w:rsid w:val="00EC462B"/>
    <w:rsid w:val="00EC4723"/>
    <w:rsid w:val="00EC4D18"/>
    <w:rsid w:val="00EC4D8E"/>
    <w:rsid w:val="00EC530A"/>
    <w:rsid w:val="00EC56E0"/>
    <w:rsid w:val="00EC57B7"/>
    <w:rsid w:val="00EC6057"/>
    <w:rsid w:val="00EC6077"/>
    <w:rsid w:val="00EC6847"/>
    <w:rsid w:val="00EC7534"/>
    <w:rsid w:val="00EC770F"/>
    <w:rsid w:val="00EC7DB6"/>
    <w:rsid w:val="00ED01CD"/>
    <w:rsid w:val="00ED0241"/>
    <w:rsid w:val="00ED05A5"/>
    <w:rsid w:val="00ED0839"/>
    <w:rsid w:val="00ED1168"/>
    <w:rsid w:val="00ED1363"/>
    <w:rsid w:val="00ED141B"/>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474"/>
    <w:rsid w:val="00ED571E"/>
    <w:rsid w:val="00ED5FE4"/>
    <w:rsid w:val="00ED6816"/>
    <w:rsid w:val="00ED6BD2"/>
    <w:rsid w:val="00ED71C5"/>
    <w:rsid w:val="00ED75E5"/>
    <w:rsid w:val="00EE0197"/>
    <w:rsid w:val="00EE0476"/>
    <w:rsid w:val="00EE04C4"/>
    <w:rsid w:val="00EE0BE7"/>
    <w:rsid w:val="00EE13D4"/>
    <w:rsid w:val="00EE16FA"/>
    <w:rsid w:val="00EE1A9B"/>
    <w:rsid w:val="00EE225F"/>
    <w:rsid w:val="00EE237D"/>
    <w:rsid w:val="00EE3C42"/>
    <w:rsid w:val="00EE3D4F"/>
    <w:rsid w:val="00EE3E62"/>
    <w:rsid w:val="00EE404D"/>
    <w:rsid w:val="00EE424F"/>
    <w:rsid w:val="00EE4AD5"/>
    <w:rsid w:val="00EE4D07"/>
    <w:rsid w:val="00EE51D3"/>
    <w:rsid w:val="00EE534D"/>
    <w:rsid w:val="00EE53A1"/>
    <w:rsid w:val="00EE5560"/>
    <w:rsid w:val="00EE6528"/>
    <w:rsid w:val="00EE688F"/>
    <w:rsid w:val="00EE6A6E"/>
    <w:rsid w:val="00EE6D83"/>
    <w:rsid w:val="00EE6F1E"/>
    <w:rsid w:val="00EE7359"/>
    <w:rsid w:val="00EE78AC"/>
    <w:rsid w:val="00EE7B8B"/>
    <w:rsid w:val="00EE7D0C"/>
    <w:rsid w:val="00EE7D7C"/>
    <w:rsid w:val="00EF0348"/>
    <w:rsid w:val="00EF04E3"/>
    <w:rsid w:val="00EF0862"/>
    <w:rsid w:val="00EF08B1"/>
    <w:rsid w:val="00EF0A2F"/>
    <w:rsid w:val="00EF1F9C"/>
    <w:rsid w:val="00EF205E"/>
    <w:rsid w:val="00EF2149"/>
    <w:rsid w:val="00EF26BA"/>
    <w:rsid w:val="00EF2950"/>
    <w:rsid w:val="00EF29DD"/>
    <w:rsid w:val="00EF2CC5"/>
    <w:rsid w:val="00EF428A"/>
    <w:rsid w:val="00EF4366"/>
    <w:rsid w:val="00EF4CD6"/>
    <w:rsid w:val="00EF4D91"/>
    <w:rsid w:val="00EF55A0"/>
    <w:rsid w:val="00EF5FB3"/>
    <w:rsid w:val="00EF63D1"/>
    <w:rsid w:val="00EF6513"/>
    <w:rsid w:val="00EF6665"/>
    <w:rsid w:val="00EF6683"/>
    <w:rsid w:val="00EF69CF"/>
    <w:rsid w:val="00EF7002"/>
    <w:rsid w:val="00EF769B"/>
    <w:rsid w:val="00EF794A"/>
    <w:rsid w:val="00EF7C7F"/>
    <w:rsid w:val="00F005AB"/>
    <w:rsid w:val="00F00674"/>
    <w:rsid w:val="00F01007"/>
    <w:rsid w:val="00F010DB"/>
    <w:rsid w:val="00F01738"/>
    <w:rsid w:val="00F017DD"/>
    <w:rsid w:val="00F01A6A"/>
    <w:rsid w:val="00F0206A"/>
    <w:rsid w:val="00F020FE"/>
    <w:rsid w:val="00F027BA"/>
    <w:rsid w:val="00F02A3D"/>
    <w:rsid w:val="00F03172"/>
    <w:rsid w:val="00F03588"/>
    <w:rsid w:val="00F03E79"/>
    <w:rsid w:val="00F045E8"/>
    <w:rsid w:val="00F04982"/>
    <w:rsid w:val="00F051DD"/>
    <w:rsid w:val="00F056A4"/>
    <w:rsid w:val="00F05705"/>
    <w:rsid w:val="00F0577D"/>
    <w:rsid w:val="00F057BD"/>
    <w:rsid w:val="00F0628D"/>
    <w:rsid w:val="00F06651"/>
    <w:rsid w:val="00F074F0"/>
    <w:rsid w:val="00F07660"/>
    <w:rsid w:val="00F07D00"/>
    <w:rsid w:val="00F07DE6"/>
    <w:rsid w:val="00F1023F"/>
    <w:rsid w:val="00F10551"/>
    <w:rsid w:val="00F1056C"/>
    <w:rsid w:val="00F1068D"/>
    <w:rsid w:val="00F106FF"/>
    <w:rsid w:val="00F107F1"/>
    <w:rsid w:val="00F10DCD"/>
    <w:rsid w:val="00F10E6F"/>
    <w:rsid w:val="00F10FC1"/>
    <w:rsid w:val="00F112FD"/>
    <w:rsid w:val="00F11540"/>
    <w:rsid w:val="00F12366"/>
    <w:rsid w:val="00F123AF"/>
    <w:rsid w:val="00F1253F"/>
    <w:rsid w:val="00F12A51"/>
    <w:rsid w:val="00F12C2C"/>
    <w:rsid w:val="00F133A1"/>
    <w:rsid w:val="00F13464"/>
    <w:rsid w:val="00F13ECD"/>
    <w:rsid w:val="00F14298"/>
    <w:rsid w:val="00F14328"/>
    <w:rsid w:val="00F14D45"/>
    <w:rsid w:val="00F1555F"/>
    <w:rsid w:val="00F155A3"/>
    <w:rsid w:val="00F155CE"/>
    <w:rsid w:val="00F156C0"/>
    <w:rsid w:val="00F159C8"/>
    <w:rsid w:val="00F15F33"/>
    <w:rsid w:val="00F17166"/>
    <w:rsid w:val="00F17859"/>
    <w:rsid w:val="00F17C08"/>
    <w:rsid w:val="00F17D23"/>
    <w:rsid w:val="00F17EAE"/>
    <w:rsid w:val="00F17F4D"/>
    <w:rsid w:val="00F2006A"/>
    <w:rsid w:val="00F2019B"/>
    <w:rsid w:val="00F202C0"/>
    <w:rsid w:val="00F21020"/>
    <w:rsid w:val="00F218D4"/>
    <w:rsid w:val="00F2250A"/>
    <w:rsid w:val="00F22738"/>
    <w:rsid w:val="00F238DC"/>
    <w:rsid w:val="00F23A08"/>
    <w:rsid w:val="00F23D5D"/>
    <w:rsid w:val="00F23D73"/>
    <w:rsid w:val="00F23FD2"/>
    <w:rsid w:val="00F242B6"/>
    <w:rsid w:val="00F24788"/>
    <w:rsid w:val="00F24A06"/>
    <w:rsid w:val="00F24DEB"/>
    <w:rsid w:val="00F250AB"/>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4B6"/>
    <w:rsid w:val="00F405A4"/>
    <w:rsid w:val="00F40928"/>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E26"/>
    <w:rsid w:val="00F44B2F"/>
    <w:rsid w:val="00F44DA3"/>
    <w:rsid w:val="00F44E54"/>
    <w:rsid w:val="00F44EC5"/>
    <w:rsid w:val="00F45209"/>
    <w:rsid w:val="00F45AC1"/>
    <w:rsid w:val="00F45C72"/>
    <w:rsid w:val="00F45E97"/>
    <w:rsid w:val="00F468CB"/>
    <w:rsid w:val="00F47498"/>
    <w:rsid w:val="00F47DE5"/>
    <w:rsid w:val="00F47EF5"/>
    <w:rsid w:val="00F503D2"/>
    <w:rsid w:val="00F50E75"/>
    <w:rsid w:val="00F512B2"/>
    <w:rsid w:val="00F51DBD"/>
    <w:rsid w:val="00F522D4"/>
    <w:rsid w:val="00F52678"/>
    <w:rsid w:val="00F5283D"/>
    <w:rsid w:val="00F52ABA"/>
    <w:rsid w:val="00F52BC7"/>
    <w:rsid w:val="00F52FC1"/>
    <w:rsid w:val="00F53555"/>
    <w:rsid w:val="00F536FC"/>
    <w:rsid w:val="00F53BF4"/>
    <w:rsid w:val="00F5406B"/>
    <w:rsid w:val="00F54266"/>
    <w:rsid w:val="00F54E8E"/>
    <w:rsid w:val="00F55043"/>
    <w:rsid w:val="00F55A2F"/>
    <w:rsid w:val="00F55BE7"/>
    <w:rsid w:val="00F55C1D"/>
    <w:rsid w:val="00F56043"/>
    <w:rsid w:val="00F561FF"/>
    <w:rsid w:val="00F567F4"/>
    <w:rsid w:val="00F56DCF"/>
    <w:rsid w:val="00F56E9F"/>
    <w:rsid w:val="00F57034"/>
    <w:rsid w:val="00F5753A"/>
    <w:rsid w:val="00F57AB0"/>
    <w:rsid w:val="00F60459"/>
    <w:rsid w:val="00F608E3"/>
    <w:rsid w:val="00F60BE9"/>
    <w:rsid w:val="00F60EB2"/>
    <w:rsid w:val="00F616DF"/>
    <w:rsid w:val="00F61FD8"/>
    <w:rsid w:val="00F62446"/>
    <w:rsid w:val="00F62ABE"/>
    <w:rsid w:val="00F62DBF"/>
    <w:rsid w:val="00F63287"/>
    <w:rsid w:val="00F6379A"/>
    <w:rsid w:val="00F641BF"/>
    <w:rsid w:val="00F641FC"/>
    <w:rsid w:val="00F6424A"/>
    <w:rsid w:val="00F647F7"/>
    <w:rsid w:val="00F6566A"/>
    <w:rsid w:val="00F6583C"/>
    <w:rsid w:val="00F6589A"/>
    <w:rsid w:val="00F658EF"/>
    <w:rsid w:val="00F6603D"/>
    <w:rsid w:val="00F66333"/>
    <w:rsid w:val="00F6642C"/>
    <w:rsid w:val="00F664D1"/>
    <w:rsid w:val="00F66660"/>
    <w:rsid w:val="00F66CF8"/>
    <w:rsid w:val="00F66E4E"/>
    <w:rsid w:val="00F6727F"/>
    <w:rsid w:val="00F676BC"/>
    <w:rsid w:val="00F6772F"/>
    <w:rsid w:val="00F6783E"/>
    <w:rsid w:val="00F701D2"/>
    <w:rsid w:val="00F70DBE"/>
    <w:rsid w:val="00F710CD"/>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021"/>
    <w:rsid w:val="00F80399"/>
    <w:rsid w:val="00F80B88"/>
    <w:rsid w:val="00F812C8"/>
    <w:rsid w:val="00F8132D"/>
    <w:rsid w:val="00F817C5"/>
    <w:rsid w:val="00F818AE"/>
    <w:rsid w:val="00F81B40"/>
    <w:rsid w:val="00F820C4"/>
    <w:rsid w:val="00F8214C"/>
    <w:rsid w:val="00F822C3"/>
    <w:rsid w:val="00F823A5"/>
    <w:rsid w:val="00F823DE"/>
    <w:rsid w:val="00F828EB"/>
    <w:rsid w:val="00F82BB5"/>
    <w:rsid w:val="00F83829"/>
    <w:rsid w:val="00F83D15"/>
    <w:rsid w:val="00F83D49"/>
    <w:rsid w:val="00F84069"/>
    <w:rsid w:val="00F842C8"/>
    <w:rsid w:val="00F843D7"/>
    <w:rsid w:val="00F84769"/>
    <w:rsid w:val="00F84778"/>
    <w:rsid w:val="00F84EF6"/>
    <w:rsid w:val="00F85536"/>
    <w:rsid w:val="00F85562"/>
    <w:rsid w:val="00F8587A"/>
    <w:rsid w:val="00F85E15"/>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CD2"/>
    <w:rsid w:val="00F90E78"/>
    <w:rsid w:val="00F910F2"/>
    <w:rsid w:val="00F91209"/>
    <w:rsid w:val="00F91ADF"/>
    <w:rsid w:val="00F91B7B"/>
    <w:rsid w:val="00F91BAA"/>
    <w:rsid w:val="00F9221F"/>
    <w:rsid w:val="00F9258F"/>
    <w:rsid w:val="00F92783"/>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117"/>
    <w:rsid w:val="00F97908"/>
    <w:rsid w:val="00F97AF7"/>
    <w:rsid w:val="00F97B43"/>
    <w:rsid w:val="00F97C64"/>
    <w:rsid w:val="00FA027A"/>
    <w:rsid w:val="00FA07F8"/>
    <w:rsid w:val="00FA0A77"/>
    <w:rsid w:val="00FA105C"/>
    <w:rsid w:val="00FA1475"/>
    <w:rsid w:val="00FA148A"/>
    <w:rsid w:val="00FA14ED"/>
    <w:rsid w:val="00FA226C"/>
    <w:rsid w:val="00FA27C8"/>
    <w:rsid w:val="00FA2C40"/>
    <w:rsid w:val="00FA2D4C"/>
    <w:rsid w:val="00FA2D56"/>
    <w:rsid w:val="00FA2EB2"/>
    <w:rsid w:val="00FA327F"/>
    <w:rsid w:val="00FA349D"/>
    <w:rsid w:val="00FA3B76"/>
    <w:rsid w:val="00FA3F05"/>
    <w:rsid w:val="00FA444F"/>
    <w:rsid w:val="00FA4622"/>
    <w:rsid w:val="00FA48D9"/>
    <w:rsid w:val="00FA4D66"/>
    <w:rsid w:val="00FA5A4E"/>
    <w:rsid w:val="00FA5EFE"/>
    <w:rsid w:val="00FA65ED"/>
    <w:rsid w:val="00FA685B"/>
    <w:rsid w:val="00FA69A0"/>
    <w:rsid w:val="00FA6B27"/>
    <w:rsid w:val="00FA6C5A"/>
    <w:rsid w:val="00FA75C9"/>
    <w:rsid w:val="00FA75FA"/>
    <w:rsid w:val="00FA7C14"/>
    <w:rsid w:val="00FB0082"/>
    <w:rsid w:val="00FB0243"/>
    <w:rsid w:val="00FB0469"/>
    <w:rsid w:val="00FB068B"/>
    <w:rsid w:val="00FB0E87"/>
    <w:rsid w:val="00FB1123"/>
    <w:rsid w:val="00FB1527"/>
    <w:rsid w:val="00FB2066"/>
    <w:rsid w:val="00FB220E"/>
    <w:rsid w:val="00FB2537"/>
    <w:rsid w:val="00FB2EFC"/>
    <w:rsid w:val="00FB33DC"/>
    <w:rsid w:val="00FB3BF1"/>
    <w:rsid w:val="00FB4313"/>
    <w:rsid w:val="00FB4338"/>
    <w:rsid w:val="00FB477E"/>
    <w:rsid w:val="00FB4C32"/>
    <w:rsid w:val="00FB4C9C"/>
    <w:rsid w:val="00FB5B0A"/>
    <w:rsid w:val="00FB5BAE"/>
    <w:rsid w:val="00FB5F43"/>
    <w:rsid w:val="00FB6106"/>
    <w:rsid w:val="00FB6165"/>
    <w:rsid w:val="00FB7402"/>
    <w:rsid w:val="00FB76BF"/>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3CF1"/>
    <w:rsid w:val="00FC4572"/>
    <w:rsid w:val="00FC4729"/>
    <w:rsid w:val="00FC4A8C"/>
    <w:rsid w:val="00FC53DB"/>
    <w:rsid w:val="00FC5FC2"/>
    <w:rsid w:val="00FC6177"/>
    <w:rsid w:val="00FC63D1"/>
    <w:rsid w:val="00FC6564"/>
    <w:rsid w:val="00FC6690"/>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1FF"/>
    <w:rsid w:val="00FD3291"/>
    <w:rsid w:val="00FD329A"/>
    <w:rsid w:val="00FD37F6"/>
    <w:rsid w:val="00FD4589"/>
    <w:rsid w:val="00FD46DF"/>
    <w:rsid w:val="00FD473E"/>
    <w:rsid w:val="00FD4A68"/>
    <w:rsid w:val="00FD4A96"/>
    <w:rsid w:val="00FD4EC4"/>
    <w:rsid w:val="00FD548D"/>
    <w:rsid w:val="00FD58E6"/>
    <w:rsid w:val="00FD59E0"/>
    <w:rsid w:val="00FD5C3C"/>
    <w:rsid w:val="00FD5F6D"/>
    <w:rsid w:val="00FD6279"/>
    <w:rsid w:val="00FD64EC"/>
    <w:rsid w:val="00FD6555"/>
    <w:rsid w:val="00FD6B92"/>
    <w:rsid w:val="00FD6BD6"/>
    <w:rsid w:val="00FD7A5E"/>
    <w:rsid w:val="00FD7DF9"/>
    <w:rsid w:val="00FD7E07"/>
    <w:rsid w:val="00FE0B51"/>
    <w:rsid w:val="00FE0B78"/>
    <w:rsid w:val="00FE0D8D"/>
    <w:rsid w:val="00FE0E13"/>
    <w:rsid w:val="00FE0ED4"/>
    <w:rsid w:val="00FE14E4"/>
    <w:rsid w:val="00FE1E6E"/>
    <w:rsid w:val="00FE1EAB"/>
    <w:rsid w:val="00FE21A0"/>
    <w:rsid w:val="00FE27D8"/>
    <w:rsid w:val="00FE29AB"/>
    <w:rsid w:val="00FE2E01"/>
    <w:rsid w:val="00FE2F08"/>
    <w:rsid w:val="00FE3465"/>
    <w:rsid w:val="00FE391C"/>
    <w:rsid w:val="00FE41B8"/>
    <w:rsid w:val="00FE42DD"/>
    <w:rsid w:val="00FE459F"/>
    <w:rsid w:val="00FE51F6"/>
    <w:rsid w:val="00FE5783"/>
    <w:rsid w:val="00FE602C"/>
    <w:rsid w:val="00FE67CF"/>
    <w:rsid w:val="00FE69C1"/>
    <w:rsid w:val="00FE6D20"/>
    <w:rsid w:val="00FE6FB9"/>
    <w:rsid w:val="00FE7404"/>
    <w:rsid w:val="00FE7549"/>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uiPriority w:val="9"/>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autoSpaceDE/>
      <w:autoSpaceDN/>
      <w:adjustRightInd/>
      <w:snapToGrid/>
      <w:spacing w:after="0"/>
      <w:ind w:left="720"/>
    </w:pPr>
    <w:rPr>
      <w:rFonts w:cs="Calibri"/>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qFormat/>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qFormat/>
    <w:rsid w:val="00E940D5"/>
    <w:pPr>
      <w:numPr>
        <w:numId w:val="7"/>
      </w:numPr>
    </w:pPr>
    <w:rPr>
      <w:b/>
    </w:rPr>
  </w:style>
  <w:style w:type="paragraph" w:customStyle="1" w:styleId="Prop">
    <w:name w:val="Prop"/>
    <w:basedOn w:val="Paragraphedeliste"/>
    <w:link w:val="PropCar"/>
    <w:autoRedefine/>
    <w:rsid w:val="002D208E"/>
    <w:pPr>
      <w:spacing w:before="120" w:after="120"/>
      <w:ind w:left="0"/>
    </w:pPr>
    <w:rPr>
      <w:b/>
      <w:color w:val="000000" w:themeColor="text1"/>
    </w:rPr>
  </w:style>
  <w:style w:type="character" w:customStyle="1" w:styleId="ProposalCar">
    <w:name w:val="Proposal Car"/>
    <w:basedOn w:val="ParagraphedelisteCar"/>
    <w:link w:val="Proposal"/>
    <w:rsid w:val="00E940D5"/>
    <w:rPr>
      <w:rFonts w:cs="Calibri"/>
      <w:b/>
      <w:sz w:val="22"/>
      <w:szCs w:val="21"/>
    </w:rPr>
  </w:style>
  <w:style w:type="paragraph" w:customStyle="1" w:styleId="Observation">
    <w:name w:val="Observation"/>
    <w:basedOn w:val="Paragraphedeliste"/>
    <w:link w:val="ObservationCar"/>
    <w:qFormat/>
    <w:rsid w:val="00B31316"/>
    <w:pPr>
      <w:numPr>
        <w:numId w:val="8"/>
      </w:numPr>
      <w:ind w:left="360"/>
    </w:pPr>
    <w:rPr>
      <w:b/>
      <w:i/>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B31316"/>
    <w:rPr>
      <w:rFonts w:cs="Calibri"/>
      <w:b/>
      <w:i/>
      <w:sz w:val="22"/>
      <w:szCs w:val="21"/>
    </w:rPr>
  </w:style>
  <w:style w:type="paragraph" w:customStyle="1" w:styleId="Prop1">
    <w:name w:val="Prop1"/>
    <w:basedOn w:val="Paragraphedeliste"/>
    <w:autoRedefine/>
    <w:qFormat/>
    <w:rsid w:val="004A32E2"/>
    <w:pPr>
      <w:numPr>
        <w:numId w:val="11"/>
      </w:numPr>
      <w:spacing w:before="120" w:after="120"/>
    </w:pPr>
    <w:rPr>
      <w:b/>
    </w:rPr>
  </w:style>
  <w:style w:type="paragraph" w:styleId="NormalWeb">
    <w:name w:val="Normal (Web)"/>
    <w:basedOn w:val="Normal"/>
    <w:uiPriority w:val="99"/>
    <w:semiHidden/>
    <w:unhideWhenUsed/>
    <w:rsid w:val="005B78FB"/>
    <w:pPr>
      <w:autoSpaceDE/>
      <w:autoSpaceDN/>
      <w:adjustRightInd/>
      <w:snapToGrid/>
      <w:spacing w:before="100" w:beforeAutospacing="1" w:after="100" w:afterAutospacing="1"/>
      <w:jc w:val="left"/>
    </w:pPr>
    <w:rPr>
      <w:rFonts w:eastAsia="Times New Roman"/>
      <w:sz w:val="24"/>
      <w:szCs w:val="24"/>
      <w:lang w:val="fr-FR" w:eastAsia="fr-FR"/>
    </w:r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table" w:styleId="Ombrageclair">
    <w:name w:val="Light Shading"/>
    <w:basedOn w:val="TableauNormal"/>
    <w:uiPriority w:val="60"/>
    <w:rsid w:val="00D0698C"/>
    <w:rPr>
      <w:rFonts w:asciiTheme="minorHAnsi" w:eastAsiaTheme="minorHAnsi" w:hAnsiTheme="minorHAnsi" w:cstheme="minorBidi"/>
      <w:color w:val="000000" w:themeColor="text1" w:themeShade="BF"/>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steclaire-Accent5">
    <w:name w:val="Light List Accent 5"/>
    <w:basedOn w:val="TableauNormal"/>
    <w:uiPriority w:val="61"/>
    <w:rsid w:val="00D0698C"/>
    <w:rPr>
      <w:rFonts w:ascii="CG Times (WN)" w:eastAsia="Times New Roman" w:hAnsi="CG Times (WN)"/>
      <w:lang w:val="en-GB" w:eastAsia="en-GB"/>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uiPriority w:val="9"/>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autoSpaceDE/>
      <w:autoSpaceDN/>
      <w:adjustRightInd/>
      <w:snapToGrid/>
      <w:spacing w:after="0"/>
      <w:ind w:left="720"/>
    </w:pPr>
    <w:rPr>
      <w:rFonts w:cs="Calibri"/>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qFormat/>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qFormat/>
    <w:rsid w:val="00E940D5"/>
    <w:pPr>
      <w:numPr>
        <w:numId w:val="7"/>
      </w:numPr>
    </w:pPr>
    <w:rPr>
      <w:b/>
    </w:rPr>
  </w:style>
  <w:style w:type="paragraph" w:customStyle="1" w:styleId="Prop">
    <w:name w:val="Prop"/>
    <w:basedOn w:val="Paragraphedeliste"/>
    <w:link w:val="PropCar"/>
    <w:autoRedefine/>
    <w:rsid w:val="002D208E"/>
    <w:pPr>
      <w:spacing w:before="120" w:after="120"/>
      <w:ind w:left="0"/>
    </w:pPr>
    <w:rPr>
      <w:b/>
      <w:color w:val="000000" w:themeColor="text1"/>
    </w:rPr>
  </w:style>
  <w:style w:type="character" w:customStyle="1" w:styleId="ProposalCar">
    <w:name w:val="Proposal Car"/>
    <w:basedOn w:val="ParagraphedelisteCar"/>
    <w:link w:val="Proposal"/>
    <w:rsid w:val="00E940D5"/>
    <w:rPr>
      <w:rFonts w:cs="Calibri"/>
      <w:b/>
      <w:sz w:val="22"/>
      <w:szCs w:val="21"/>
    </w:rPr>
  </w:style>
  <w:style w:type="paragraph" w:customStyle="1" w:styleId="Observation">
    <w:name w:val="Observation"/>
    <w:basedOn w:val="Paragraphedeliste"/>
    <w:link w:val="ObservationCar"/>
    <w:qFormat/>
    <w:rsid w:val="00B31316"/>
    <w:pPr>
      <w:numPr>
        <w:numId w:val="8"/>
      </w:numPr>
      <w:ind w:left="360"/>
    </w:pPr>
    <w:rPr>
      <w:b/>
      <w:i/>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B31316"/>
    <w:rPr>
      <w:rFonts w:cs="Calibri"/>
      <w:b/>
      <w:i/>
      <w:sz w:val="22"/>
      <w:szCs w:val="21"/>
    </w:rPr>
  </w:style>
  <w:style w:type="paragraph" w:customStyle="1" w:styleId="Prop1">
    <w:name w:val="Prop1"/>
    <w:basedOn w:val="Paragraphedeliste"/>
    <w:autoRedefine/>
    <w:qFormat/>
    <w:rsid w:val="004A32E2"/>
    <w:pPr>
      <w:numPr>
        <w:numId w:val="11"/>
      </w:numPr>
      <w:spacing w:before="120" w:after="120"/>
    </w:pPr>
    <w:rPr>
      <w:b/>
    </w:rPr>
  </w:style>
  <w:style w:type="paragraph" w:styleId="NormalWeb">
    <w:name w:val="Normal (Web)"/>
    <w:basedOn w:val="Normal"/>
    <w:uiPriority w:val="99"/>
    <w:semiHidden/>
    <w:unhideWhenUsed/>
    <w:rsid w:val="005B78FB"/>
    <w:pPr>
      <w:autoSpaceDE/>
      <w:autoSpaceDN/>
      <w:adjustRightInd/>
      <w:snapToGrid/>
      <w:spacing w:before="100" w:beforeAutospacing="1" w:after="100" w:afterAutospacing="1"/>
      <w:jc w:val="left"/>
    </w:pPr>
    <w:rPr>
      <w:rFonts w:eastAsia="Times New Roman"/>
      <w:sz w:val="24"/>
      <w:szCs w:val="24"/>
      <w:lang w:val="fr-FR" w:eastAsia="fr-FR"/>
    </w:r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table" w:styleId="Ombrageclair">
    <w:name w:val="Light Shading"/>
    <w:basedOn w:val="TableauNormal"/>
    <w:uiPriority w:val="60"/>
    <w:rsid w:val="00D0698C"/>
    <w:rPr>
      <w:rFonts w:asciiTheme="minorHAnsi" w:eastAsiaTheme="minorHAnsi" w:hAnsiTheme="minorHAnsi" w:cstheme="minorBidi"/>
      <w:color w:val="000000" w:themeColor="text1" w:themeShade="BF"/>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steclaire-Accent5">
    <w:name w:val="Light List Accent 5"/>
    <w:basedOn w:val="TableauNormal"/>
    <w:uiPriority w:val="61"/>
    <w:rsid w:val="00D0698C"/>
    <w:rPr>
      <w:rFonts w:ascii="CG Times (WN)" w:eastAsia="Times New Roman" w:hAnsi="CG Times (WN)"/>
      <w:lang w:val="en-GB" w:eastAsia="en-GB"/>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4607">
      <w:bodyDiv w:val="1"/>
      <w:marLeft w:val="0"/>
      <w:marRight w:val="0"/>
      <w:marTop w:val="0"/>
      <w:marBottom w:val="0"/>
      <w:divBdr>
        <w:top w:val="none" w:sz="0" w:space="0" w:color="auto"/>
        <w:left w:val="none" w:sz="0" w:space="0" w:color="auto"/>
        <w:bottom w:val="none" w:sz="0" w:space="0" w:color="auto"/>
        <w:right w:val="none" w:sz="0" w:space="0" w:color="auto"/>
      </w:divBdr>
      <w:divsChild>
        <w:div w:id="413013787">
          <w:marLeft w:val="0"/>
          <w:marRight w:val="0"/>
          <w:marTop w:val="0"/>
          <w:marBottom w:val="0"/>
          <w:divBdr>
            <w:top w:val="none" w:sz="0" w:space="0" w:color="auto"/>
            <w:left w:val="none" w:sz="0" w:space="0" w:color="auto"/>
            <w:bottom w:val="none" w:sz="0" w:space="0" w:color="auto"/>
            <w:right w:val="none" w:sz="0" w:space="0" w:color="auto"/>
          </w:divBdr>
        </w:div>
      </w:divsChild>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TR31</b:Tag>
    <b:SourceType>ConferenceProceedings</b:SourceType>
    <b:Guid>{72052D08-F9F9-48BA-A3F0-F82A4A5375DA}</b:Guid>
    <b:Title>TR38.821 Solutions for NR to support non-terrestrial networks</b:Title>
    <b:RefOrder>2</b:RefOrder>
  </b:Source>
  <b:Source>
    <b:Tag>TR32</b:Tag>
    <b:SourceType>ConferenceProceedings</b:SourceType>
    <b:Guid>{EAA01403-C092-4868-965E-D1D469D7D769}</b:Guid>
    <b:Title>TR38.213 Physical layer procedures for control</b:Title>
    <b:RefOrder>3</b:RefOrder>
  </b:Source>
  <b:Source>
    <b:Tag>Tha3</b:Tag>
    <b:SourceType>JournalArticle</b:SourceType>
    <b:Guid>{637D2BC1-0D2B-4FD3-A3F8-30A97E27CCB9}</b:Guid>
    <b:Author>
      <b:Author>
        <b:Corporate>Thales</b:Corporate>
      </b:Author>
    </b:Author>
    <b:Title>R1-2005306 NR_NTN_solutions work plan</b:Title>
    <b:JournalName>RAN1#102-e</b:JournalName>
    <b:RefOrder>4</b:RefOrder>
  </b:Source>
  <b:Source>
    <b:Tag>3GP16</b:Tag>
    <b:SourceType>Book</b:SourceType>
    <b:Guid>{13A0A5F0-ED8C-4AD0-BC85-2A84C110C444}</b:Guid>
    <b:Author>
      <b:Author>
        <b:NameList>
          <b:Person>
            <b:Last>3GPP</b:Last>
          </b:Person>
        </b:NameList>
      </b:Author>
    </b:Author>
    <b:Title>TR 38.821 Solutions for NR to support non-terrestrial networks (NTN)</b:Title>
    <b:Year>Release 16</b:Year>
    <b:RefOrder>5</b:RefOrder>
  </b:Source>
  <b:Source>
    <b:Tag>Stu</b:Tag>
    <b:SourceType>Book</b:SourceType>
    <b:Guid>{1EDE1D14-211A-4FE6-AFD4-C53FBAEC1D43}</b:Guid>
    <b:Title>R1-20xxxxx Study Cases for System-Level Simulations in NTN WI</b:Title>
    <b:Author>
      <b:Author>
        <b:NameList>
          <b:Person>
            <b:Last>GmbH</b:Last>
            <b:First>Nomor</b:First>
            <b:Middle>Research</b:Middle>
          </b:Person>
        </b:NameList>
      </b:Author>
    </b:Author>
    <b:RefOrder>1</b:RefOrder>
  </b:Source>
  <b:Source>
    <b:Tag>3GP1</b:Tag>
    <b:SourceType>Book</b:SourceType>
    <b:Guid>{0FE87025-6093-49C0-AF95-40062D9052B5}</b:Guid>
    <b:Author>
      <b:Author>
        <b:NameList>
          <b:Person>
            <b:Last>3GPP</b:Last>
          </b:Person>
        </b:NameList>
      </b:Author>
    </b:Author>
    <b:Title>TS 38.211 Physical channels and modulation</b:Title>
    <b:RefOrder>6</b:RefOrder>
  </b:Source>
  <b:Source>
    <b:Tag>TS3</b:Tag>
    <b:SourceType>Book</b:SourceType>
    <b:Guid>{60661446-72AC-4FBD-B7A8-D22E0E74EF2E}</b:Guid>
    <b:Author>
      <b:Author>
        <b:NameList>
          <b:Person>
            <b:Last>3GPP</b:Last>
          </b:Person>
        </b:NameList>
      </b:Author>
    </b:Author>
    <b:Title>TS 38.331, Radio Resource Control (RRC); Protocol specification</b:Title>
    <b:RefOrder>7</b:RefOrder>
  </b:Source>
  <b:Source>
    <b:Tag>3GP2</b:Tag>
    <b:SourceType>Book</b:SourceType>
    <b:Guid>{B0854B76-0458-4A9F-9B63-D50901D87ECF}</b:Guid>
    <b:Author>
      <b:Author>
        <b:NameList>
          <b:Person>
            <b:Last>3GPP</b:Last>
          </b:Person>
        </b:NameList>
      </b:Author>
    </b:Author>
    <b:Title>TS 38.214 Physical layer procedures for data</b:Title>
    <b:RefOrder>8</b:RefOrder>
  </b:Source>
  <b:Source>
    <b:Tag>R12006676</b:Tag>
    <b:SourceType>Book</b:SourceType>
    <b:Guid>{BD799CB7-8A29-440D-BAB9-7FDFEA352E33}</b:Guid>
    <b:Title>R1-2006676 - NR NTN Reference scenarios definition for Rel-17 normative phase</b:Title>
    <b:Author>
      <b:Author>
        <b:NameList>
          <b:Person>
            <b:Last>Thales</b:Last>
          </b:Person>
        </b:NameList>
      </b:Author>
    </b:Author>
    <b:RefOrder>9</b:RefOrder>
  </b:Source>
  <b:Source>
    <b:Tag>R12</b:Tag>
    <b:SourceType>Book</b:SourceType>
    <b:Guid>{562CF213-4A0B-49E7-8F44-9E62695294B5}</b:Guid>
    <b:Author>
      <b:Author>
        <b:NameList>
          <b:Person>
            <b:Last>OPPO</b:Last>
          </b:Person>
        </b:NameList>
      </b:Author>
    </b:Author>
    <b:Title>AI, R1-2102141 Summary_3 of AI 8.4.4</b:Title>
    <b:RefOrder>10</b:RefOrder>
  </b:Source>
</b:Sources>
</file>

<file path=customXml/itemProps1.xml><?xml version="1.0" encoding="utf-8"?>
<ds:datastoreItem xmlns:ds="http://schemas.openxmlformats.org/officeDocument/2006/customXml" ds:itemID="{85FF2A4F-3316-4AF7-812D-44C987D29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3579</Words>
  <Characters>19686</Characters>
  <Application>Microsoft Office Word</Application>
  <DocSecurity>0</DocSecurity>
  <Lines>164</Lines>
  <Paragraphs>46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23219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El jaafari Mohamed</cp:lastModifiedBy>
  <cp:revision>16</cp:revision>
  <cp:lastPrinted>2015-07-25T10:06:00Z</cp:lastPrinted>
  <dcterms:created xsi:type="dcterms:W3CDTF">2021-01-15T10:54:00Z</dcterms:created>
  <dcterms:modified xsi:type="dcterms:W3CDTF">2021-05-11T18:03:00Z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