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71571086"/>
    <w:bookmarkStart w:id="1" w:name="_Hlk46151100"/>
    <w:bookmarkEnd w:id="0"/>
    <w:p w14:paraId="7BFE38E2" w14:textId="7D93B2FD" w:rsidR="00941CA4" w:rsidRPr="00D74B92" w:rsidRDefault="00941CA4" w:rsidP="00941CA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083F16A" wp14:editId="20D138A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96C09"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105-e</w:t>
      </w:r>
      <w:r w:rsidRPr="00D74B92">
        <w:rPr>
          <w:rFonts w:ascii="Arial" w:hAnsi="Arial" w:cs="Arial"/>
          <w:b/>
          <w:kern w:val="2"/>
          <w:lang w:eastAsia="zh-CN"/>
        </w:rPr>
        <w:tab/>
      </w:r>
      <w:r w:rsidRPr="00700852">
        <w:rPr>
          <w:rFonts w:ascii="Arial" w:hAnsi="Arial" w:cs="Arial"/>
          <w:b/>
          <w:kern w:val="2"/>
          <w:lang w:eastAsia="zh-CN"/>
        </w:rPr>
        <w:t>R1-</w:t>
      </w:r>
      <w:r w:rsidRPr="00941CA4">
        <w:rPr>
          <w:rFonts w:ascii="Arial" w:hAnsi="Arial" w:cs="Arial"/>
          <w:b/>
          <w:kern w:val="2"/>
          <w:lang w:eastAsia="zh-CN"/>
        </w:rPr>
        <w:t>21</w:t>
      </w:r>
      <w:r w:rsidR="00373FC6">
        <w:rPr>
          <w:rFonts w:ascii="Arial" w:hAnsi="Arial" w:cs="Arial"/>
          <w:b/>
          <w:kern w:val="2"/>
          <w:lang w:eastAsia="zh-CN"/>
        </w:rPr>
        <w:t>04213</w:t>
      </w:r>
    </w:p>
    <w:bookmarkEnd w:id="1"/>
    <w:p w14:paraId="62D92C43" w14:textId="626F471A" w:rsidR="00941CA4" w:rsidRDefault="00941CA4" w:rsidP="00941CA4">
      <w:pPr>
        <w:spacing w:after="60"/>
        <w:ind w:left="1555" w:hanging="1555"/>
        <w:jc w:val="left"/>
        <w:rPr>
          <w:rFonts w:ascii="Arial" w:hAnsi="Arial" w:cs="Arial"/>
          <w:b/>
          <w:kern w:val="2"/>
          <w:lang w:eastAsia="zh-CN"/>
        </w:rPr>
      </w:pPr>
      <w:r w:rsidRPr="00FF614E">
        <w:rPr>
          <w:rFonts w:ascii="Arial" w:hAnsi="Arial" w:cs="Arial"/>
          <w:b/>
          <w:kern w:val="2"/>
          <w:lang w:eastAsia="zh-CN"/>
        </w:rPr>
        <w:t>e-Meeting, May 1</w:t>
      </w:r>
      <w:r w:rsidR="00B859B6">
        <w:rPr>
          <w:rFonts w:ascii="Arial" w:hAnsi="Arial" w:cs="Arial"/>
          <w:b/>
          <w:kern w:val="2"/>
          <w:lang w:eastAsia="zh-CN"/>
        </w:rPr>
        <w:t>9</w:t>
      </w:r>
      <w:r w:rsidRPr="00FF614E">
        <w:rPr>
          <w:rFonts w:ascii="Arial" w:hAnsi="Arial" w:cs="Arial"/>
          <w:b/>
          <w:kern w:val="2"/>
          <w:lang w:eastAsia="zh-CN"/>
        </w:rPr>
        <w:t>th – 27th, 2021</w:t>
      </w:r>
    </w:p>
    <w:p w14:paraId="6D855A2C" w14:textId="3B296125"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967C4E">
        <w:rPr>
          <w:rFonts w:ascii="Arial" w:hAnsi="Arial" w:cs="Arial"/>
          <w:b/>
          <w:lang w:eastAsia="zh-CN"/>
        </w:rPr>
        <w:t>8.</w:t>
      </w:r>
      <w:r w:rsidR="007F2B16">
        <w:rPr>
          <w:rFonts w:ascii="Arial" w:hAnsi="Arial" w:cs="Arial"/>
          <w:b/>
          <w:lang w:eastAsia="zh-CN"/>
        </w:rPr>
        <w:t>2.6</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Futurewei</w:t>
      </w:r>
    </w:p>
    <w:p w14:paraId="592199C5" w14:textId="3C42C7B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37DBD" w:rsidRPr="00237DBD">
        <w:rPr>
          <w:rFonts w:ascii="Arial" w:hAnsi="Arial" w:cs="Arial"/>
          <w:b/>
          <w:lang w:eastAsia="zh-CN"/>
        </w:rPr>
        <w:t>Channel access for shared spectrum Beyond 52.6 GHz</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6FB783A2" w14:textId="77777777" w:rsidR="007F2B16" w:rsidRPr="00414E61" w:rsidRDefault="007F2B16" w:rsidP="007F2B16">
      <w:pPr>
        <w:autoSpaceDE/>
        <w:autoSpaceDN/>
        <w:adjustRightInd/>
        <w:snapToGrid/>
        <w:spacing w:after="0"/>
        <w:jc w:val="left"/>
        <w:rPr>
          <w:lang w:eastAsia="x-none"/>
        </w:rPr>
      </w:pPr>
      <w:r w:rsidRPr="00414E61">
        <w:rPr>
          <w:lang w:eastAsia="x-none"/>
        </w:rPr>
        <w:t>In RAN # 90 the extensions to WI [1] for NR operation up to 71GHz were approved. According to [1] RAN1 should define:</w:t>
      </w:r>
    </w:p>
    <w:p w14:paraId="6E41CBFE" w14:textId="77777777" w:rsidR="007F2B16" w:rsidRPr="009136BE" w:rsidRDefault="007F2B16" w:rsidP="007F2B16">
      <w:pPr>
        <w:spacing w:before="120"/>
        <w:rPr>
          <w:rFonts w:eastAsia="Times New Roman"/>
          <w:i/>
          <w:iCs/>
          <w:lang w:val="x-none" w:eastAsia="ja-JP"/>
        </w:rPr>
      </w:pPr>
      <w:r>
        <w:rPr>
          <w:rFonts w:eastAsia="Times New Roman"/>
          <w:i/>
          <w:iCs/>
          <w:sz w:val="20"/>
          <w:szCs w:val="20"/>
          <w:lang w:eastAsia="ja-JP"/>
        </w:rPr>
        <w:t>“</w:t>
      </w:r>
      <w:r w:rsidRPr="009136BE">
        <w:rPr>
          <w:rFonts w:eastAsia="Times New Roman"/>
          <w:i/>
          <w:iCs/>
          <w:lang w:val="x-none" w:eastAsia="ja-JP"/>
        </w:rPr>
        <w:t>Physical layer procedure(s) including [RAN1]:</w:t>
      </w:r>
    </w:p>
    <w:p w14:paraId="6D3BD013"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Channel access mechanism assuming beam based operation in order to comply with the regulatory requirements applicable to unlicensed spectrum for frequencies between 52.6GHz and 71GHz.</w:t>
      </w:r>
    </w:p>
    <w:p w14:paraId="2AAA4C09"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ab/>
        <w:t>Specify both LBT and No-LBT related procedures, and for No-LBT case no additional sensing mechanism is specified.</w:t>
      </w:r>
    </w:p>
    <w:p w14:paraId="6233B4BB" w14:textId="77777777" w:rsidR="007F2B16" w:rsidRPr="001566A2" w:rsidRDefault="007F2B16" w:rsidP="007F2B16">
      <w:pPr>
        <w:spacing w:before="120"/>
        <w:ind w:left="425"/>
        <w:rPr>
          <w:rFonts w:eastAsia="Times New Roman"/>
          <w:i/>
          <w:iCs/>
          <w:lang w:eastAsia="ja-JP"/>
        </w:rPr>
      </w:pPr>
      <w:r w:rsidRPr="009136BE">
        <w:rPr>
          <w:rFonts w:eastAsia="Times New Roman"/>
          <w:i/>
          <w:iCs/>
          <w:lang w:val="x-none" w:eastAsia="ja-JP"/>
        </w:rPr>
        <w:tab/>
        <w:t>Study, and if needed specify, omni-directional LBT, directional LBT and receiver assistance in channel access</w:t>
      </w:r>
      <w:r>
        <w:rPr>
          <w:rFonts w:eastAsia="Times New Roman"/>
          <w:i/>
          <w:iCs/>
          <w:lang w:eastAsia="ja-JP"/>
        </w:rPr>
        <w:t>.</w:t>
      </w:r>
    </w:p>
    <w:p w14:paraId="74A9645D" w14:textId="77777777" w:rsidR="007F2B16" w:rsidRPr="009136BE" w:rsidRDefault="007F2B16" w:rsidP="007F2B16">
      <w:pPr>
        <w:spacing w:before="120"/>
        <w:ind w:left="425"/>
        <w:rPr>
          <w:rFonts w:eastAsia="Times New Roman"/>
          <w:i/>
          <w:iCs/>
          <w:lang w:eastAsia="ja-JP"/>
        </w:rPr>
      </w:pPr>
      <w:r w:rsidRPr="009136BE">
        <w:rPr>
          <w:rFonts w:eastAsia="Times New Roman"/>
          <w:i/>
          <w:iCs/>
          <w:lang w:val="x-none" w:eastAsia="ja-JP"/>
        </w:rPr>
        <w:t>Study, and if needed specify, energy detection threshold enhancement</w:t>
      </w:r>
      <w:r w:rsidRPr="009136BE">
        <w:rPr>
          <w:rFonts w:eastAsia="Times New Roman"/>
          <w:i/>
          <w:iCs/>
          <w:lang w:eastAsia="ja-JP"/>
        </w:rPr>
        <w:t>”</w:t>
      </w:r>
    </w:p>
    <w:p w14:paraId="217C3C59" w14:textId="1B328BC5" w:rsidR="007F2B16" w:rsidRPr="00414E61" w:rsidRDefault="007F2B16" w:rsidP="007F2B16">
      <w:pPr>
        <w:autoSpaceDE/>
        <w:autoSpaceDN/>
        <w:adjustRightInd/>
        <w:snapToGrid/>
        <w:spacing w:after="0"/>
        <w:jc w:val="left"/>
        <w:rPr>
          <w:lang w:eastAsia="x-none"/>
        </w:rPr>
      </w:pPr>
      <w:r>
        <w:rPr>
          <w:lang w:eastAsia="x-none"/>
        </w:rPr>
        <w:t>Multiple Agreements we reached in RAN1#104-e and RAN1#104b-e b</w:t>
      </w:r>
      <w:r w:rsidRPr="00414E61">
        <w:rPr>
          <w:lang w:eastAsia="x-none"/>
        </w:rPr>
        <w:t>ased on the above principles</w:t>
      </w:r>
      <w:r>
        <w:rPr>
          <w:lang w:eastAsia="x-none"/>
        </w:rPr>
        <w:t>. In this document we provide our views on the open issues after recalling the relevant agreements.</w:t>
      </w:r>
    </w:p>
    <w:p w14:paraId="35722DB6" w14:textId="77777777" w:rsidR="000762E4" w:rsidRDefault="000762E4" w:rsidP="00773DB7">
      <w:pPr>
        <w:spacing w:beforeLines="50" w:before="120"/>
        <w:rPr>
          <w:lang w:val="en-GB"/>
        </w:rPr>
      </w:pPr>
    </w:p>
    <w:p w14:paraId="34B97F1F" w14:textId="16D20015" w:rsidR="006374AA" w:rsidRDefault="0068592C" w:rsidP="006374AA">
      <w:pPr>
        <w:pStyle w:val="Heading1"/>
      </w:pPr>
      <w:r>
        <w:t>EDT Computation</w:t>
      </w:r>
    </w:p>
    <w:p w14:paraId="1159DD4E" w14:textId="1123EC41" w:rsidR="0068592C" w:rsidRPr="00414E61" w:rsidRDefault="0068592C" w:rsidP="0068592C">
      <w:r>
        <w:t>In RAN1 #104-e the following agreements on energy detection threshold were made:</w:t>
      </w:r>
    </w:p>
    <w:p w14:paraId="3F8BAB3D" w14:textId="77777777" w:rsidR="0068592C" w:rsidRDefault="0068592C" w:rsidP="0068592C">
      <w:pPr>
        <w:rPr>
          <w:lang w:eastAsia="x-none"/>
        </w:rPr>
      </w:pPr>
      <w:r w:rsidRPr="00EA178F">
        <w:rPr>
          <w:highlight w:val="green"/>
          <w:lang w:eastAsia="x-none"/>
        </w:rPr>
        <w:t>Agreement:</w:t>
      </w:r>
    </w:p>
    <w:p w14:paraId="6C351BF3" w14:textId="77777777" w:rsidR="0068592C" w:rsidRPr="009814EC" w:rsidRDefault="0068592C" w:rsidP="0068592C">
      <w:pPr>
        <w:rPr>
          <w:lang w:eastAsia="x-none"/>
        </w:rPr>
      </w:pPr>
      <w:r w:rsidRPr="009814EC">
        <w:rPr>
          <w:lang w:eastAsia="x-none"/>
        </w:rPr>
        <w:t>The baseline ED threshold can be computed as</w:t>
      </w:r>
    </w:p>
    <w:p w14:paraId="4C7E1C7B" w14:textId="77777777" w:rsidR="0068592C" w:rsidRPr="00D847E8" w:rsidRDefault="0068592C" w:rsidP="0068592C">
      <w:pPr>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1D178768" w14:textId="77777777" w:rsidR="0068592C" w:rsidRPr="009814EC" w:rsidRDefault="0068592C" w:rsidP="0068592C">
      <w:pPr>
        <w:rPr>
          <w:lang w:eastAsia="x-none"/>
        </w:rPr>
      </w:pPr>
      <w:r w:rsidRPr="009814EC">
        <w:rPr>
          <w:lang w:eastAsia="x-none"/>
        </w:rPr>
        <w:t xml:space="preserve"> Where Pout is RF output power (EIRP) and Pmax is the RF output power limit, Pout≤Pmax.</w:t>
      </w:r>
    </w:p>
    <w:p w14:paraId="2AB269C3" w14:textId="77777777" w:rsidR="0068592C" w:rsidRDefault="0068592C" w:rsidP="00C75BF7">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19903489" w14:textId="77777777" w:rsidR="0068592C" w:rsidRPr="009814EC" w:rsidRDefault="0068592C" w:rsidP="00C75BF7">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4C3C2550" w14:textId="77777777" w:rsidR="0068592C" w:rsidRPr="009814EC" w:rsidRDefault="0068592C" w:rsidP="00C75BF7">
      <w:pPr>
        <w:numPr>
          <w:ilvl w:val="0"/>
          <w:numId w:val="5"/>
        </w:numPr>
        <w:autoSpaceDE/>
        <w:autoSpaceDN/>
        <w:adjustRightInd/>
        <w:snapToGrid/>
        <w:spacing w:after="0"/>
        <w:jc w:val="left"/>
        <w:rPr>
          <w:lang w:eastAsia="x-none"/>
        </w:rPr>
      </w:pPr>
      <w:r w:rsidRPr="009814EC">
        <w:rPr>
          <w:lang w:eastAsia="x-none"/>
        </w:rPr>
        <w:t>FFS definition of Operating Channel BW</w:t>
      </w:r>
    </w:p>
    <w:p w14:paraId="3A705B15" w14:textId="77777777" w:rsidR="0068592C" w:rsidRPr="009814EC" w:rsidRDefault="0068592C" w:rsidP="00C75BF7">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 xml:space="preserve">(eg, at regulation level) </w:t>
      </w:r>
      <w:r w:rsidRPr="009814EC">
        <w:rPr>
          <w:rFonts w:hint="eastAsia"/>
          <w:iCs/>
          <w:lang w:eastAsia="x-none"/>
        </w:rPr>
        <w:t>can be appropriately relaxed compared with the threshold of coexistence between NR-U and Wi-Fi.</w:t>
      </w:r>
    </w:p>
    <w:p w14:paraId="0363197D" w14:textId="21F2827E" w:rsidR="0068592C" w:rsidRDefault="0068592C" w:rsidP="00C75BF7">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6F84DF22" w14:textId="77777777" w:rsidR="0068592C" w:rsidRPr="009814EC" w:rsidRDefault="0068592C" w:rsidP="00C75BF7">
      <w:pPr>
        <w:numPr>
          <w:ilvl w:val="0"/>
          <w:numId w:val="5"/>
        </w:numPr>
        <w:autoSpaceDE/>
        <w:autoSpaceDN/>
        <w:adjustRightInd/>
        <w:snapToGrid/>
        <w:spacing w:after="0"/>
        <w:jc w:val="left"/>
        <w:rPr>
          <w:lang w:eastAsia="x-none"/>
        </w:rPr>
      </w:pPr>
    </w:p>
    <w:p w14:paraId="015636B5" w14:textId="2A2B2380" w:rsidR="00A3575A" w:rsidRPr="0068592C" w:rsidRDefault="00413E37" w:rsidP="00A3575A">
      <w:pPr>
        <w:rPr>
          <w:b/>
          <w:bCs/>
          <w:lang w:eastAsia="x-none"/>
        </w:rPr>
      </w:pPr>
      <w:r>
        <w:rPr>
          <w:lang w:eastAsia="x-none"/>
        </w:rPr>
        <w:t>Subsequently i</w:t>
      </w:r>
      <w:r w:rsidR="0068592C" w:rsidRPr="00413E37">
        <w:rPr>
          <w:lang w:eastAsia="x-none"/>
        </w:rPr>
        <w:t>n</w:t>
      </w:r>
      <w:r w:rsidR="0068592C">
        <w:rPr>
          <w:b/>
          <w:bCs/>
          <w:lang w:eastAsia="x-none"/>
        </w:rPr>
        <w:t xml:space="preserve"> </w:t>
      </w:r>
      <w:r w:rsidR="0068592C">
        <w:t>RAN1 #104</w:t>
      </w:r>
      <w:r>
        <w:t>b</w:t>
      </w:r>
      <w:r w:rsidR="0068592C">
        <w:t xml:space="preserve">-e the following working assumption was reached. </w:t>
      </w:r>
    </w:p>
    <w:p w14:paraId="1EE014FB" w14:textId="77777777" w:rsidR="0068592C" w:rsidRDefault="0068592C" w:rsidP="0068592C">
      <w:pPr>
        <w:rPr>
          <w:lang w:eastAsia="x-none"/>
        </w:rPr>
      </w:pPr>
      <w:r w:rsidRPr="00D2464C">
        <w:rPr>
          <w:highlight w:val="darkYellow"/>
          <w:lang w:eastAsia="x-none"/>
        </w:rPr>
        <w:t>Working assumption:</w:t>
      </w:r>
    </w:p>
    <w:p w14:paraId="0BE8DC67" w14:textId="77777777" w:rsidR="0068592C" w:rsidRPr="0068592C" w:rsidRDefault="0068592C" w:rsidP="00C75BF7">
      <w:pPr>
        <w:pStyle w:val="ListParagraph"/>
        <w:numPr>
          <w:ilvl w:val="0"/>
          <w:numId w:val="4"/>
        </w:numPr>
        <w:rPr>
          <w:szCs w:val="20"/>
          <w:lang w:eastAsia="zh-CN"/>
        </w:rPr>
      </w:pPr>
      <w:bookmarkStart w:id="4" w:name="_Hlk71146094"/>
      <w:r w:rsidRPr="0068592C">
        <w:rPr>
          <w:szCs w:val="20"/>
          <w:lang w:eastAsia="zh-CN"/>
        </w:rPr>
        <w:t>For Pout in EDT determination, define Pout as the maximum EIRP of the node determining EDT during a COT.</w:t>
      </w:r>
    </w:p>
    <w:bookmarkEnd w:id="4"/>
    <w:p w14:paraId="45716BBA" w14:textId="77DCE852" w:rsidR="00A3575A" w:rsidRPr="00F322CD" w:rsidRDefault="00A3575A" w:rsidP="0068592C">
      <w:pPr>
        <w:autoSpaceDE/>
        <w:autoSpaceDN/>
        <w:adjustRightInd/>
        <w:snapToGrid/>
        <w:spacing w:after="0"/>
        <w:ind w:left="720"/>
        <w:jc w:val="left"/>
        <w:rPr>
          <w:rFonts w:eastAsia="DengXian" w:cs="Times"/>
          <w:bCs/>
          <w:i/>
          <w:iCs/>
          <w:kern w:val="32"/>
          <w:lang w:eastAsia="zh-CN"/>
        </w:rPr>
      </w:pPr>
    </w:p>
    <w:p w14:paraId="0E882733" w14:textId="47DE8D71" w:rsidR="00B92E70" w:rsidRDefault="0068592C" w:rsidP="00A3575A">
      <w:pPr>
        <w:rPr>
          <w:rFonts w:eastAsia="DengXian" w:cs="Times"/>
          <w:bCs/>
          <w:kern w:val="32"/>
          <w:lang w:eastAsia="zh-CN"/>
        </w:rPr>
      </w:pPr>
      <w:r>
        <w:rPr>
          <w:rFonts w:eastAsia="DengXian" w:cs="Times"/>
          <w:bCs/>
          <w:kern w:val="32"/>
          <w:lang w:eastAsia="zh-CN"/>
        </w:rPr>
        <w:lastRenderedPageBreak/>
        <w:t xml:space="preserve">We </w:t>
      </w:r>
      <w:r w:rsidR="00B92E70">
        <w:rPr>
          <w:rFonts w:eastAsia="DengXian" w:cs="Times"/>
          <w:bCs/>
          <w:kern w:val="32"/>
          <w:lang w:eastAsia="zh-CN"/>
        </w:rPr>
        <w:t xml:space="preserve">first discuss the merits of the working assumption considering the scenario </w:t>
      </w:r>
      <w:r w:rsidR="00E778BC">
        <w:rPr>
          <w:rFonts w:eastAsia="DengXian" w:cs="Times"/>
          <w:bCs/>
          <w:kern w:val="32"/>
          <w:lang w:eastAsia="zh-CN"/>
        </w:rPr>
        <w:t>in which</w:t>
      </w:r>
      <w:r w:rsidR="00B92E70">
        <w:rPr>
          <w:rFonts w:eastAsia="DengXian" w:cs="Times"/>
          <w:bCs/>
          <w:kern w:val="32"/>
          <w:lang w:eastAsia="zh-CN"/>
        </w:rPr>
        <w:t xml:space="preserve"> a single LBT process </w:t>
      </w:r>
      <w:r w:rsidR="00321F4E">
        <w:rPr>
          <w:rFonts w:eastAsia="DengXian" w:cs="Times"/>
          <w:bCs/>
          <w:kern w:val="32"/>
          <w:lang w:eastAsia="zh-CN"/>
        </w:rPr>
        <w:t>(</w:t>
      </w:r>
      <w:r w:rsidR="00E22A7C">
        <w:rPr>
          <w:rFonts w:eastAsia="DengXian" w:cs="Times"/>
          <w:bCs/>
          <w:kern w:val="32"/>
          <w:lang w:eastAsia="zh-CN"/>
        </w:rPr>
        <w:t>where each such process has its own sensing/</w:t>
      </w:r>
      <w:r w:rsidR="00321F4E">
        <w:rPr>
          <w:rFonts w:eastAsia="DengXian" w:cs="Times"/>
          <w:bCs/>
          <w:kern w:val="32"/>
          <w:lang w:eastAsia="zh-CN"/>
        </w:rPr>
        <w:t>CCA</w:t>
      </w:r>
      <w:r w:rsidR="00E22A7C">
        <w:rPr>
          <w:rFonts w:eastAsia="DengXian" w:cs="Times"/>
          <w:bCs/>
          <w:kern w:val="32"/>
          <w:lang w:eastAsia="zh-CN"/>
        </w:rPr>
        <w:t>-</w:t>
      </w:r>
      <w:r w:rsidR="00321F4E">
        <w:rPr>
          <w:rFonts w:eastAsia="DengXian" w:cs="Times"/>
          <w:bCs/>
          <w:kern w:val="32"/>
          <w:lang w:eastAsia="zh-CN"/>
        </w:rPr>
        <w:t xml:space="preserve">check) </w:t>
      </w:r>
      <w:r w:rsidR="00B92E70">
        <w:rPr>
          <w:rFonts w:eastAsia="DengXian" w:cs="Times"/>
          <w:bCs/>
          <w:kern w:val="32"/>
          <w:lang w:eastAsia="zh-CN"/>
        </w:rPr>
        <w:t xml:space="preserve">seeks to acquire the </w:t>
      </w:r>
      <w:r w:rsidR="00BF2769">
        <w:rPr>
          <w:rFonts w:eastAsia="DengXian" w:cs="Times"/>
          <w:bCs/>
          <w:kern w:val="32"/>
          <w:lang w:eastAsia="zh-CN"/>
        </w:rPr>
        <w:t>channel occupancy time (</w:t>
      </w:r>
      <w:r w:rsidR="00B92E70">
        <w:rPr>
          <w:rFonts w:eastAsia="DengXian" w:cs="Times"/>
          <w:bCs/>
          <w:kern w:val="32"/>
          <w:lang w:eastAsia="zh-CN"/>
        </w:rPr>
        <w:t>COT</w:t>
      </w:r>
      <w:r w:rsidR="00BF2769">
        <w:rPr>
          <w:rFonts w:eastAsia="DengXian" w:cs="Times"/>
          <w:bCs/>
          <w:kern w:val="32"/>
          <w:lang w:eastAsia="zh-CN"/>
        </w:rPr>
        <w:t>)</w:t>
      </w:r>
      <w:r>
        <w:rPr>
          <w:rFonts w:eastAsia="DengXian" w:cs="Times"/>
          <w:bCs/>
          <w:kern w:val="32"/>
          <w:lang w:eastAsia="zh-CN"/>
        </w:rPr>
        <w:t xml:space="preserve">. </w:t>
      </w:r>
      <w:r w:rsidR="00B92E70">
        <w:rPr>
          <w:rFonts w:eastAsia="DengXian" w:cs="Times"/>
          <w:bCs/>
          <w:kern w:val="32"/>
          <w:lang w:eastAsia="zh-CN"/>
        </w:rPr>
        <w:t>Here, w</w:t>
      </w:r>
      <w:r>
        <w:rPr>
          <w:rFonts w:eastAsia="DengXian" w:cs="Times"/>
          <w:bCs/>
          <w:kern w:val="32"/>
          <w:lang w:eastAsia="zh-CN"/>
        </w:rPr>
        <w:t xml:space="preserve">hile we recognize that maximum EIRP can result in a more conservative </w:t>
      </w:r>
      <w:r w:rsidR="00F4463F">
        <w:rPr>
          <w:rFonts w:eastAsia="DengXian" w:cs="Times"/>
          <w:bCs/>
          <w:kern w:val="32"/>
          <w:lang w:eastAsia="zh-CN"/>
        </w:rPr>
        <w:t xml:space="preserve">EDT </w:t>
      </w:r>
      <w:r w:rsidR="00E840F5">
        <w:rPr>
          <w:rFonts w:eastAsia="DengXian" w:cs="Times"/>
          <w:bCs/>
          <w:kern w:val="32"/>
          <w:lang w:eastAsia="zh-CN"/>
        </w:rPr>
        <w:t>(</w:t>
      </w:r>
      <w:r w:rsidR="00F4463F">
        <w:rPr>
          <w:rFonts w:eastAsia="DengXian" w:cs="Times"/>
          <w:bCs/>
          <w:kern w:val="32"/>
          <w:lang w:eastAsia="zh-CN"/>
        </w:rPr>
        <w:t>as opposed to say a mean over all per-burst EIRP computed over the COT</w:t>
      </w:r>
      <w:r w:rsidR="00E840F5">
        <w:rPr>
          <w:rFonts w:eastAsia="DengXian" w:cs="Times"/>
          <w:bCs/>
          <w:kern w:val="32"/>
          <w:lang w:eastAsia="zh-CN"/>
        </w:rPr>
        <w:t>)</w:t>
      </w:r>
      <w:r w:rsidR="00F4463F">
        <w:rPr>
          <w:rFonts w:eastAsia="DengXian" w:cs="Times"/>
          <w:bCs/>
          <w:kern w:val="32"/>
          <w:lang w:eastAsia="zh-CN"/>
        </w:rPr>
        <w:t xml:space="preserve">, it allows for easier computation. </w:t>
      </w:r>
      <w:r w:rsidR="007F438C">
        <w:rPr>
          <w:rFonts w:eastAsia="DengXian" w:cs="Times"/>
          <w:bCs/>
          <w:kern w:val="32"/>
          <w:lang w:eastAsia="zh-CN"/>
        </w:rPr>
        <w:t>Indeed, we can also use an</w:t>
      </w:r>
      <w:r w:rsidR="00865BAD">
        <w:rPr>
          <w:rFonts w:eastAsia="DengXian" w:cs="Times"/>
          <w:bCs/>
          <w:kern w:val="32"/>
          <w:lang w:eastAsia="zh-CN"/>
        </w:rPr>
        <w:t>y</w:t>
      </w:r>
      <w:r w:rsidR="007F438C">
        <w:rPr>
          <w:rFonts w:eastAsia="DengXian" w:cs="Times"/>
          <w:bCs/>
          <w:kern w:val="32"/>
          <w:lang w:eastAsia="zh-CN"/>
        </w:rPr>
        <w:t xml:space="preserve"> upper-bound on the maximum EIRP </w:t>
      </w:r>
      <w:r w:rsidR="00E22A7C">
        <w:rPr>
          <w:rFonts w:eastAsia="DengXian" w:cs="Times"/>
          <w:bCs/>
          <w:kern w:val="32"/>
          <w:lang w:eastAsia="zh-CN"/>
        </w:rPr>
        <w:t xml:space="preserve">(where this upper bound need not be achieved by any burst) </w:t>
      </w:r>
      <w:r w:rsidR="007F438C">
        <w:rPr>
          <w:rFonts w:eastAsia="DengXian" w:cs="Times"/>
          <w:bCs/>
          <w:kern w:val="32"/>
          <w:lang w:eastAsia="zh-CN"/>
        </w:rPr>
        <w:t>which would still respect</w:t>
      </w:r>
      <w:r w:rsidR="00E70FC6">
        <w:rPr>
          <w:rFonts w:eastAsia="DengXian" w:cs="Times"/>
          <w:bCs/>
          <w:kern w:val="32"/>
          <w:lang w:eastAsia="zh-CN"/>
        </w:rPr>
        <w:t xml:space="preserve"> </w:t>
      </w:r>
      <w:r w:rsidR="007F438C">
        <w:rPr>
          <w:rFonts w:eastAsia="DengXian" w:cs="Times"/>
          <w:bCs/>
          <w:kern w:val="32"/>
          <w:lang w:eastAsia="zh-CN"/>
        </w:rPr>
        <w:t xml:space="preserve">the ETSI BRAN co-existence </w:t>
      </w:r>
      <w:r w:rsidR="00E70FC6">
        <w:rPr>
          <w:rFonts w:eastAsia="DengXian" w:cs="Times"/>
          <w:bCs/>
          <w:kern w:val="32"/>
          <w:lang w:eastAsia="zh-CN"/>
        </w:rPr>
        <w:t>specification</w:t>
      </w:r>
      <w:r w:rsidR="007F438C">
        <w:rPr>
          <w:rFonts w:eastAsia="DengXian" w:cs="Times"/>
          <w:bCs/>
          <w:kern w:val="32"/>
          <w:lang w:eastAsia="zh-CN"/>
        </w:rPr>
        <w:t>.</w:t>
      </w:r>
      <w:r w:rsidR="00E70FC6">
        <w:rPr>
          <w:rFonts w:eastAsia="DengXian" w:cs="Times"/>
          <w:bCs/>
          <w:kern w:val="32"/>
          <w:lang w:eastAsia="zh-CN"/>
        </w:rPr>
        <w:t xml:space="preserve"> </w:t>
      </w:r>
      <w:r w:rsidR="00E840F5">
        <w:rPr>
          <w:rFonts w:eastAsia="DengXian" w:cs="Times"/>
          <w:bCs/>
          <w:kern w:val="32"/>
          <w:lang w:eastAsia="zh-CN"/>
        </w:rPr>
        <w:t xml:space="preserve">On the other hand, </w:t>
      </w:r>
      <w:r w:rsidR="00F4463F">
        <w:rPr>
          <w:rFonts w:eastAsia="DengXian" w:cs="Times"/>
          <w:bCs/>
          <w:kern w:val="32"/>
          <w:lang w:eastAsia="zh-CN"/>
        </w:rPr>
        <w:t xml:space="preserve">utilizing the mean EIRP implies much more scheduling restrictions in that all transmissions during the COT must already be known to a degree that allows precise computation of the mean. The latter restrictions can potentially offset any improved spectrum utilization benefits. </w:t>
      </w:r>
      <w:r w:rsidR="007F438C">
        <w:rPr>
          <w:rFonts w:eastAsia="DengXian" w:cs="Times"/>
          <w:bCs/>
          <w:kern w:val="32"/>
          <w:lang w:eastAsia="zh-CN"/>
        </w:rPr>
        <w:t xml:space="preserve">Moreover, as illustrated in Fig. </w:t>
      </w:r>
      <w:r w:rsidR="00E8337B">
        <w:rPr>
          <w:rFonts w:eastAsia="DengXian" w:cs="Times"/>
          <w:bCs/>
          <w:kern w:val="32"/>
          <w:lang w:eastAsia="zh-CN"/>
        </w:rPr>
        <w:t>1</w:t>
      </w:r>
      <w:r w:rsidR="007F438C">
        <w:rPr>
          <w:rFonts w:eastAsia="DengXian" w:cs="Times"/>
          <w:bCs/>
          <w:kern w:val="32"/>
          <w:lang w:eastAsia="zh-CN"/>
        </w:rPr>
        <w:t xml:space="preserve"> we can have skewed combinations of peak burst EIRP</w:t>
      </w:r>
      <w:r w:rsidR="00E8337B">
        <w:rPr>
          <w:rFonts w:eastAsia="DengXian" w:cs="Times"/>
          <w:bCs/>
          <w:kern w:val="32"/>
          <w:lang w:eastAsia="zh-CN"/>
        </w:rPr>
        <w:t>s</w:t>
      </w:r>
      <w:r w:rsidR="007F438C">
        <w:rPr>
          <w:rFonts w:eastAsia="DengXian" w:cs="Times"/>
          <w:bCs/>
          <w:kern w:val="32"/>
          <w:lang w:eastAsia="zh-CN"/>
        </w:rPr>
        <w:t xml:space="preserve"> and burst durations. Using the mean over per-burst </w:t>
      </w:r>
      <w:r w:rsidR="00E8337B">
        <w:rPr>
          <w:rFonts w:eastAsia="DengXian" w:cs="Times"/>
          <w:bCs/>
          <w:kern w:val="32"/>
          <w:lang w:eastAsia="zh-CN"/>
        </w:rPr>
        <w:t xml:space="preserve">peak </w:t>
      </w:r>
      <w:r w:rsidR="007F438C">
        <w:rPr>
          <w:rFonts w:eastAsia="DengXian" w:cs="Times"/>
          <w:bCs/>
          <w:kern w:val="32"/>
          <w:lang w:eastAsia="zh-CN"/>
        </w:rPr>
        <w:t xml:space="preserve">EIRP for such a combination can violate the principle behind the ETSI BRAN </w:t>
      </w:r>
      <w:r w:rsidR="007A783B">
        <w:rPr>
          <w:rFonts w:eastAsia="DengXian" w:cs="Times"/>
          <w:bCs/>
          <w:kern w:val="32"/>
          <w:lang w:eastAsia="zh-CN"/>
        </w:rPr>
        <w:t>specification</w:t>
      </w:r>
      <w:r w:rsidR="007F438C">
        <w:rPr>
          <w:rFonts w:eastAsia="DengXian" w:cs="Times"/>
          <w:bCs/>
          <w:kern w:val="32"/>
          <w:lang w:eastAsia="zh-CN"/>
        </w:rPr>
        <w:t xml:space="preserve">. </w:t>
      </w:r>
      <w:r w:rsidR="00E22A7C">
        <w:rPr>
          <w:rFonts w:eastAsia="DengXian" w:cs="Times"/>
          <w:bCs/>
          <w:kern w:val="32"/>
          <w:lang w:eastAsia="zh-CN"/>
        </w:rPr>
        <w:t xml:space="preserve">The latter statement is in the sense that for a substantial duration of the acquired COT the EIRP of a burst </w:t>
      </w:r>
      <w:r w:rsidR="00F45EDF">
        <w:rPr>
          <w:rFonts w:eastAsia="DengXian" w:cs="Times"/>
          <w:bCs/>
          <w:kern w:val="32"/>
          <w:lang w:eastAsia="zh-CN"/>
        </w:rPr>
        <w:t>can be</w:t>
      </w:r>
      <w:r w:rsidR="00E22A7C">
        <w:rPr>
          <w:rFonts w:eastAsia="DengXian" w:cs="Times"/>
          <w:bCs/>
          <w:kern w:val="32"/>
          <w:lang w:eastAsia="zh-CN"/>
        </w:rPr>
        <w:t xml:space="preserve"> above </w:t>
      </w:r>
      <w:r w:rsidR="00E22A7C" w:rsidRPr="0068592C">
        <w:rPr>
          <w:szCs w:val="20"/>
          <w:lang w:eastAsia="zh-CN"/>
        </w:rPr>
        <w:t>Pout</w:t>
      </w:r>
      <w:r w:rsidR="007A783B">
        <w:rPr>
          <w:szCs w:val="20"/>
          <w:lang w:eastAsia="zh-CN"/>
        </w:rPr>
        <w:t>,</w:t>
      </w:r>
      <w:r w:rsidR="00E22A7C">
        <w:rPr>
          <w:rFonts w:eastAsia="DengXian" w:cs="Times"/>
          <w:bCs/>
          <w:kern w:val="32"/>
          <w:lang w:eastAsia="zh-CN"/>
        </w:rPr>
        <w:t xml:space="preserve"> contrary to ETSI BRAN</w:t>
      </w:r>
      <w:r w:rsidR="00F45EDF">
        <w:rPr>
          <w:rFonts w:eastAsia="DengXian" w:cs="Times"/>
          <w:bCs/>
          <w:kern w:val="32"/>
          <w:lang w:eastAsia="zh-CN"/>
        </w:rPr>
        <w:t>,</w:t>
      </w:r>
      <w:r w:rsidR="00E22A7C">
        <w:rPr>
          <w:rFonts w:eastAsia="DengXian" w:cs="Times"/>
          <w:bCs/>
          <w:kern w:val="32"/>
          <w:lang w:eastAsia="zh-CN"/>
        </w:rPr>
        <w:t xml:space="preserve"> </w:t>
      </w:r>
      <w:r w:rsidR="007A783B">
        <w:rPr>
          <w:rFonts w:eastAsia="DengXian" w:cs="Times"/>
          <w:bCs/>
          <w:kern w:val="32"/>
          <w:lang w:eastAsia="zh-CN"/>
        </w:rPr>
        <w:t>which</w:t>
      </w:r>
      <w:r w:rsidR="00E22A7C">
        <w:rPr>
          <w:rFonts w:eastAsia="DengXian" w:cs="Times"/>
          <w:bCs/>
          <w:kern w:val="32"/>
          <w:lang w:eastAsia="zh-CN"/>
        </w:rPr>
        <w:t xml:space="preserve"> </w:t>
      </w:r>
      <w:r w:rsidR="00F45EDF">
        <w:rPr>
          <w:rFonts w:eastAsia="DengXian" w:cs="Times"/>
          <w:bCs/>
          <w:kern w:val="32"/>
          <w:lang w:eastAsia="zh-CN"/>
        </w:rPr>
        <w:t xml:space="preserve">we note </w:t>
      </w:r>
      <w:r w:rsidR="00E22A7C">
        <w:rPr>
          <w:rFonts w:eastAsia="DengXian" w:cs="Times"/>
          <w:bCs/>
          <w:kern w:val="32"/>
          <w:lang w:eastAsia="zh-CN"/>
        </w:rPr>
        <w:t xml:space="preserve">considers a single </w:t>
      </w:r>
      <w:r w:rsidR="007A783B">
        <w:rPr>
          <w:rFonts w:eastAsia="DengXian" w:cs="Times"/>
          <w:bCs/>
          <w:kern w:val="32"/>
          <w:lang w:eastAsia="zh-CN"/>
        </w:rPr>
        <w:t xml:space="preserve">transmission </w:t>
      </w:r>
      <w:r w:rsidR="00E22A7C">
        <w:rPr>
          <w:rFonts w:eastAsia="DengXian" w:cs="Times"/>
          <w:bCs/>
          <w:kern w:val="32"/>
          <w:lang w:eastAsia="zh-CN"/>
        </w:rPr>
        <w:t xml:space="preserve">burst during the COT </w:t>
      </w:r>
      <w:r w:rsidR="00F45EDF">
        <w:rPr>
          <w:rFonts w:eastAsia="DengXian" w:cs="Times"/>
          <w:bCs/>
          <w:kern w:val="32"/>
          <w:lang w:eastAsia="zh-CN"/>
        </w:rPr>
        <w:t>and mandates that its</w:t>
      </w:r>
      <w:r w:rsidR="00E22A7C">
        <w:rPr>
          <w:rFonts w:eastAsia="DengXian" w:cs="Times"/>
          <w:bCs/>
          <w:kern w:val="32"/>
          <w:lang w:eastAsia="zh-CN"/>
        </w:rPr>
        <w:t xml:space="preserve"> EIRP </w:t>
      </w:r>
      <w:r w:rsidR="007A783B">
        <w:rPr>
          <w:rFonts w:eastAsia="DengXian" w:cs="Times"/>
          <w:bCs/>
          <w:kern w:val="32"/>
          <w:lang w:eastAsia="zh-CN"/>
        </w:rPr>
        <w:t>must</w:t>
      </w:r>
      <w:r w:rsidR="00E22A7C">
        <w:rPr>
          <w:rFonts w:eastAsia="DengXian" w:cs="Times"/>
          <w:bCs/>
          <w:kern w:val="32"/>
          <w:lang w:eastAsia="zh-CN"/>
        </w:rPr>
        <w:t xml:space="preserve"> not exceed</w:t>
      </w:r>
      <w:r w:rsidR="007A783B">
        <w:rPr>
          <w:rFonts w:eastAsia="DengXian" w:cs="Times"/>
          <w:bCs/>
          <w:kern w:val="32"/>
          <w:lang w:eastAsia="zh-CN"/>
        </w:rPr>
        <w:t xml:space="preserve"> </w:t>
      </w:r>
      <w:r w:rsidR="007A783B" w:rsidRPr="0068592C">
        <w:rPr>
          <w:szCs w:val="20"/>
          <w:lang w:eastAsia="zh-CN"/>
        </w:rPr>
        <w:t>Pout</w:t>
      </w:r>
      <w:r w:rsidR="007A783B">
        <w:rPr>
          <w:szCs w:val="20"/>
          <w:lang w:eastAsia="zh-CN"/>
        </w:rPr>
        <w:t>.</w:t>
      </w:r>
      <w:r w:rsidR="007F438C">
        <w:rPr>
          <w:rFonts w:eastAsia="DengXian" w:cs="Times"/>
          <w:bCs/>
          <w:kern w:val="32"/>
          <w:lang w:eastAsia="zh-CN"/>
        </w:rPr>
        <w:t xml:space="preserve"> </w:t>
      </w:r>
    </w:p>
    <w:p w14:paraId="3FE4F1C8" w14:textId="78F50975" w:rsidR="0062053D" w:rsidRDefault="0062053D" w:rsidP="00A3575A">
      <w:pPr>
        <w:rPr>
          <w:rFonts w:eastAsia="DengXian" w:cs="Times"/>
          <w:bCs/>
          <w:kern w:val="32"/>
          <w:lang w:eastAsia="zh-CN"/>
        </w:rPr>
      </w:pPr>
      <w:r>
        <w:rPr>
          <w:rFonts w:eastAsia="DengXian" w:cs="Times"/>
          <w:b/>
          <w:noProof/>
          <w:kern w:val="32"/>
          <w:lang w:eastAsia="zh-CN"/>
        </w:rPr>
        <w:drawing>
          <wp:inline distT="0" distB="0" distL="0" distR="0" wp14:anchorId="6B78B581" wp14:editId="10D7F434">
            <wp:extent cx="4064000" cy="231407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6136" cy="2320984"/>
                    </a:xfrm>
                    <a:prstGeom prst="rect">
                      <a:avLst/>
                    </a:prstGeom>
                    <a:noFill/>
                  </pic:spPr>
                </pic:pic>
              </a:graphicData>
            </a:graphic>
          </wp:inline>
        </w:drawing>
      </w:r>
    </w:p>
    <w:p w14:paraId="1F60AAB7" w14:textId="77777777" w:rsidR="0062053D" w:rsidRDefault="0062053D" w:rsidP="0062053D">
      <w:pPr>
        <w:rPr>
          <w:rFonts w:eastAsia="DengXian" w:cs="Times"/>
          <w:b/>
          <w:kern w:val="32"/>
          <w:lang w:eastAsia="zh-CN"/>
        </w:rPr>
      </w:pPr>
      <w:r>
        <w:rPr>
          <w:rFonts w:eastAsia="DengXian" w:cs="Times"/>
          <w:b/>
          <w:kern w:val="32"/>
          <w:lang w:eastAsia="zh-CN"/>
        </w:rPr>
        <w:t>Fig 1. Skewed bursts within COT</w:t>
      </w:r>
    </w:p>
    <w:p w14:paraId="038F36FF" w14:textId="77777777" w:rsidR="0062053D" w:rsidRDefault="0062053D" w:rsidP="00A3575A">
      <w:pPr>
        <w:rPr>
          <w:rFonts w:eastAsia="DengXian" w:cs="Times"/>
          <w:bCs/>
          <w:kern w:val="32"/>
          <w:lang w:eastAsia="zh-CN"/>
        </w:rPr>
      </w:pPr>
    </w:p>
    <w:p w14:paraId="3F44B57D" w14:textId="283D9467" w:rsidR="00B92E70" w:rsidRDefault="00B92E70" w:rsidP="00A3575A">
      <w:pPr>
        <w:rPr>
          <w:rFonts w:eastAsia="DengXian" w:cs="Times"/>
          <w:bCs/>
          <w:kern w:val="32"/>
          <w:lang w:eastAsia="zh-CN"/>
        </w:rPr>
      </w:pPr>
      <w:r>
        <w:rPr>
          <w:rFonts w:eastAsia="DengXian" w:cs="Times"/>
          <w:bCs/>
          <w:kern w:val="32"/>
          <w:lang w:eastAsia="zh-CN"/>
        </w:rPr>
        <w:t xml:space="preserve">On the other hand, the working assumption </w:t>
      </w:r>
      <w:r w:rsidR="00865BAD">
        <w:rPr>
          <w:rFonts w:eastAsia="DengXian" w:cs="Times"/>
          <w:bCs/>
          <w:kern w:val="32"/>
          <w:lang w:eastAsia="zh-CN"/>
        </w:rPr>
        <w:t>does</w:t>
      </w:r>
      <w:r>
        <w:rPr>
          <w:rFonts w:eastAsia="DengXian" w:cs="Times"/>
          <w:bCs/>
          <w:kern w:val="32"/>
          <w:lang w:eastAsia="zh-CN"/>
        </w:rPr>
        <w:t xml:space="preserve"> not </w:t>
      </w:r>
      <w:r w:rsidR="00865BAD">
        <w:rPr>
          <w:rFonts w:eastAsia="DengXian" w:cs="Times"/>
          <w:bCs/>
          <w:kern w:val="32"/>
          <w:lang w:eastAsia="zh-CN"/>
        </w:rPr>
        <w:t xml:space="preserve">seem to be </w:t>
      </w:r>
      <w:r w:rsidR="00417F5D">
        <w:rPr>
          <w:rFonts w:eastAsia="DengXian" w:cs="Times"/>
          <w:bCs/>
          <w:kern w:val="32"/>
          <w:lang w:eastAsia="zh-CN"/>
        </w:rPr>
        <w:t xml:space="preserve">quite </w:t>
      </w:r>
      <w:r w:rsidR="00E778BC">
        <w:rPr>
          <w:rFonts w:eastAsia="DengXian" w:cs="Times"/>
          <w:bCs/>
          <w:kern w:val="32"/>
          <w:lang w:eastAsia="zh-CN"/>
        </w:rPr>
        <w:t xml:space="preserve">well </w:t>
      </w:r>
      <w:r>
        <w:rPr>
          <w:rFonts w:eastAsia="DengXian" w:cs="Times"/>
          <w:bCs/>
          <w:kern w:val="32"/>
          <w:lang w:eastAsia="zh-CN"/>
        </w:rPr>
        <w:t xml:space="preserve">matched towards </w:t>
      </w:r>
      <w:r w:rsidR="009D261D">
        <w:rPr>
          <w:rFonts w:eastAsia="DengXian" w:cs="Times"/>
          <w:bCs/>
          <w:kern w:val="32"/>
          <w:lang w:eastAsia="zh-CN"/>
        </w:rPr>
        <w:t>a</w:t>
      </w:r>
      <w:r>
        <w:rPr>
          <w:rFonts w:eastAsia="DengXian" w:cs="Times"/>
          <w:bCs/>
          <w:kern w:val="32"/>
          <w:lang w:eastAsia="zh-CN"/>
        </w:rPr>
        <w:t xml:space="preserve"> scenario in which multiple LBT processes </w:t>
      </w:r>
      <w:r w:rsidR="004D6137">
        <w:rPr>
          <w:rFonts w:eastAsia="DengXian" w:cs="Times"/>
          <w:bCs/>
          <w:kern w:val="32"/>
          <w:lang w:eastAsia="zh-CN"/>
        </w:rPr>
        <w:t xml:space="preserve">(considering different sets of </w:t>
      </w:r>
      <w:r w:rsidR="00417F5D">
        <w:rPr>
          <w:rFonts w:eastAsia="DengXian" w:cs="Times"/>
          <w:bCs/>
          <w:kern w:val="32"/>
          <w:lang w:eastAsia="zh-CN"/>
        </w:rPr>
        <w:t xml:space="preserve">transmit </w:t>
      </w:r>
      <w:r w:rsidR="004D6137">
        <w:rPr>
          <w:rFonts w:eastAsia="DengXian" w:cs="Times"/>
          <w:bCs/>
          <w:kern w:val="32"/>
          <w:lang w:eastAsia="zh-CN"/>
        </w:rPr>
        <w:t xml:space="preserve">beams) </w:t>
      </w:r>
      <w:r>
        <w:rPr>
          <w:rFonts w:eastAsia="DengXian" w:cs="Times"/>
          <w:bCs/>
          <w:kern w:val="32"/>
          <w:lang w:eastAsia="zh-CN"/>
        </w:rPr>
        <w:t xml:space="preserve">are implemented by an initiator node. </w:t>
      </w:r>
      <w:r w:rsidR="007A783B">
        <w:rPr>
          <w:rFonts w:eastAsia="DengXian" w:cs="Times"/>
          <w:bCs/>
          <w:kern w:val="32"/>
          <w:lang w:eastAsia="zh-CN"/>
        </w:rPr>
        <w:t xml:space="preserve">The latter scenarios </w:t>
      </w:r>
      <w:r w:rsidR="009D261D">
        <w:rPr>
          <w:rFonts w:eastAsia="DengXian" w:cs="Times"/>
          <w:bCs/>
          <w:kern w:val="32"/>
          <w:lang w:eastAsia="zh-CN"/>
        </w:rPr>
        <w:t xml:space="preserve">have not been precluded and </w:t>
      </w:r>
      <w:r w:rsidR="007A783B">
        <w:rPr>
          <w:rFonts w:eastAsia="DengXian" w:cs="Times"/>
          <w:bCs/>
          <w:kern w:val="32"/>
          <w:lang w:eastAsia="zh-CN"/>
        </w:rPr>
        <w:t xml:space="preserve">are still being considered for further study. </w:t>
      </w:r>
      <w:r>
        <w:rPr>
          <w:rFonts w:eastAsia="DengXian" w:cs="Times"/>
          <w:bCs/>
          <w:kern w:val="32"/>
          <w:lang w:eastAsia="zh-CN"/>
        </w:rPr>
        <w:t xml:space="preserve">The principle behind the working assumption </w:t>
      </w:r>
      <w:r w:rsidR="009E2B71">
        <w:rPr>
          <w:rFonts w:eastAsia="DengXian" w:cs="Times"/>
          <w:bCs/>
          <w:kern w:val="32"/>
          <w:lang w:eastAsia="zh-CN"/>
        </w:rPr>
        <w:t>should</w:t>
      </w:r>
      <w:r>
        <w:rPr>
          <w:rFonts w:eastAsia="DengXian" w:cs="Times"/>
          <w:bCs/>
          <w:kern w:val="32"/>
          <w:lang w:eastAsia="zh-CN"/>
        </w:rPr>
        <w:t xml:space="preserve"> </w:t>
      </w:r>
      <w:r w:rsidR="00865BAD">
        <w:rPr>
          <w:rFonts w:eastAsia="DengXian" w:cs="Times"/>
          <w:bCs/>
          <w:kern w:val="32"/>
          <w:lang w:eastAsia="zh-CN"/>
        </w:rPr>
        <w:t xml:space="preserve">then </w:t>
      </w:r>
      <w:r w:rsidR="00321F4E">
        <w:rPr>
          <w:rFonts w:eastAsia="DengXian" w:cs="Times"/>
          <w:bCs/>
          <w:kern w:val="32"/>
          <w:lang w:eastAsia="zh-CN"/>
        </w:rPr>
        <w:t>allow</w:t>
      </w:r>
      <w:r>
        <w:rPr>
          <w:rFonts w:eastAsia="DengXian" w:cs="Times"/>
          <w:bCs/>
          <w:kern w:val="32"/>
          <w:lang w:eastAsia="zh-CN"/>
        </w:rPr>
        <w:t xml:space="preserve"> </w:t>
      </w:r>
      <w:r w:rsidR="00417F5D">
        <w:rPr>
          <w:rFonts w:eastAsia="DengXian" w:cs="Times"/>
          <w:bCs/>
          <w:kern w:val="32"/>
          <w:lang w:eastAsia="zh-CN"/>
        </w:rPr>
        <w:t xml:space="preserve">for </w:t>
      </w:r>
      <w:r>
        <w:rPr>
          <w:rFonts w:eastAsia="DengXian" w:cs="Times"/>
          <w:bCs/>
          <w:kern w:val="32"/>
          <w:lang w:eastAsia="zh-CN"/>
        </w:rPr>
        <w:t xml:space="preserve">computing EDT for each </w:t>
      </w:r>
      <w:r w:rsidR="00F45EDF">
        <w:rPr>
          <w:rFonts w:eastAsia="DengXian" w:cs="Times"/>
          <w:bCs/>
          <w:kern w:val="32"/>
          <w:lang w:eastAsia="zh-CN"/>
        </w:rPr>
        <w:t xml:space="preserve">such </w:t>
      </w:r>
      <w:r>
        <w:rPr>
          <w:rFonts w:eastAsia="DengXian" w:cs="Times"/>
          <w:bCs/>
          <w:kern w:val="32"/>
          <w:lang w:eastAsia="zh-CN"/>
        </w:rPr>
        <w:t xml:space="preserve">LBT process as the maximum EIRP considering </w:t>
      </w:r>
      <w:r w:rsidR="00F45EDF">
        <w:rPr>
          <w:rFonts w:eastAsia="DengXian" w:cs="Times"/>
          <w:bCs/>
          <w:kern w:val="32"/>
          <w:lang w:eastAsia="zh-CN"/>
        </w:rPr>
        <w:t>its</w:t>
      </w:r>
      <w:r>
        <w:rPr>
          <w:rFonts w:eastAsia="DengXian" w:cs="Times"/>
          <w:bCs/>
          <w:kern w:val="32"/>
          <w:lang w:eastAsia="zh-CN"/>
        </w:rPr>
        <w:t xml:space="preserve"> set of </w:t>
      </w:r>
      <w:r w:rsidR="00F45EDF">
        <w:rPr>
          <w:rFonts w:eastAsia="DengXian" w:cs="Times"/>
          <w:bCs/>
          <w:kern w:val="32"/>
          <w:lang w:eastAsia="zh-CN"/>
        </w:rPr>
        <w:t xml:space="preserve">intended </w:t>
      </w:r>
      <w:r>
        <w:rPr>
          <w:rFonts w:eastAsia="DengXian" w:cs="Times"/>
          <w:bCs/>
          <w:kern w:val="32"/>
          <w:lang w:eastAsia="zh-CN"/>
        </w:rPr>
        <w:t>transmit beams</w:t>
      </w:r>
      <w:r w:rsidR="00487C12">
        <w:rPr>
          <w:rFonts w:eastAsia="DengXian" w:cs="Times"/>
          <w:bCs/>
          <w:kern w:val="32"/>
          <w:lang w:eastAsia="zh-CN"/>
        </w:rPr>
        <w:t xml:space="preserve">, i.e., considering each LBT process </w:t>
      </w:r>
      <w:r w:rsidR="00E778BC">
        <w:rPr>
          <w:rFonts w:eastAsia="DengXian" w:cs="Times"/>
          <w:bCs/>
          <w:kern w:val="32"/>
          <w:lang w:eastAsia="zh-CN"/>
        </w:rPr>
        <w:t>separately</w:t>
      </w:r>
      <w:r w:rsidR="00487C12">
        <w:rPr>
          <w:rFonts w:eastAsia="DengXian" w:cs="Times"/>
          <w:bCs/>
          <w:kern w:val="32"/>
          <w:lang w:eastAsia="zh-CN"/>
        </w:rPr>
        <w:t xml:space="preserve"> </w:t>
      </w:r>
      <w:r w:rsidR="009E2B71">
        <w:rPr>
          <w:rFonts w:eastAsia="DengXian" w:cs="Times"/>
          <w:bCs/>
          <w:kern w:val="32"/>
          <w:lang w:eastAsia="zh-CN"/>
        </w:rPr>
        <w:t>and the transmission bursts it alone enables</w:t>
      </w:r>
      <w:r>
        <w:rPr>
          <w:rFonts w:eastAsia="DengXian" w:cs="Times"/>
          <w:bCs/>
          <w:kern w:val="32"/>
          <w:lang w:eastAsia="zh-CN"/>
        </w:rPr>
        <w:t>.</w:t>
      </w:r>
      <w:r w:rsidR="00A0329F">
        <w:rPr>
          <w:rFonts w:eastAsia="DengXian" w:cs="Times"/>
          <w:bCs/>
          <w:kern w:val="32"/>
          <w:lang w:eastAsia="zh-CN"/>
        </w:rPr>
        <w:t xml:space="preserve"> We build upon this in </w:t>
      </w:r>
      <w:r w:rsidR="00417F5D">
        <w:rPr>
          <w:rFonts w:eastAsia="DengXian" w:cs="Times"/>
          <w:bCs/>
          <w:kern w:val="32"/>
          <w:lang w:eastAsia="zh-CN"/>
        </w:rPr>
        <w:t>a</w:t>
      </w:r>
      <w:r w:rsidR="00A0329F">
        <w:rPr>
          <w:rFonts w:eastAsia="DengXian" w:cs="Times"/>
          <w:bCs/>
          <w:kern w:val="32"/>
          <w:lang w:eastAsia="zh-CN"/>
        </w:rPr>
        <w:t xml:space="preserve"> following section</w:t>
      </w:r>
      <w:r w:rsidR="004D6137">
        <w:rPr>
          <w:rFonts w:eastAsia="DengXian" w:cs="Times"/>
          <w:bCs/>
          <w:kern w:val="32"/>
          <w:lang w:eastAsia="zh-CN"/>
        </w:rPr>
        <w:t xml:space="preserve"> where we discuss the relation between sensing and transmit beams</w:t>
      </w:r>
      <w:r w:rsidR="00A0329F">
        <w:rPr>
          <w:rFonts w:eastAsia="DengXian" w:cs="Times"/>
          <w:bCs/>
          <w:kern w:val="32"/>
          <w:lang w:eastAsia="zh-CN"/>
        </w:rPr>
        <w:t>.</w:t>
      </w:r>
    </w:p>
    <w:p w14:paraId="56187ABF" w14:textId="5918EA2B" w:rsidR="00B92E70" w:rsidRPr="009F7008" w:rsidRDefault="004D6137" w:rsidP="00A3575A">
      <w:pPr>
        <w:rPr>
          <w:rFonts w:eastAsia="DengXian" w:cs="Times"/>
          <w:b/>
          <w:kern w:val="32"/>
          <w:lang w:eastAsia="zh-CN"/>
        </w:rPr>
      </w:pPr>
      <w:r w:rsidRPr="009F7008">
        <w:rPr>
          <w:rFonts w:eastAsia="DengXian" w:cs="Times"/>
          <w:b/>
          <w:kern w:val="32"/>
          <w:lang w:eastAsia="zh-CN"/>
        </w:rPr>
        <w:t xml:space="preserve">Observation 1. The working assumption is </w:t>
      </w:r>
      <w:r w:rsidR="00417F5D">
        <w:rPr>
          <w:rFonts w:eastAsia="DengXian" w:cs="Times"/>
          <w:b/>
          <w:kern w:val="32"/>
          <w:lang w:eastAsia="zh-CN"/>
        </w:rPr>
        <w:t xml:space="preserve">only </w:t>
      </w:r>
      <w:r w:rsidRPr="009F7008">
        <w:rPr>
          <w:rFonts w:eastAsia="DengXian" w:cs="Times"/>
          <w:b/>
          <w:kern w:val="32"/>
          <w:lang w:eastAsia="zh-CN"/>
        </w:rPr>
        <w:t xml:space="preserve">well justified when </w:t>
      </w:r>
      <w:r w:rsidR="00BF2769" w:rsidRPr="009F7008">
        <w:rPr>
          <w:rFonts w:eastAsia="DengXian" w:cs="Times"/>
          <w:b/>
          <w:kern w:val="32"/>
          <w:lang w:eastAsia="zh-CN"/>
        </w:rPr>
        <w:t xml:space="preserve">a </w:t>
      </w:r>
      <w:r w:rsidRPr="009F7008">
        <w:rPr>
          <w:rFonts w:eastAsia="DengXian" w:cs="Times"/>
          <w:b/>
          <w:kern w:val="32"/>
          <w:lang w:eastAsia="zh-CN"/>
        </w:rPr>
        <w:t>single LBT sensin</w:t>
      </w:r>
      <w:r w:rsidR="00BF2769" w:rsidRPr="009F7008">
        <w:rPr>
          <w:rFonts w:eastAsia="DengXian" w:cs="Times"/>
          <w:b/>
          <w:kern w:val="32"/>
          <w:lang w:eastAsia="zh-CN"/>
        </w:rPr>
        <w:t xml:space="preserve">g </w:t>
      </w:r>
      <w:r w:rsidRPr="009F7008">
        <w:rPr>
          <w:rFonts w:eastAsia="DengXian" w:cs="Times"/>
          <w:b/>
          <w:kern w:val="32"/>
          <w:lang w:eastAsia="zh-CN"/>
        </w:rPr>
        <w:t>is carried out</w:t>
      </w:r>
      <w:r w:rsidR="00BF2769" w:rsidRPr="009F7008">
        <w:rPr>
          <w:rFonts w:eastAsia="DengXian" w:cs="Times"/>
          <w:b/>
          <w:kern w:val="32"/>
          <w:lang w:eastAsia="zh-CN"/>
        </w:rPr>
        <w:t xml:space="preserve"> by a node using one sensing beam for all transmit beams intended to be used in </w:t>
      </w:r>
      <w:r w:rsidR="00BC2D8A">
        <w:rPr>
          <w:rFonts w:eastAsia="DengXian" w:cs="Times"/>
          <w:b/>
          <w:kern w:val="32"/>
          <w:lang w:eastAsia="zh-CN"/>
        </w:rPr>
        <w:t xml:space="preserve">the </w:t>
      </w:r>
      <w:r w:rsidR="00BF2769" w:rsidRPr="009F7008">
        <w:rPr>
          <w:rFonts w:eastAsia="DengXian" w:cs="Times"/>
          <w:b/>
          <w:kern w:val="32"/>
          <w:lang w:eastAsia="zh-CN"/>
        </w:rPr>
        <w:t>COT</w:t>
      </w:r>
      <w:r w:rsidR="00BC2D8A">
        <w:rPr>
          <w:rFonts w:eastAsia="DengXian" w:cs="Times"/>
          <w:b/>
          <w:kern w:val="32"/>
          <w:lang w:eastAsia="zh-CN"/>
        </w:rPr>
        <w:t>.</w:t>
      </w:r>
    </w:p>
    <w:p w14:paraId="4C5EECA0" w14:textId="5A81ED6B" w:rsidR="00E8337B" w:rsidRPr="0062053D" w:rsidRDefault="00B92E70" w:rsidP="00A3575A">
      <w:pPr>
        <w:rPr>
          <w:rFonts w:eastAsia="DengXian" w:cs="Times"/>
          <w:bCs/>
          <w:kern w:val="32"/>
          <w:lang w:eastAsia="zh-CN"/>
        </w:rPr>
      </w:pPr>
      <w:r>
        <w:rPr>
          <w:rFonts w:eastAsia="DengXian" w:cs="Times"/>
          <w:bCs/>
          <w:kern w:val="32"/>
          <w:lang w:eastAsia="zh-CN"/>
        </w:rPr>
        <w:t xml:space="preserve"> </w:t>
      </w:r>
      <w:bookmarkStart w:id="5" w:name="_Hlk71165436"/>
    </w:p>
    <w:p w14:paraId="27C3A874" w14:textId="54B15432" w:rsidR="005812D3" w:rsidRDefault="00BF2769" w:rsidP="005812D3">
      <w:pPr>
        <w:pStyle w:val="Heading1"/>
      </w:pPr>
      <w:r>
        <w:rPr>
          <w:rFonts w:eastAsia="DengXian" w:cs="Times"/>
          <w:b w:val="0"/>
          <w:kern w:val="32"/>
          <w:lang w:eastAsia="zh-CN"/>
        </w:rPr>
        <w:t xml:space="preserve"> </w:t>
      </w:r>
      <w:r w:rsidR="005812D3">
        <w:t>LBT Bandwidth</w:t>
      </w:r>
    </w:p>
    <w:bookmarkEnd w:id="5"/>
    <w:p w14:paraId="64F3C0D4" w14:textId="2680F9E7" w:rsidR="00272FEA" w:rsidRDefault="008A17F0" w:rsidP="00A3575A">
      <w:pPr>
        <w:rPr>
          <w:rFonts w:eastAsia="DengXian" w:cs="Times"/>
          <w:bCs/>
          <w:kern w:val="32"/>
          <w:lang w:eastAsia="zh-CN"/>
        </w:rPr>
      </w:pPr>
      <w:r>
        <w:rPr>
          <w:rFonts w:eastAsia="DengXian" w:cs="Times"/>
          <w:bCs/>
          <w:kern w:val="32"/>
          <w:lang w:eastAsia="zh-CN"/>
        </w:rPr>
        <w:t>With regards to the ope</w:t>
      </w:r>
      <w:r w:rsidR="00272FEA">
        <w:rPr>
          <w:rFonts w:eastAsia="DengXian" w:cs="Times"/>
          <w:bCs/>
          <w:kern w:val="32"/>
          <w:lang w:eastAsia="zh-CN"/>
        </w:rPr>
        <w:t>rating bandwidth to be used in LBT, the following alternatives were discussed for the single carrier case:</w:t>
      </w:r>
    </w:p>
    <w:p w14:paraId="03EA74BD" w14:textId="77777777" w:rsidR="00272FEA" w:rsidRDefault="00272FEA" w:rsidP="00272FEA">
      <w:pPr>
        <w:rPr>
          <w:rFonts w:cs="Times"/>
          <w:szCs w:val="20"/>
        </w:rPr>
      </w:pPr>
      <w:r>
        <w:rPr>
          <w:rFonts w:eastAsia="DengXian" w:cs="Times"/>
          <w:bCs/>
          <w:kern w:val="32"/>
          <w:lang w:eastAsia="zh-CN"/>
        </w:rPr>
        <w:t xml:space="preserve"> </w:t>
      </w:r>
      <w:r>
        <w:rPr>
          <w:rFonts w:cs="Times"/>
          <w:szCs w:val="20"/>
        </w:rPr>
        <w:t>For LBT for single carrier transmission:</w:t>
      </w:r>
    </w:p>
    <w:p w14:paraId="548D2B42" w14:textId="77777777" w:rsidR="00272FEA" w:rsidRDefault="00272FEA" w:rsidP="00C75BF7">
      <w:pPr>
        <w:pStyle w:val="ListParagraph"/>
        <w:numPr>
          <w:ilvl w:val="0"/>
          <w:numId w:val="10"/>
        </w:numPr>
        <w:overflowPunct w:val="0"/>
        <w:snapToGrid w:val="0"/>
        <w:spacing w:after="0" w:line="252" w:lineRule="auto"/>
        <w:contextualSpacing w:val="0"/>
        <w:rPr>
          <w:rFonts w:cs="Times"/>
          <w:szCs w:val="20"/>
        </w:rPr>
      </w:pPr>
      <w:r>
        <w:rPr>
          <w:rFonts w:cs="Times"/>
          <w:szCs w:val="20"/>
        </w:rPr>
        <w:t>Alt SC.1. gNB/UE performs LBT over the channel bandwidth (or BWP bandwidth)</w:t>
      </w:r>
    </w:p>
    <w:p w14:paraId="0603ADB8" w14:textId="77777777" w:rsidR="00272FEA" w:rsidRDefault="00272FEA" w:rsidP="00C75BF7">
      <w:pPr>
        <w:pStyle w:val="ListParagraph"/>
        <w:numPr>
          <w:ilvl w:val="0"/>
          <w:numId w:val="10"/>
        </w:numPr>
        <w:overflowPunct w:val="0"/>
        <w:snapToGrid w:val="0"/>
        <w:spacing w:after="0" w:line="252" w:lineRule="auto"/>
        <w:contextualSpacing w:val="0"/>
        <w:rPr>
          <w:rFonts w:cs="Times"/>
          <w:szCs w:val="20"/>
        </w:rPr>
      </w:pPr>
      <w:r>
        <w:rPr>
          <w:rFonts w:cs="Times"/>
          <w:szCs w:val="20"/>
        </w:rPr>
        <w:t>Alt SC.2. gNB/UE performs LBT over the transmission bandwidth (from the lowest RB to the highest RB used for the transmission)</w:t>
      </w:r>
    </w:p>
    <w:p w14:paraId="74D468CE" w14:textId="3C707698" w:rsidR="00272FEA" w:rsidRDefault="00272FEA" w:rsidP="00C75BF7">
      <w:pPr>
        <w:pStyle w:val="ListParagraph"/>
        <w:numPr>
          <w:ilvl w:val="0"/>
          <w:numId w:val="10"/>
        </w:numPr>
        <w:overflowPunct w:val="0"/>
        <w:snapToGrid w:val="0"/>
        <w:spacing w:after="0" w:line="252" w:lineRule="auto"/>
        <w:contextualSpacing w:val="0"/>
        <w:rPr>
          <w:rFonts w:cs="Times"/>
          <w:szCs w:val="20"/>
        </w:rPr>
      </w:pPr>
      <w:r>
        <w:rPr>
          <w:rFonts w:cs="Times"/>
          <w:szCs w:val="20"/>
        </w:rPr>
        <w:t xml:space="preserve">Alt SC.3. Define a unit of LBT bandwidth and gNB/UE performs LBT in all the LBT units (to be transmitted in) in the channel bandwidth. </w:t>
      </w:r>
    </w:p>
    <w:p w14:paraId="709FBD9D" w14:textId="13C59702" w:rsidR="008A17F0" w:rsidRDefault="008A17F0" w:rsidP="00A3575A">
      <w:pPr>
        <w:rPr>
          <w:rFonts w:eastAsia="DengXian" w:cs="Times"/>
          <w:bCs/>
          <w:kern w:val="32"/>
          <w:lang w:eastAsia="zh-CN"/>
        </w:rPr>
      </w:pPr>
    </w:p>
    <w:p w14:paraId="3E6B532C" w14:textId="3E962B64" w:rsidR="008A17F0" w:rsidRDefault="00272FEA" w:rsidP="00A3575A">
      <w:pPr>
        <w:rPr>
          <w:rFonts w:eastAsia="DengXian" w:cs="Times"/>
          <w:bCs/>
          <w:kern w:val="32"/>
          <w:lang w:eastAsia="zh-CN"/>
        </w:rPr>
      </w:pPr>
      <w:r>
        <w:rPr>
          <w:rFonts w:eastAsia="DengXian" w:cs="Times"/>
          <w:bCs/>
          <w:kern w:val="32"/>
          <w:lang w:eastAsia="zh-CN"/>
        </w:rPr>
        <w:t xml:space="preserve">Our preference is for alternative 1. We realize that alternative 3 allows partial usage in the case that a subset of the checked LBT units </w:t>
      </w:r>
      <w:r w:rsidR="00815646">
        <w:rPr>
          <w:rFonts w:eastAsia="DengXian" w:cs="Times"/>
          <w:bCs/>
          <w:kern w:val="32"/>
          <w:lang w:eastAsia="zh-CN"/>
        </w:rPr>
        <w:t>is</w:t>
      </w:r>
      <w:r>
        <w:rPr>
          <w:rFonts w:eastAsia="DengXian" w:cs="Times"/>
          <w:bCs/>
          <w:kern w:val="32"/>
          <w:lang w:eastAsia="zh-CN"/>
        </w:rPr>
        <w:t xml:space="preserve"> found to be free. However, there is more specification effort involved in terms of signaling to the COT sharing device(s) about the subset LBTs to be used in the COT</w:t>
      </w:r>
      <w:r w:rsidR="00AF4D66">
        <w:rPr>
          <w:rFonts w:eastAsia="DengXian" w:cs="Times"/>
          <w:bCs/>
          <w:kern w:val="32"/>
          <w:lang w:eastAsia="zh-CN"/>
        </w:rPr>
        <w:t xml:space="preserve">. Moreover, implementing multiple LBT processes </w:t>
      </w:r>
      <w:r w:rsidR="00DF122F">
        <w:rPr>
          <w:rFonts w:eastAsia="DengXian" w:cs="Times"/>
          <w:bCs/>
          <w:kern w:val="32"/>
          <w:lang w:eastAsia="zh-CN"/>
        </w:rPr>
        <w:t>requires</w:t>
      </w:r>
      <w:r w:rsidR="00AF4D66">
        <w:rPr>
          <w:rFonts w:eastAsia="DengXian" w:cs="Times"/>
          <w:bCs/>
          <w:kern w:val="32"/>
          <w:lang w:eastAsia="zh-CN"/>
        </w:rPr>
        <w:t xml:space="preserve"> new procedures for handling unequal completion times </w:t>
      </w:r>
      <w:r w:rsidR="00EB7C8C">
        <w:rPr>
          <w:rFonts w:eastAsia="DengXian" w:cs="Times"/>
          <w:bCs/>
          <w:kern w:val="32"/>
          <w:lang w:eastAsia="zh-CN"/>
        </w:rPr>
        <w:t xml:space="preserve">and partial CCA check failures </w:t>
      </w:r>
      <w:r w:rsidR="00AF4D66">
        <w:rPr>
          <w:rFonts w:eastAsia="DengXian" w:cs="Times"/>
          <w:bCs/>
          <w:kern w:val="32"/>
          <w:lang w:eastAsia="zh-CN"/>
        </w:rPr>
        <w:t>across LBT processes</w:t>
      </w:r>
      <w:r>
        <w:rPr>
          <w:rFonts w:eastAsia="DengXian" w:cs="Times"/>
          <w:bCs/>
          <w:kern w:val="32"/>
          <w:lang w:eastAsia="zh-CN"/>
        </w:rPr>
        <w:t xml:space="preserve">. </w:t>
      </w:r>
      <w:r w:rsidR="00895840">
        <w:rPr>
          <w:rFonts w:eastAsia="DengXian" w:cs="Times"/>
          <w:bCs/>
          <w:kern w:val="32"/>
          <w:lang w:eastAsia="zh-CN"/>
        </w:rPr>
        <w:t xml:space="preserve"> </w:t>
      </w:r>
    </w:p>
    <w:p w14:paraId="12516535" w14:textId="3A5F3363" w:rsidR="00272FEA" w:rsidRPr="00272FEA" w:rsidRDefault="00272FEA" w:rsidP="00272FEA">
      <w:pPr>
        <w:overflowPunct w:val="0"/>
        <w:spacing w:after="0" w:line="252" w:lineRule="auto"/>
        <w:rPr>
          <w:rFonts w:cs="Times"/>
          <w:b/>
          <w:szCs w:val="20"/>
        </w:rPr>
      </w:pPr>
      <w:bookmarkStart w:id="6" w:name="_Hlk71277374"/>
      <w:r w:rsidRPr="00272FEA">
        <w:rPr>
          <w:rFonts w:eastAsia="DengXian" w:cs="Times"/>
          <w:b/>
          <w:kern w:val="32"/>
          <w:lang w:eastAsia="zh-CN"/>
        </w:rPr>
        <w:t xml:space="preserve">Proposal </w:t>
      </w:r>
      <w:r w:rsidR="00BF2769">
        <w:rPr>
          <w:rFonts w:cs="Times"/>
          <w:b/>
          <w:kern w:val="32"/>
          <w:lang w:eastAsia="zh-CN"/>
        </w:rPr>
        <w:t>1</w:t>
      </w:r>
      <w:r w:rsidRPr="00272FEA">
        <w:rPr>
          <w:rFonts w:cs="Times"/>
          <w:b/>
          <w:kern w:val="32"/>
          <w:lang w:eastAsia="zh-CN"/>
        </w:rPr>
        <w:t xml:space="preserve">: </w:t>
      </w:r>
      <w:r w:rsidR="00413E37">
        <w:rPr>
          <w:rFonts w:cs="Times"/>
          <w:b/>
          <w:kern w:val="32"/>
          <w:lang w:eastAsia="zh-CN"/>
        </w:rPr>
        <w:t xml:space="preserve">In LBT for </w:t>
      </w:r>
      <w:r w:rsidR="00413E37" w:rsidRPr="00413E37">
        <w:rPr>
          <w:rFonts w:cs="Times"/>
          <w:b/>
          <w:bCs/>
          <w:szCs w:val="20"/>
        </w:rPr>
        <w:t>single carrier transmission</w:t>
      </w:r>
      <w:r w:rsidR="00413E37" w:rsidRPr="00272FEA">
        <w:rPr>
          <w:rFonts w:cs="Times"/>
          <w:b/>
          <w:szCs w:val="20"/>
        </w:rPr>
        <w:t xml:space="preserve"> </w:t>
      </w:r>
      <w:r w:rsidRPr="00272FEA">
        <w:rPr>
          <w:rFonts w:cs="Times"/>
          <w:b/>
          <w:szCs w:val="20"/>
        </w:rPr>
        <w:t>gNB/UE performs LBT over the channel bandwidth (or BWP bandwidth)</w:t>
      </w:r>
    </w:p>
    <w:bookmarkEnd w:id="6"/>
    <w:p w14:paraId="4584AAC3" w14:textId="78230F80" w:rsidR="00272FEA" w:rsidRDefault="00272FEA" w:rsidP="00A3575A">
      <w:pPr>
        <w:rPr>
          <w:rFonts w:eastAsia="DengXian" w:cs="Times"/>
          <w:bCs/>
          <w:kern w:val="32"/>
          <w:lang w:eastAsia="zh-CN"/>
        </w:rPr>
      </w:pPr>
    </w:p>
    <w:p w14:paraId="221B5597" w14:textId="5CB10C2D" w:rsidR="00E657FF" w:rsidRDefault="00815646" w:rsidP="00E657FF">
      <w:pPr>
        <w:rPr>
          <w:rFonts w:cs="Times"/>
          <w:szCs w:val="20"/>
        </w:rPr>
      </w:pPr>
      <w:r>
        <w:rPr>
          <w:rFonts w:cs="Times"/>
          <w:szCs w:val="20"/>
        </w:rPr>
        <w:t>Regarding</w:t>
      </w:r>
      <w:r w:rsidR="00E657FF">
        <w:rPr>
          <w:rFonts w:cs="Times"/>
          <w:szCs w:val="20"/>
        </w:rPr>
        <w:t xml:space="preserve"> LBT for multi-carrier transmission in intra-band CA, the following alternatives were discussed in </w:t>
      </w:r>
      <w:r w:rsidR="00E657FF">
        <w:t xml:space="preserve">RAN1 #104b-e.   </w:t>
      </w:r>
    </w:p>
    <w:p w14:paraId="0DAF4286" w14:textId="77777777" w:rsidR="00E657FF" w:rsidRDefault="00E657FF" w:rsidP="00E657FF">
      <w:pPr>
        <w:pStyle w:val="ListParagraph"/>
        <w:numPr>
          <w:ilvl w:val="0"/>
          <w:numId w:val="12"/>
        </w:numPr>
        <w:kinsoku w:val="0"/>
        <w:overflowPunct w:val="0"/>
        <w:adjustRightInd w:val="0"/>
        <w:spacing w:after="60"/>
        <w:contextualSpacing w:val="0"/>
        <w:textAlignment w:val="baseline"/>
        <w:rPr>
          <w:rFonts w:cs="Times"/>
          <w:szCs w:val="20"/>
        </w:rPr>
      </w:pPr>
      <w:r>
        <w:rPr>
          <w:rFonts w:cs="Times"/>
          <w:szCs w:val="20"/>
        </w:rPr>
        <w:t>Alt CA.1. gNB/UE performs multiple LBT, one for each channel bandwidth separately</w:t>
      </w:r>
    </w:p>
    <w:p w14:paraId="3298FA5F" w14:textId="65B5F0B5" w:rsidR="00E657FF" w:rsidRDefault="00E657FF" w:rsidP="00E657FF">
      <w:pPr>
        <w:pStyle w:val="ListParagraph"/>
        <w:numPr>
          <w:ilvl w:val="0"/>
          <w:numId w:val="12"/>
        </w:numPr>
        <w:overflowPunct w:val="0"/>
        <w:snapToGrid w:val="0"/>
        <w:spacing w:after="0" w:line="252" w:lineRule="auto"/>
        <w:contextualSpacing w:val="0"/>
        <w:rPr>
          <w:rFonts w:cs="Times"/>
          <w:szCs w:val="20"/>
        </w:rPr>
      </w:pPr>
      <w:r>
        <w:rPr>
          <w:rFonts w:cs="Times"/>
          <w:szCs w:val="20"/>
        </w:rPr>
        <w:t>Alt CA.2. gNB/UE performs single LBT over all CCs</w:t>
      </w:r>
    </w:p>
    <w:p w14:paraId="4C7C1DC8" w14:textId="1E251181" w:rsidR="00E657FF" w:rsidRDefault="00E657FF" w:rsidP="00E657FF">
      <w:pPr>
        <w:pStyle w:val="ListParagraph"/>
        <w:numPr>
          <w:ilvl w:val="0"/>
          <w:numId w:val="12"/>
        </w:numPr>
        <w:overflowPunct w:val="0"/>
        <w:snapToGrid w:val="0"/>
        <w:spacing w:after="0" w:line="252" w:lineRule="auto"/>
        <w:contextualSpacing w:val="0"/>
        <w:rPr>
          <w:rFonts w:cs="Times"/>
          <w:szCs w:val="20"/>
        </w:rPr>
      </w:pPr>
      <w:r>
        <w:rPr>
          <w:rFonts w:cs="Times"/>
          <w:szCs w:val="20"/>
        </w:rPr>
        <w:t>Alt CA.3. gNB/UE performs multiple LBT, one for each CC over the transmission bandwidth (from the lowest RB in to the highest RB used for the transmission in the CC)</w:t>
      </w:r>
    </w:p>
    <w:p w14:paraId="28ACF22E" w14:textId="77777777" w:rsidR="00E657FF" w:rsidRDefault="00E657FF" w:rsidP="00E657FF">
      <w:pPr>
        <w:pStyle w:val="ListParagraph"/>
        <w:numPr>
          <w:ilvl w:val="0"/>
          <w:numId w:val="12"/>
        </w:numPr>
        <w:overflowPunct w:val="0"/>
        <w:snapToGrid w:val="0"/>
        <w:spacing w:after="0" w:line="252" w:lineRule="auto"/>
        <w:contextualSpacing w:val="0"/>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074D1092" w14:textId="77777777" w:rsidR="00E657FF" w:rsidRDefault="00E657FF" w:rsidP="00E657FF">
      <w:pPr>
        <w:pStyle w:val="ListParagraph"/>
        <w:numPr>
          <w:ilvl w:val="0"/>
          <w:numId w:val="12"/>
        </w:numPr>
        <w:overflowPunct w:val="0"/>
        <w:snapToGrid w:val="0"/>
        <w:spacing w:after="0" w:line="252" w:lineRule="auto"/>
        <w:contextualSpacing w:val="0"/>
        <w:rPr>
          <w:rFonts w:cs="Times"/>
          <w:szCs w:val="20"/>
        </w:rPr>
      </w:pPr>
      <w:r>
        <w:rPr>
          <w:rFonts w:cs="Times"/>
          <w:szCs w:val="20"/>
        </w:rPr>
        <w:t>Alt CA.5. Define a unit of LBT bandwidth and gNB/UE performs LBT in all the LBT units (to be transmitted in) in the channel bandwidth in each CC</w:t>
      </w:r>
    </w:p>
    <w:p w14:paraId="0FE04E29" w14:textId="62DFDF75" w:rsidR="00E657FF" w:rsidRDefault="00E657FF" w:rsidP="00E657FF">
      <w:pPr>
        <w:pStyle w:val="ListParagraph"/>
        <w:overflowPunct w:val="0"/>
        <w:snapToGrid w:val="0"/>
        <w:spacing w:after="0" w:line="252" w:lineRule="auto"/>
        <w:contextualSpacing w:val="0"/>
        <w:rPr>
          <w:rFonts w:cs="Times"/>
          <w:szCs w:val="20"/>
        </w:rPr>
      </w:pPr>
    </w:p>
    <w:p w14:paraId="418C88EF" w14:textId="117598DF" w:rsidR="00E657FF" w:rsidRPr="00E657FF" w:rsidRDefault="00E70FC6" w:rsidP="00E657FF">
      <w:pPr>
        <w:overflowPunct w:val="0"/>
        <w:spacing w:after="0" w:line="252" w:lineRule="auto"/>
        <w:rPr>
          <w:rFonts w:cs="Times"/>
          <w:szCs w:val="20"/>
        </w:rPr>
      </w:pPr>
      <w:r>
        <w:rPr>
          <w:rFonts w:cs="Times"/>
          <w:szCs w:val="20"/>
        </w:rPr>
        <w:t xml:space="preserve">The down selection among the alternatives for multi-carrier LBT should happen once the same for single-carrier LBT has been accomplished. </w:t>
      </w:r>
      <w:r w:rsidR="00E657FF" w:rsidRPr="00E657FF">
        <w:rPr>
          <w:rFonts w:cs="Times"/>
          <w:szCs w:val="20"/>
        </w:rPr>
        <w:t xml:space="preserve">Our preference is for Alt CA.1 which we view as </w:t>
      </w:r>
      <w:r w:rsidR="00815646">
        <w:rPr>
          <w:rFonts w:cs="Times"/>
          <w:szCs w:val="20"/>
        </w:rPr>
        <w:t>an</w:t>
      </w:r>
      <w:r w:rsidR="00E657FF" w:rsidRPr="00E657FF">
        <w:rPr>
          <w:rFonts w:cs="Times"/>
          <w:szCs w:val="20"/>
        </w:rPr>
        <w:t xml:space="preserve"> intuitive extension of Alt SC.1. We also recognize the benefit of Alt CA.</w:t>
      </w:r>
      <w:r w:rsidR="00AF4D66">
        <w:rPr>
          <w:rFonts w:cs="Times"/>
          <w:szCs w:val="20"/>
        </w:rPr>
        <w:t>2</w:t>
      </w:r>
      <w:r w:rsidR="00E657FF" w:rsidRPr="00E657FF">
        <w:rPr>
          <w:rFonts w:cs="Times"/>
          <w:szCs w:val="20"/>
        </w:rPr>
        <w:t xml:space="preserve"> which can reduce overall LBT overhead at-least in the low load case wherein the probability of finding all channel bandwidths to be idle is relatively higher.</w:t>
      </w:r>
      <w:r w:rsidR="00815646">
        <w:rPr>
          <w:rFonts w:cs="Times"/>
          <w:szCs w:val="20"/>
        </w:rPr>
        <w:t xml:space="preserve"> The other alternatives can result </w:t>
      </w:r>
      <w:r w:rsidR="00DF122F">
        <w:rPr>
          <w:rFonts w:cs="Times"/>
          <w:szCs w:val="20"/>
        </w:rPr>
        <w:t xml:space="preserve">in </w:t>
      </w:r>
      <w:r w:rsidR="00815646">
        <w:rPr>
          <w:rFonts w:cs="Times"/>
          <w:szCs w:val="20"/>
        </w:rPr>
        <w:t>increased complexity and signaling at-leas</w:t>
      </w:r>
      <w:r w:rsidR="002401EA">
        <w:rPr>
          <w:rFonts w:cs="Times"/>
          <w:szCs w:val="20"/>
        </w:rPr>
        <w:t>t</w:t>
      </w:r>
      <w:r w:rsidR="00815646">
        <w:rPr>
          <w:rFonts w:cs="Times"/>
          <w:szCs w:val="20"/>
        </w:rPr>
        <w:t xml:space="preserve"> in terms of exploiting subsets of bandwidth units found to be idle across carriers</w:t>
      </w:r>
      <w:r w:rsidR="00AF4D66">
        <w:rPr>
          <w:rFonts w:cs="Times"/>
          <w:szCs w:val="20"/>
        </w:rPr>
        <w:t xml:space="preserve"> as well as in handling different completion times</w:t>
      </w:r>
      <w:r w:rsidR="00815646">
        <w:rPr>
          <w:rFonts w:cs="Times"/>
          <w:szCs w:val="20"/>
        </w:rPr>
        <w:t xml:space="preserve">.  </w:t>
      </w:r>
    </w:p>
    <w:p w14:paraId="6CDA2A68" w14:textId="77777777" w:rsidR="00E657FF" w:rsidRDefault="00E657FF" w:rsidP="00E657FF">
      <w:pPr>
        <w:pStyle w:val="ListParagraph"/>
        <w:overflowPunct w:val="0"/>
        <w:snapToGrid w:val="0"/>
        <w:spacing w:after="0" w:line="252" w:lineRule="auto"/>
        <w:contextualSpacing w:val="0"/>
        <w:rPr>
          <w:rFonts w:cs="Times"/>
          <w:szCs w:val="20"/>
        </w:rPr>
      </w:pPr>
    </w:p>
    <w:p w14:paraId="1C526F0F" w14:textId="7C0A7EF4" w:rsidR="00E657FF" w:rsidRDefault="00E657FF" w:rsidP="00E657FF">
      <w:pPr>
        <w:overflowPunct w:val="0"/>
        <w:spacing w:after="0" w:line="252" w:lineRule="auto"/>
        <w:rPr>
          <w:rFonts w:cs="Times"/>
          <w:b/>
          <w:szCs w:val="20"/>
        </w:rPr>
      </w:pPr>
      <w:r w:rsidRPr="00272FEA">
        <w:rPr>
          <w:rFonts w:eastAsia="DengXian" w:cs="Times"/>
          <w:b/>
          <w:kern w:val="32"/>
          <w:lang w:eastAsia="zh-CN"/>
        </w:rPr>
        <w:t xml:space="preserve">Proposal </w:t>
      </w:r>
      <w:r w:rsidRPr="00272FEA">
        <w:rPr>
          <w:rFonts w:cs="Times"/>
          <w:b/>
          <w:kern w:val="32"/>
          <w:lang w:eastAsia="zh-CN"/>
        </w:rPr>
        <w:t xml:space="preserve">2: </w:t>
      </w:r>
      <w:r>
        <w:rPr>
          <w:rFonts w:cs="Times"/>
          <w:b/>
          <w:kern w:val="32"/>
          <w:lang w:eastAsia="zh-CN"/>
        </w:rPr>
        <w:t xml:space="preserve">In LBT for </w:t>
      </w:r>
      <w:r>
        <w:rPr>
          <w:rFonts w:cs="Times"/>
          <w:b/>
          <w:bCs/>
          <w:szCs w:val="20"/>
        </w:rPr>
        <w:t>multi</w:t>
      </w:r>
      <w:r w:rsidRPr="00413E37">
        <w:rPr>
          <w:rFonts w:cs="Times"/>
          <w:b/>
          <w:bCs/>
          <w:szCs w:val="20"/>
        </w:rPr>
        <w:t xml:space="preserve"> carrier transmission</w:t>
      </w:r>
      <w:r w:rsidRPr="00272FEA">
        <w:rPr>
          <w:rFonts w:cs="Times"/>
          <w:b/>
          <w:szCs w:val="20"/>
        </w:rPr>
        <w:t xml:space="preserve"> gNB/UE </w:t>
      </w:r>
      <w:r>
        <w:rPr>
          <w:rFonts w:cs="Times"/>
          <w:b/>
          <w:szCs w:val="20"/>
        </w:rPr>
        <w:t>support:</w:t>
      </w:r>
    </w:p>
    <w:p w14:paraId="39B563BB" w14:textId="2AF165DE" w:rsidR="00E657FF" w:rsidRPr="003977EB" w:rsidRDefault="00E657FF" w:rsidP="00E657FF">
      <w:pPr>
        <w:pStyle w:val="ListParagraph"/>
        <w:numPr>
          <w:ilvl w:val="0"/>
          <w:numId w:val="4"/>
        </w:numPr>
        <w:overflowPunct w:val="0"/>
        <w:spacing w:after="0" w:line="252" w:lineRule="auto"/>
        <w:rPr>
          <w:rFonts w:cs="Times"/>
          <w:b/>
          <w:bCs/>
          <w:szCs w:val="20"/>
        </w:rPr>
      </w:pPr>
      <w:r w:rsidRPr="003977EB">
        <w:rPr>
          <w:rFonts w:cs="Times"/>
          <w:b/>
          <w:bCs/>
          <w:szCs w:val="20"/>
        </w:rPr>
        <w:t>gNB/UE performs multiple LBT, one for each channel bandwidth separately</w:t>
      </w:r>
      <w:r w:rsidR="00865BAD" w:rsidRPr="003977EB">
        <w:rPr>
          <w:rFonts w:cs="Times"/>
          <w:b/>
          <w:bCs/>
          <w:szCs w:val="20"/>
        </w:rPr>
        <w:t>,</w:t>
      </w:r>
    </w:p>
    <w:p w14:paraId="596F9305" w14:textId="6BD7177C" w:rsidR="00221757" w:rsidRPr="005812D3" w:rsidRDefault="00E657FF" w:rsidP="005812D3">
      <w:pPr>
        <w:pStyle w:val="ListParagraph"/>
        <w:numPr>
          <w:ilvl w:val="0"/>
          <w:numId w:val="4"/>
        </w:numPr>
        <w:overflowPunct w:val="0"/>
        <w:spacing w:after="0" w:line="252" w:lineRule="auto"/>
        <w:rPr>
          <w:rFonts w:cs="Times"/>
          <w:b/>
          <w:szCs w:val="20"/>
        </w:rPr>
      </w:pPr>
      <w:r w:rsidRPr="003977EB">
        <w:rPr>
          <w:rFonts w:cs="Times"/>
          <w:b/>
          <w:bCs/>
          <w:szCs w:val="20"/>
        </w:rPr>
        <w:t>gNB/UE performs single LBT over all CCs</w:t>
      </w:r>
      <w:r w:rsidR="00865BAD">
        <w:rPr>
          <w:rFonts w:cs="Times"/>
          <w:szCs w:val="20"/>
        </w:rPr>
        <w:t>.</w:t>
      </w:r>
    </w:p>
    <w:p w14:paraId="35ACD9C6" w14:textId="77777777" w:rsidR="005812D3" w:rsidRPr="005812D3" w:rsidRDefault="005812D3" w:rsidP="005812D3">
      <w:pPr>
        <w:pStyle w:val="ListParagraph"/>
        <w:overflowPunct w:val="0"/>
        <w:spacing w:after="0" w:line="252" w:lineRule="auto"/>
        <w:rPr>
          <w:rFonts w:cs="Times"/>
          <w:b/>
          <w:szCs w:val="20"/>
        </w:rPr>
      </w:pPr>
    </w:p>
    <w:p w14:paraId="5C0D595F" w14:textId="09F364D2" w:rsidR="00F93125" w:rsidRDefault="00A07019" w:rsidP="00A3575A">
      <w:pPr>
        <w:pStyle w:val="Heading1"/>
      </w:pPr>
      <w:r>
        <w:t>LBT Sensing</w:t>
      </w:r>
    </w:p>
    <w:p w14:paraId="0639DFE7" w14:textId="286812A4" w:rsidR="00A5254C" w:rsidRPr="00A07019" w:rsidRDefault="00A5254C" w:rsidP="00A5254C">
      <w:pPr>
        <w:rPr>
          <w:lang w:eastAsia="x-none"/>
        </w:rPr>
      </w:pPr>
      <w:r>
        <w:rPr>
          <w:lang w:eastAsia="x-none"/>
        </w:rPr>
        <w:t>In the previous two meetings</w:t>
      </w:r>
      <w:r w:rsidR="00A07019">
        <w:rPr>
          <w:lang w:eastAsia="x-none"/>
        </w:rPr>
        <w:t>,</w:t>
      </w:r>
      <w:r>
        <w:rPr>
          <w:lang w:eastAsia="x-none"/>
        </w:rPr>
        <w:t xml:space="preserve"> </w:t>
      </w:r>
      <w:r w:rsidR="00A07019">
        <w:rPr>
          <w:lang w:eastAsia="x-none"/>
        </w:rPr>
        <w:t>f</w:t>
      </w:r>
      <w:r>
        <w:rPr>
          <w:rFonts w:cs="Times"/>
          <w:szCs w:val="20"/>
        </w:rPr>
        <w:t xml:space="preserve">or a COT with MU-MIMO (SDM) transmission as well as COT with TDM </w:t>
      </w:r>
      <w:r w:rsidR="00771197">
        <w:rPr>
          <w:rFonts w:cs="Times"/>
          <w:szCs w:val="20"/>
        </w:rPr>
        <w:t xml:space="preserve">transmission </w:t>
      </w:r>
      <w:r>
        <w:rPr>
          <w:rFonts w:cs="Times"/>
          <w:szCs w:val="20"/>
        </w:rPr>
        <w:t xml:space="preserve">of beams with beam switching, </w:t>
      </w:r>
      <w:r w:rsidR="00A07019">
        <w:rPr>
          <w:rFonts w:cs="Times"/>
          <w:szCs w:val="20"/>
        </w:rPr>
        <w:t>the following two alternatives were discussed:</w:t>
      </w:r>
    </w:p>
    <w:p w14:paraId="754F5DAF" w14:textId="36CF0951" w:rsidR="00A5254C" w:rsidRDefault="00A5254C" w:rsidP="00C75BF7">
      <w:pPr>
        <w:pStyle w:val="ListParagraph"/>
        <w:numPr>
          <w:ilvl w:val="0"/>
          <w:numId w:val="7"/>
        </w:numPr>
        <w:overflowPunct w:val="0"/>
        <w:snapToGrid w:val="0"/>
        <w:spacing w:after="0" w:line="252" w:lineRule="auto"/>
        <w:contextualSpacing w:val="0"/>
        <w:rPr>
          <w:rFonts w:cs="Times"/>
          <w:szCs w:val="20"/>
        </w:rPr>
      </w:pPr>
      <w:r>
        <w:rPr>
          <w:rFonts w:cs="Times"/>
          <w:szCs w:val="20"/>
        </w:rPr>
        <w:t>Alt 1: Single LBT sensing at the start of the COT with wide beam ‘cover’ all beams to be used in the COT with appropriate ED threshold</w:t>
      </w:r>
    </w:p>
    <w:p w14:paraId="3FA52711" w14:textId="32AF251B" w:rsidR="001F1D8E" w:rsidRPr="001F1D8E" w:rsidRDefault="001F1D8E" w:rsidP="00C75BF7">
      <w:pPr>
        <w:pStyle w:val="ListParagraph"/>
        <w:numPr>
          <w:ilvl w:val="1"/>
          <w:numId w:val="7"/>
        </w:numPr>
        <w:overflowPunct w:val="0"/>
        <w:snapToGrid w:val="0"/>
        <w:spacing w:after="0" w:line="252" w:lineRule="auto"/>
        <w:contextualSpacing w:val="0"/>
        <w:rPr>
          <w:rFonts w:cs="Times"/>
          <w:i/>
          <w:iCs/>
          <w:szCs w:val="20"/>
        </w:rPr>
      </w:pPr>
      <w:r w:rsidRPr="00816BEA">
        <w:rPr>
          <w:rFonts w:cs="Times"/>
          <w:i/>
          <w:iCs/>
          <w:szCs w:val="20"/>
        </w:rPr>
        <w:t>FFS: Details on the definition of "cover"</w:t>
      </w:r>
    </w:p>
    <w:p w14:paraId="00C9E855" w14:textId="77777777" w:rsidR="00A5254C" w:rsidRDefault="00A5254C" w:rsidP="00C75BF7">
      <w:pPr>
        <w:pStyle w:val="ListParagraph"/>
        <w:numPr>
          <w:ilvl w:val="0"/>
          <w:numId w:val="7"/>
        </w:numPr>
        <w:overflowPunct w:val="0"/>
        <w:snapToGrid w:val="0"/>
        <w:spacing w:after="0" w:line="252" w:lineRule="auto"/>
        <w:contextualSpacing w:val="0"/>
        <w:rPr>
          <w:rFonts w:cs="Times"/>
          <w:szCs w:val="20"/>
        </w:rPr>
      </w:pPr>
      <w:r>
        <w:rPr>
          <w:rFonts w:cs="Times"/>
          <w:szCs w:val="20"/>
        </w:rPr>
        <w:t>Alt 2: Independent per-beam LBT sensing at the start of COT is performed for beams used in the COT</w:t>
      </w:r>
    </w:p>
    <w:p w14:paraId="44FB79AE" w14:textId="6DC60CEE" w:rsidR="00FD1052" w:rsidRDefault="00A07019" w:rsidP="00FD1052">
      <w:r>
        <w:rPr>
          <w:lang w:eastAsia="x-none"/>
        </w:rPr>
        <w:t>Our position has been to support both these alternatives.</w:t>
      </w:r>
      <w:r w:rsidR="00FD1052">
        <w:rPr>
          <w:lang w:eastAsia="x-none"/>
        </w:rPr>
        <w:t xml:space="preserve"> In our previous contribution, </w:t>
      </w:r>
      <w:r w:rsidR="00FD1052">
        <w:t>we proposed to use the spatial domain filters to define the “beam cover” relationship between sensing and transmit as follows:</w:t>
      </w:r>
    </w:p>
    <w:p w14:paraId="7E77E5F1" w14:textId="6DE91C79" w:rsidR="00FD1052" w:rsidRPr="001566A2" w:rsidRDefault="00FD1052" w:rsidP="00FD1052">
      <w:pPr>
        <w:rPr>
          <w:b/>
          <w:bCs/>
        </w:rPr>
      </w:pPr>
      <w:r w:rsidRPr="001566A2">
        <w:rPr>
          <w:b/>
          <w:bCs/>
        </w:rPr>
        <w:t xml:space="preserve">Proposal </w:t>
      </w:r>
      <w:r w:rsidR="00975713">
        <w:rPr>
          <w:b/>
          <w:bCs/>
        </w:rPr>
        <w:t>3</w:t>
      </w:r>
      <w:r w:rsidRPr="001566A2">
        <w:rPr>
          <w:b/>
          <w:bCs/>
        </w:rPr>
        <w:t>: For the CCA check procedure</w:t>
      </w:r>
      <w:r>
        <w:rPr>
          <w:b/>
          <w:bCs/>
        </w:rPr>
        <w:t>,</w:t>
      </w:r>
      <w:r w:rsidRPr="001566A2">
        <w:rPr>
          <w:b/>
          <w:bCs/>
        </w:rPr>
        <w:t xml:space="preserve"> the </w:t>
      </w:r>
      <w:r>
        <w:rPr>
          <w:b/>
          <w:bCs/>
        </w:rPr>
        <w:t xml:space="preserve">COT </w:t>
      </w:r>
      <w:r w:rsidRPr="001566A2">
        <w:rPr>
          <w:b/>
          <w:bCs/>
        </w:rPr>
        <w:t xml:space="preserve">initiating device may use </w:t>
      </w:r>
      <w:r>
        <w:rPr>
          <w:b/>
          <w:bCs/>
        </w:rPr>
        <w:t>one</w:t>
      </w:r>
      <w:r w:rsidRPr="001566A2">
        <w:rPr>
          <w:b/>
          <w:bCs/>
        </w:rPr>
        <w:t xml:space="preserve"> or multiple spatial domains </w:t>
      </w:r>
      <w:r>
        <w:rPr>
          <w:b/>
          <w:bCs/>
        </w:rPr>
        <w:t xml:space="preserve">receive </w:t>
      </w:r>
      <w:r w:rsidRPr="001566A2">
        <w:rPr>
          <w:b/>
          <w:bCs/>
        </w:rPr>
        <w:t xml:space="preserve">filters. </w:t>
      </w:r>
      <w:r>
        <w:rPr>
          <w:b/>
          <w:bCs/>
        </w:rPr>
        <w:t>For each</w:t>
      </w:r>
      <w:r w:rsidRPr="001566A2">
        <w:rPr>
          <w:b/>
          <w:bCs/>
        </w:rPr>
        <w:t xml:space="preserve"> </w:t>
      </w:r>
      <w:r>
        <w:rPr>
          <w:b/>
          <w:bCs/>
        </w:rPr>
        <w:t xml:space="preserve">transmission during the COT, there should be associated </w:t>
      </w:r>
      <w:r w:rsidRPr="001566A2">
        <w:rPr>
          <w:b/>
          <w:bCs/>
        </w:rPr>
        <w:t xml:space="preserve">one </w:t>
      </w:r>
      <w:r>
        <w:rPr>
          <w:b/>
          <w:bCs/>
        </w:rPr>
        <w:t xml:space="preserve">or multiple </w:t>
      </w:r>
      <w:r w:rsidRPr="001566A2">
        <w:rPr>
          <w:b/>
          <w:bCs/>
        </w:rPr>
        <w:t xml:space="preserve">spatial domains </w:t>
      </w:r>
      <w:r>
        <w:rPr>
          <w:b/>
          <w:bCs/>
        </w:rPr>
        <w:t xml:space="preserve">receive </w:t>
      </w:r>
      <w:r w:rsidRPr="001566A2">
        <w:rPr>
          <w:b/>
          <w:bCs/>
        </w:rPr>
        <w:t>filter</w:t>
      </w:r>
      <w:r>
        <w:rPr>
          <w:b/>
          <w:bCs/>
        </w:rPr>
        <w:t>s used in</w:t>
      </w:r>
      <w:r w:rsidRPr="001566A2">
        <w:rPr>
          <w:b/>
          <w:bCs/>
        </w:rPr>
        <w:t xml:space="preserve"> the CCA check procedure</w:t>
      </w:r>
      <w:r>
        <w:rPr>
          <w:b/>
          <w:bCs/>
        </w:rPr>
        <w:t>.</w:t>
      </w:r>
    </w:p>
    <w:p w14:paraId="3499B8FF" w14:textId="6776543D" w:rsidR="00A5254C" w:rsidRPr="009F7008" w:rsidRDefault="00FD1052" w:rsidP="00FD1052">
      <w:pPr>
        <w:rPr>
          <w:lang w:eastAsia="x-none"/>
        </w:rPr>
      </w:pPr>
      <w:r w:rsidRPr="00EB7C8C">
        <w:t xml:space="preserve">The spatial filter domain relation between transmit and receive </w:t>
      </w:r>
      <w:r w:rsidR="00A0329F">
        <w:t xml:space="preserve">beams </w:t>
      </w:r>
      <w:r w:rsidRPr="00EB7C8C">
        <w:t>may be used to define a</w:t>
      </w:r>
      <w:r w:rsidR="0032554C" w:rsidRPr="00EB7C8C">
        <w:t>n extended beam correspondence typ</w:t>
      </w:r>
      <w:r w:rsidR="0032554C" w:rsidRPr="00DF122F">
        <w:t>e</w:t>
      </w:r>
      <w:r w:rsidRPr="00A0329F">
        <w:t xml:space="preserve"> </w:t>
      </w:r>
      <w:r w:rsidRPr="009F7008">
        <w:t>relationship</w:t>
      </w:r>
      <w:r w:rsidR="00771197" w:rsidRPr="009F7008">
        <w:t xml:space="preserve">. </w:t>
      </w:r>
    </w:p>
    <w:p w14:paraId="1FCF61F0" w14:textId="7B9B554C" w:rsidR="00A5254C" w:rsidRPr="009F7008" w:rsidRDefault="00FD1052" w:rsidP="00A3575A">
      <w:pPr>
        <w:rPr>
          <w:lang w:eastAsia="x-none"/>
        </w:rPr>
      </w:pPr>
      <w:r w:rsidRPr="009F7008">
        <w:rPr>
          <w:lang w:eastAsia="x-none"/>
        </w:rPr>
        <w:lastRenderedPageBreak/>
        <w:t>Indeed, this relation</w:t>
      </w:r>
      <w:r w:rsidR="00926BD4" w:rsidRPr="009F7008">
        <w:rPr>
          <w:lang w:eastAsia="x-none"/>
        </w:rPr>
        <w:t>ship</w:t>
      </w:r>
      <w:r w:rsidRPr="009F7008">
        <w:rPr>
          <w:lang w:eastAsia="x-none"/>
        </w:rPr>
        <w:t xml:space="preserve"> is an extension of beam correspondence </w:t>
      </w:r>
      <w:r w:rsidR="00926BD4" w:rsidRPr="009F7008">
        <w:rPr>
          <w:lang w:eastAsia="x-none"/>
        </w:rPr>
        <w:t xml:space="preserve">because it </w:t>
      </w:r>
      <w:r w:rsidRPr="009F7008">
        <w:rPr>
          <w:lang w:eastAsia="x-none"/>
        </w:rPr>
        <w:t xml:space="preserve"> has to now be defined </w:t>
      </w:r>
      <w:r w:rsidR="00771197" w:rsidRPr="009F7008">
        <w:rPr>
          <w:lang w:eastAsia="x-none"/>
        </w:rPr>
        <w:t xml:space="preserve">even </w:t>
      </w:r>
      <w:r w:rsidRPr="009F7008">
        <w:rPr>
          <w:lang w:eastAsia="x-none"/>
        </w:rPr>
        <w:t xml:space="preserve">for the gNB as well as for beam groups. Hitherto, beam correspondence has been defined as an optional capability at the UE and </w:t>
      </w:r>
      <w:r w:rsidR="0032554C" w:rsidRPr="009F7008">
        <w:rPr>
          <w:lang w:eastAsia="x-none"/>
        </w:rPr>
        <w:t>furthermore</w:t>
      </w:r>
      <w:r w:rsidRPr="009F7008">
        <w:rPr>
          <w:lang w:eastAsia="x-none"/>
        </w:rPr>
        <w:t xml:space="preserve"> on a single beam basis. </w:t>
      </w:r>
    </w:p>
    <w:p w14:paraId="1DCAF35B" w14:textId="11242DF6" w:rsidR="00926BD4" w:rsidRPr="00B462C6" w:rsidRDefault="001F1D8E" w:rsidP="00616003">
      <w:pPr>
        <w:rPr>
          <w:lang w:eastAsia="x-none"/>
        </w:rPr>
      </w:pPr>
      <w:r w:rsidRPr="009F7008">
        <w:rPr>
          <w:lang w:eastAsia="x-none"/>
        </w:rPr>
        <w:t xml:space="preserve">An alternate way is to allow for flexible sensing implementation </w:t>
      </w:r>
      <w:r w:rsidR="00242805" w:rsidRPr="009F7008">
        <w:rPr>
          <w:lang w:eastAsia="x-none"/>
        </w:rPr>
        <w:t>at the LBT initiating node</w:t>
      </w:r>
      <w:r w:rsidR="00771197" w:rsidRPr="009F7008">
        <w:rPr>
          <w:lang w:eastAsia="x-none"/>
        </w:rPr>
        <w:t xml:space="preserve"> using multiple sensing beams</w:t>
      </w:r>
      <w:r w:rsidR="00242805" w:rsidRPr="009F7008">
        <w:rPr>
          <w:lang w:eastAsia="x-none"/>
        </w:rPr>
        <w:t xml:space="preserve">, </w:t>
      </w:r>
      <w:r w:rsidRPr="009F7008">
        <w:rPr>
          <w:lang w:eastAsia="x-none"/>
        </w:rPr>
        <w:t xml:space="preserve">in which each intended transmit beam is associated with one sensing beam </w:t>
      </w:r>
      <w:r w:rsidR="00242805" w:rsidRPr="009F7008">
        <w:rPr>
          <w:lang w:eastAsia="x-none"/>
        </w:rPr>
        <w:t xml:space="preserve">and </w:t>
      </w:r>
      <w:r w:rsidRPr="009F7008">
        <w:rPr>
          <w:lang w:eastAsia="x-none"/>
        </w:rPr>
        <w:t xml:space="preserve">where multiple intended transmit beams can be associated </w:t>
      </w:r>
      <w:r w:rsidR="00242805" w:rsidRPr="009F7008">
        <w:rPr>
          <w:lang w:eastAsia="x-none"/>
        </w:rPr>
        <w:t>with</w:t>
      </w:r>
      <w:r w:rsidRPr="009F7008">
        <w:rPr>
          <w:lang w:eastAsia="x-none"/>
        </w:rPr>
        <w:t xml:space="preserve"> this sensing beam. </w:t>
      </w:r>
      <w:r w:rsidR="00B7324C" w:rsidRPr="009F7008">
        <w:rPr>
          <w:lang w:eastAsia="x-none"/>
        </w:rPr>
        <w:t xml:space="preserve">A schematic highlighting this is shown in Fig. </w:t>
      </w:r>
      <w:r w:rsidR="00EB7648" w:rsidRPr="009F7008">
        <w:rPr>
          <w:lang w:eastAsia="x-none"/>
        </w:rPr>
        <w:t>2</w:t>
      </w:r>
      <w:r w:rsidR="00B7324C" w:rsidRPr="009F7008">
        <w:rPr>
          <w:lang w:eastAsia="x-none"/>
        </w:rPr>
        <w:t xml:space="preserve">. </w:t>
      </w:r>
      <w:r w:rsidR="00926BD4" w:rsidRPr="009F7008">
        <w:rPr>
          <w:lang w:eastAsia="x-none"/>
        </w:rPr>
        <w:t>We remark here that this set of intended transmit beams is the set that the LBT initiator node anticipates using for transmission during the COT. There is no presumption about knowing either the order in which these beams will be used or the SDM groupings they will be part of, and indeed some beams need not be employed</w:t>
      </w:r>
      <w:r w:rsidR="00865BAD">
        <w:rPr>
          <w:lang w:eastAsia="x-none"/>
        </w:rPr>
        <w:t xml:space="preserve"> during the COT</w:t>
      </w:r>
      <w:r w:rsidR="00926BD4" w:rsidRPr="00865BAD">
        <w:rPr>
          <w:lang w:eastAsia="x-none"/>
        </w:rPr>
        <w:t>. Thereby, enough scheduling freedom is still retained which is important given the relatively long duration of a COT (5ms</w:t>
      </w:r>
      <w:r w:rsidR="00926BD4" w:rsidRPr="00B462C6">
        <w:rPr>
          <w:lang w:eastAsia="x-none"/>
        </w:rPr>
        <w:t>).</w:t>
      </w:r>
    </w:p>
    <w:p w14:paraId="0CBBF2A7" w14:textId="7E8516EC" w:rsidR="00616003" w:rsidRPr="009F7008" w:rsidRDefault="001F1D8E" w:rsidP="00616003">
      <w:r w:rsidRPr="00DF122F">
        <w:rPr>
          <w:lang w:eastAsia="x-none"/>
        </w:rPr>
        <w:t>The ta</w:t>
      </w:r>
      <w:r w:rsidRPr="00A0329F">
        <w:rPr>
          <w:lang w:eastAsia="x-none"/>
        </w:rPr>
        <w:t>sk that</w:t>
      </w:r>
      <w:r w:rsidRPr="004D6137">
        <w:rPr>
          <w:lang w:eastAsia="x-none"/>
        </w:rPr>
        <w:t xml:space="preserve"> remains i</w:t>
      </w:r>
      <w:r w:rsidR="00B7324C" w:rsidRPr="00BF2769">
        <w:rPr>
          <w:lang w:eastAsia="x-none"/>
        </w:rPr>
        <w:t>s</w:t>
      </w:r>
      <w:r w:rsidRPr="00BF2769">
        <w:rPr>
          <w:lang w:eastAsia="x-none"/>
        </w:rPr>
        <w:t xml:space="preserve"> to provide a </w:t>
      </w:r>
      <w:r w:rsidR="00B7324C" w:rsidRPr="00BF2769">
        <w:rPr>
          <w:lang w:eastAsia="x-none"/>
        </w:rPr>
        <w:t xml:space="preserve">more rigorous </w:t>
      </w:r>
      <w:r w:rsidRPr="009F7008">
        <w:rPr>
          <w:lang w:eastAsia="x-none"/>
        </w:rPr>
        <w:t>definition of “cover”.</w:t>
      </w:r>
      <w:r w:rsidR="007266CE" w:rsidRPr="009F7008">
        <w:rPr>
          <w:lang w:eastAsia="x-none"/>
        </w:rPr>
        <w:t xml:space="preserve"> Towards this end, </w:t>
      </w:r>
      <w:r w:rsidR="00242805" w:rsidRPr="009F7008">
        <w:rPr>
          <w:lang w:eastAsia="x-none"/>
        </w:rPr>
        <w:t>consider</w:t>
      </w:r>
      <w:r w:rsidR="007266CE" w:rsidRPr="009F7008">
        <w:rPr>
          <w:lang w:eastAsia="x-none"/>
        </w:rPr>
        <w:t xml:space="preserve"> any given </w:t>
      </w:r>
      <w:r w:rsidR="00242805" w:rsidRPr="009F7008">
        <w:rPr>
          <w:lang w:eastAsia="x-none"/>
        </w:rPr>
        <w:t>sub</w:t>
      </w:r>
      <w:r w:rsidR="007266CE" w:rsidRPr="009F7008">
        <w:rPr>
          <w:lang w:eastAsia="x-none"/>
        </w:rPr>
        <w:t xml:space="preserve">set </w:t>
      </w:r>
      <w:r w:rsidR="002E5670" w:rsidRPr="009F7008">
        <w:rPr>
          <w:lang w:eastAsia="x-none"/>
        </w:rPr>
        <w:t xml:space="preserve">(or cluster) </w:t>
      </w:r>
      <w:r w:rsidR="007266CE" w:rsidRPr="009F7008">
        <w:rPr>
          <w:lang w:eastAsia="x-none"/>
        </w:rPr>
        <w:t xml:space="preserve">of transmit beams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j</m:t>
                </m:r>
              </m:e>
            </m:d>
            <m:r>
              <w:rPr>
                <w:rFonts w:ascii="Cambria Math" w:hAnsi="Cambria Math"/>
              </w:rPr>
              <m:t xml:space="preserve"> </m:t>
            </m:r>
          </m:sup>
        </m:sSup>
      </m:oMath>
      <w:r w:rsidR="00242805" w:rsidRPr="00EB7C8C">
        <w:t>that the initiating node intends to use. W</w:t>
      </w:r>
      <w:r w:rsidR="00616003" w:rsidRPr="00EB7C8C">
        <w:t xml:space="preserve">e can define a composite transmit </w:t>
      </w:r>
      <w:r w:rsidR="00F70EF3" w:rsidRPr="00DF122F">
        <w:t xml:space="preserve">angular power </w:t>
      </w:r>
      <w:r w:rsidR="00F70EF3" w:rsidRPr="00A0329F">
        <w:t>profile (</w:t>
      </w:r>
      <w:r w:rsidR="00616003" w:rsidRPr="00A0329F">
        <w:t>APP</w:t>
      </w:r>
      <w:r w:rsidR="00F70EF3" w:rsidRPr="004D6137">
        <w:t>)</w:t>
      </w:r>
      <w:r w:rsidR="00616003" w:rsidRPr="00BF2769">
        <w:t xml:space="preserve"> for this </w:t>
      </w:r>
      <w:r w:rsidR="00242805" w:rsidRPr="00BF2769">
        <w:t>sub</w:t>
      </w:r>
      <w:r w:rsidR="00616003" w:rsidRPr="009F7008">
        <w:t>set of beams as follows:</w:t>
      </w:r>
    </w:p>
    <w:p w14:paraId="2158ADA9" w14:textId="24253456" w:rsidR="00616003" w:rsidRDefault="00BA2E1D" w:rsidP="00616003">
      <m:oMathPara>
        <m:oMath>
          <m:sSup>
            <m:sSupPr>
              <m:ctrlPr>
                <w:rPr>
                  <w:rFonts w:ascii="Cambria Math" w:hAnsi="Cambria Math"/>
                  <w:i/>
                </w:rPr>
              </m:ctrlPr>
            </m:sSupPr>
            <m:e>
              <m:r>
                <w:rPr>
                  <w:rFonts w:ascii="Cambria Math" w:hAnsi="Cambria Math"/>
                </w:rPr>
                <m:t>T</m:t>
              </m:r>
            </m:e>
            <m:sup>
              <m:r>
                <w:rPr>
                  <w:rFonts w:ascii="Cambria Math" w:hAnsi="Cambria Math"/>
                </w:rPr>
                <m:t>(j)</m:t>
              </m:r>
            </m:sup>
          </m:sSup>
          <m:d>
            <m:dPr>
              <m:ctrlPr>
                <w:rPr>
                  <w:rFonts w:ascii="Cambria Math" w:hAnsi="Cambria Math"/>
                  <w:i/>
                </w:rPr>
              </m:ctrlPr>
            </m:dPr>
            <m:e>
              <m:r>
                <w:rPr>
                  <w:rFonts w:ascii="Cambria Math" w:hAnsi="Cambria Math"/>
                </w:rPr>
                <m:t>Θ,ф</m:t>
              </m:r>
            </m:e>
          </m:d>
          <m:r>
            <m:rPr>
              <m:sty m:val="p"/>
            </m:rP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max</m:t>
                  </m:r>
                </m:e>
                <m:sub>
                  <m:r>
                    <w:rPr>
                      <w:rFonts w:ascii="Cambria Math" w:hAnsi="Cambria Math"/>
                    </w:rPr>
                    <m:t>i∈</m:t>
                  </m:r>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j</m:t>
                          </m:r>
                        </m:e>
                      </m:d>
                    </m:sup>
                  </m:sSup>
                </m:sub>
              </m:sSub>
              <m:r>
                <w:rPr>
                  <w:rFonts w:ascii="Cambria Math" w:hAnsi="Cambria Math"/>
                </w:rPr>
                <m:t>{T</m:t>
              </m:r>
            </m:e>
            <m:sub>
              <m:r>
                <w:rPr>
                  <w:rFonts w:ascii="Cambria Math" w:hAnsi="Cambria Math"/>
                </w:rPr>
                <m:t>i</m:t>
              </m:r>
            </m:sub>
          </m:sSub>
          <m:d>
            <m:dPr>
              <m:ctrlPr>
                <w:rPr>
                  <w:rFonts w:ascii="Cambria Math" w:hAnsi="Cambria Math"/>
                  <w:i/>
                </w:rPr>
              </m:ctrlPr>
            </m:dPr>
            <m:e>
              <m:r>
                <w:rPr>
                  <w:rFonts w:ascii="Cambria Math" w:hAnsi="Cambria Math"/>
                </w:rPr>
                <m:t>Θ,ф</m:t>
              </m:r>
            </m:e>
          </m:d>
          <m:r>
            <w:rPr>
              <w:rFonts w:ascii="Cambria Math" w:hAnsi="Cambria Math"/>
            </w:rPr>
            <m:t xml:space="preserve">}                       </m:t>
          </m:r>
          <m:d>
            <m:dPr>
              <m:ctrlPr>
                <w:rPr>
                  <w:rFonts w:ascii="Cambria Math" w:hAnsi="Cambria Math"/>
                  <w:i/>
                </w:rPr>
              </m:ctrlPr>
            </m:dPr>
            <m:e>
              <m:r>
                <w:rPr>
                  <w:rFonts w:ascii="Cambria Math" w:hAnsi="Cambria Math"/>
                </w:rPr>
                <m:t>1</m:t>
              </m:r>
            </m:e>
          </m:d>
          <m:r>
            <w:rPr>
              <w:rFonts w:ascii="Cambria Math" w:hAnsi="Cambria Math"/>
            </w:rPr>
            <m:t>,</m:t>
          </m:r>
        </m:oMath>
      </m:oMathPara>
    </w:p>
    <w:p w14:paraId="620B00B0" w14:textId="77777777" w:rsidR="00616003" w:rsidRDefault="00616003" w:rsidP="00616003"/>
    <w:p w14:paraId="72850A7B" w14:textId="33A27D3B" w:rsidR="00616003" w:rsidRPr="009F7008" w:rsidRDefault="00616003" w:rsidP="00616003">
      <w:pPr>
        <w:rPr>
          <w:i/>
          <w:iCs/>
        </w:rPr>
      </w:pPr>
      <w:r w:rsidRPr="00EB7C8C">
        <w:t xml:space="preserve">where </w:t>
      </w:r>
      <w:r w:rsidR="00242805" w:rsidRPr="00EB7C8C">
        <w:t>we use</w:t>
      </w:r>
      <w:r w:rsidR="0054584C" w:rsidRPr="00EB7C8C">
        <w:t xml:space="preserve">  </w:t>
      </w:r>
      <w:bookmarkStart w:id="7" w:name="_Hlk70789230"/>
      <m:oMath>
        <m:sSub>
          <m:sSubPr>
            <m:ctrlPr>
              <w:rPr>
                <w:rFonts w:ascii="Cambria Math" w:hAnsi="Cambria Math"/>
                <w:i/>
              </w:rPr>
            </m:ctrlPr>
          </m:sSubPr>
          <m:e>
            <m:r>
              <w:rPr>
                <w:rFonts w:ascii="Cambria Math" w:hAnsi="Cambria Math"/>
              </w:rPr>
              <m:t>T</m:t>
            </m:r>
          </m:e>
          <m:sub>
            <m:r>
              <w:rPr>
                <w:rFonts w:ascii="Cambria Math" w:hAnsi="Cambria Math"/>
              </w:rPr>
              <m:t>i</m:t>
            </m:r>
          </m:sub>
        </m:sSub>
        <m:d>
          <m:dPr>
            <m:ctrlPr>
              <w:rPr>
                <w:rFonts w:ascii="Cambria Math" w:hAnsi="Cambria Math"/>
                <w:i/>
              </w:rPr>
            </m:ctrlPr>
          </m:dPr>
          <m:e>
            <m:r>
              <w:rPr>
                <w:rFonts w:ascii="Cambria Math" w:hAnsi="Cambria Math"/>
              </w:rPr>
              <m:t>Θ,ф</m:t>
            </m:r>
          </m:e>
        </m:d>
      </m:oMath>
      <w:r w:rsidR="0054584C" w:rsidRPr="00EB7C8C">
        <w:t xml:space="preserve"> </w:t>
      </w:r>
      <w:bookmarkEnd w:id="7"/>
      <w:r w:rsidR="00242805" w:rsidRPr="00EB7C8C">
        <w:t xml:space="preserve">to </w:t>
      </w:r>
      <w:r w:rsidR="0054584C" w:rsidRPr="00EB7C8C">
        <w:t xml:space="preserve">denote the </w:t>
      </w:r>
      <w:r w:rsidR="0054584C" w:rsidRPr="009F7008">
        <w:t>APP of th</w:t>
      </w:r>
      <w:r w:rsidR="00242805" w:rsidRPr="009F7008">
        <w:t>e</w:t>
      </w:r>
      <w:r w:rsidR="0054584C" w:rsidRPr="009F7008">
        <w:t xml:space="preserve"> i</w:t>
      </w:r>
      <w:r w:rsidR="0054584C" w:rsidRPr="009F7008">
        <w:rPr>
          <w:vertAlign w:val="superscript"/>
        </w:rPr>
        <w:t>th</w:t>
      </w:r>
      <w:r w:rsidR="0054584C" w:rsidRPr="009F7008">
        <w:t xml:space="preserve"> beam, </w:t>
      </w:r>
      <w:r w:rsidR="00242805" w:rsidRPr="009F7008">
        <w:t>with</w:t>
      </w:r>
      <w:r w:rsidR="0054584C" w:rsidRPr="009F7008">
        <w:t xml:space="preserve"> </w:t>
      </w:r>
      <m:oMath>
        <m:d>
          <m:dPr>
            <m:ctrlPr>
              <w:rPr>
                <w:rFonts w:ascii="Cambria Math" w:hAnsi="Cambria Math"/>
                <w:i/>
              </w:rPr>
            </m:ctrlPr>
          </m:dPr>
          <m:e>
            <m:r>
              <w:rPr>
                <w:rFonts w:ascii="Cambria Math" w:hAnsi="Cambria Math"/>
              </w:rPr>
              <m:t>Θ,ф</m:t>
            </m:r>
          </m:e>
        </m:d>
      </m:oMath>
      <w:r w:rsidR="0054584C" w:rsidRPr="00EB7C8C">
        <w:t xml:space="preserve"> denot</w:t>
      </w:r>
      <w:r w:rsidR="00242805" w:rsidRPr="00EB7C8C">
        <w:t>ing</w:t>
      </w:r>
      <w:r w:rsidR="0054584C" w:rsidRPr="00EB7C8C">
        <w:t xml:space="preserve"> the angular (</w:t>
      </w:r>
      <w:r w:rsidR="00BC2324" w:rsidRPr="00DF122F">
        <w:t xml:space="preserve">elevation and </w:t>
      </w:r>
      <w:r w:rsidR="0054584C" w:rsidRPr="00A0329F">
        <w:t>azimuth) coordinates</w:t>
      </w:r>
      <w:r w:rsidR="0054584C" w:rsidRPr="004D6137">
        <w:t xml:space="preserve">.  </w:t>
      </w:r>
      <w:r w:rsidR="00242805" w:rsidRPr="00BF2769">
        <w:t>Here</w:t>
      </w:r>
      <w:r w:rsidR="0054584C" w:rsidRPr="00BF2769">
        <w:t xml:space="preserve"> </w:t>
      </w:r>
      <w:r w:rsidR="00242805" w:rsidRPr="00BF2769">
        <w:t>by</w:t>
      </w:r>
      <w:r w:rsidR="0054584C" w:rsidRPr="00BF2769">
        <w:t xml:space="preserve"> APP of </w:t>
      </w:r>
      <w:r w:rsidR="00242805" w:rsidRPr="009F7008">
        <w:t>a</w:t>
      </w:r>
      <w:r w:rsidR="0054584C" w:rsidRPr="009F7008">
        <w:t xml:space="preserve"> beam </w:t>
      </w:r>
      <w:r w:rsidR="00AF6404" w:rsidRPr="009F7008">
        <w:t xml:space="preserve">used for transmission, </w:t>
      </w:r>
      <w:r w:rsidR="00242805" w:rsidRPr="009F7008">
        <w:t>we mean</w:t>
      </w:r>
      <w:r w:rsidR="0054584C" w:rsidRPr="009F7008">
        <w:t xml:space="preserve"> its far field EIRP profile or pattern. </w:t>
      </w:r>
      <w:r w:rsidR="00242805" w:rsidRPr="009F7008">
        <w:t>In particular,</w:t>
      </w:r>
      <w:r w:rsidR="0054584C" w:rsidRPr="009F7008">
        <w:t xml:space="preserve"> EIRP profile of a beam at any angular coordinate is </w:t>
      </w:r>
      <w:r w:rsidR="00242805" w:rsidRPr="009F7008">
        <w:t xml:space="preserve">defined here as </w:t>
      </w:r>
      <w:r w:rsidR="0054584C" w:rsidRPr="009F7008">
        <w:t xml:space="preserve">the transmit power required to be given as input to an ideal isotropic radiator so that the power measured from </w:t>
      </w:r>
      <w:r w:rsidR="00242805" w:rsidRPr="009F7008">
        <w:t>that isotropic radiator</w:t>
      </w:r>
      <w:r w:rsidR="0054584C" w:rsidRPr="009F7008">
        <w:t xml:space="preserve"> at any reference point in the far-field along that angular coordinate</w:t>
      </w:r>
      <w:r w:rsidR="00F70EF3" w:rsidRPr="009F7008">
        <w:t xml:space="preserve">, </w:t>
      </w:r>
      <w:r w:rsidR="0054584C" w:rsidRPr="009F7008">
        <w:t xml:space="preserve"> matches the power measured at the same reference point </w:t>
      </w:r>
      <w:r w:rsidR="00242805" w:rsidRPr="009F7008">
        <w:t>arising</w:t>
      </w:r>
      <w:r w:rsidR="0054584C" w:rsidRPr="009F7008">
        <w:t xml:space="preserve"> from the transmission of the initiating node </w:t>
      </w:r>
      <w:r w:rsidR="00242805" w:rsidRPr="009F7008">
        <w:t xml:space="preserve">that is </w:t>
      </w:r>
      <w:r w:rsidR="0054584C" w:rsidRPr="009F7008">
        <w:t xml:space="preserve">beamformed using the beam of interest.  EIRP profile </w:t>
      </w:r>
      <w:r w:rsidR="00BC2324" w:rsidRPr="009F7008">
        <w:t xml:space="preserve">(in dBm) </w:t>
      </w:r>
      <w:r w:rsidR="0054584C" w:rsidRPr="009F7008">
        <w:t xml:space="preserve">is hence equal to the gain profile </w:t>
      </w:r>
      <w:r w:rsidR="00BC2324" w:rsidRPr="009F7008">
        <w:t xml:space="preserve">(in dBi) </w:t>
      </w:r>
      <w:r w:rsidR="0054584C" w:rsidRPr="009F7008">
        <w:t xml:space="preserve">plus the power supplied </w:t>
      </w:r>
      <w:r w:rsidR="00BC2324" w:rsidRPr="009F7008">
        <w:t xml:space="preserve">(in dBm) </w:t>
      </w:r>
      <w:r w:rsidR="0054584C" w:rsidRPr="009F7008">
        <w:t>to the radiating elements.</w:t>
      </w:r>
      <w:r w:rsidR="00242805" w:rsidRPr="009F7008">
        <w:t xml:space="preserve"> As a result, the composite transmit APP defined in (1) captures the </w:t>
      </w:r>
      <w:r w:rsidR="00242805" w:rsidRPr="009F7008">
        <w:rPr>
          <w:i/>
          <w:iCs/>
        </w:rPr>
        <w:t xml:space="preserve">envelope of the </w:t>
      </w:r>
      <w:r w:rsidR="00965FCE" w:rsidRPr="009F7008">
        <w:rPr>
          <w:i/>
          <w:iCs/>
        </w:rPr>
        <w:t>EIRP that can arise from transmissions (either SDM or TDM) using this beam set.</w:t>
      </w:r>
    </w:p>
    <w:p w14:paraId="5B26470A" w14:textId="5525E078" w:rsidR="00616003" w:rsidRPr="00BF2769" w:rsidRDefault="00616003" w:rsidP="00616003">
      <w:r w:rsidRPr="00EB7C8C">
        <w:t>Notice that each composite transmit APP defined in (1) is the “max-hold” pattern over the constituent beam</w:t>
      </w:r>
      <w:r w:rsidRPr="00E36C9D">
        <w:t xml:space="preserve"> </w:t>
      </w:r>
      <w:r w:rsidRPr="00DF122F">
        <w:t>APPs (</w:t>
      </w:r>
      <w:r w:rsidRPr="00A0329F">
        <w:t>constituent beam EIRP</w:t>
      </w:r>
      <w:r w:rsidRPr="004D6137">
        <w:t xml:space="preserve"> pattern</w:t>
      </w:r>
      <w:r w:rsidRPr="00BF2769">
        <w:t xml:space="preserve">s). </w:t>
      </w:r>
    </w:p>
    <w:p w14:paraId="5CA80BC4" w14:textId="2323F95F" w:rsidR="00616003" w:rsidRPr="009F7008" w:rsidRDefault="00616003" w:rsidP="0054584C">
      <w:r w:rsidRPr="00BF2769">
        <w:t xml:space="preserve">We </w:t>
      </w:r>
      <w:r w:rsidRPr="009F7008">
        <w:t>now proceed to define a</w:t>
      </w:r>
      <w:r w:rsidR="0023749A" w:rsidRPr="009F7008">
        <w:t>n intuitive</w:t>
      </w:r>
      <w:r w:rsidRPr="009F7008">
        <w:t xml:space="preserve"> requirement that any sensing beam defined for the set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j</m:t>
                </m:r>
              </m:e>
            </m:d>
            <m:r>
              <w:rPr>
                <w:rFonts w:ascii="Cambria Math" w:hAnsi="Cambria Math"/>
              </w:rPr>
              <m:t xml:space="preserve"> </m:t>
            </m:r>
          </m:sup>
        </m:sSup>
      </m:oMath>
      <w:r w:rsidRPr="00EB7C8C">
        <w:t xml:space="preserve"> </w:t>
      </w:r>
      <w:r w:rsidR="00965FCE" w:rsidRPr="00EB7C8C">
        <w:t xml:space="preserve">should </w:t>
      </w:r>
      <w:r w:rsidRPr="00DF122F">
        <w:t xml:space="preserve">satisfy. </w:t>
      </w:r>
      <w:r w:rsidR="0023749A" w:rsidRPr="00A0329F">
        <w:t xml:space="preserve">This requirement is designed to </w:t>
      </w:r>
      <w:r w:rsidR="0023749A" w:rsidRPr="004D6137">
        <w:t>build upon</w:t>
      </w:r>
      <w:r w:rsidR="0023749A" w:rsidRPr="00BF2769">
        <w:t xml:space="preserve"> the principle used in the ETSI BRAN document. While the latter d</w:t>
      </w:r>
      <w:r w:rsidR="0023749A" w:rsidRPr="009F7008">
        <w:t xml:space="preserve">ocument does not </w:t>
      </w:r>
      <w:r w:rsidR="00FC6D47" w:rsidRPr="009F7008">
        <w:t xml:space="preserve">explicitly </w:t>
      </w:r>
      <w:r w:rsidR="0023749A" w:rsidRPr="009F7008">
        <w:t>consider beamformed transmissions let alone acquisition of COT in order to transmit along multiple different beams, there is mention o</w:t>
      </w:r>
      <w:r w:rsidR="00FC6D47" w:rsidRPr="009F7008">
        <w:t>f</w:t>
      </w:r>
      <w:r w:rsidR="0023749A" w:rsidRPr="009F7008">
        <w:t xml:space="preserve"> beamformed transmission with regards to a test procedure. Specifically</w:t>
      </w:r>
      <w:r w:rsidR="002E5670" w:rsidRPr="009F7008">
        <w:t>,</w:t>
      </w:r>
      <w:r w:rsidR="0023749A" w:rsidRPr="009F7008">
        <w:t xml:space="preserve"> in Section </w:t>
      </w:r>
      <w:r w:rsidR="00FC6D47" w:rsidRPr="009F7008">
        <w:t>5.3.8.2</w:t>
      </w:r>
      <w:r w:rsidR="0023749A" w:rsidRPr="009F7008">
        <w:t xml:space="preserve"> the test procedure requires placing a continuous-wave jammer (as a proxy for an interferer/ongoing transmission) </w:t>
      </w:r>
      <w:r w:rsidR="00FC6D47" w:rsidRPr="009F7008">
        <w:t xml:space="preserve">to test CCA failure at an initiator node. The jammer is aligned to the direction of the intended transmission. While this test only requires the initiator to have sufficient sensing gain at-least in the direction of intended transmission (direction with maximal injected interference to any other nodes), it clearly needs to be expanded to address the scenario of interest to us.  </w:t>
      </w:r>
      <w:r w:rsidR="0023749A" w:rsidRPr="009F7008">
        <w:t xml:space="preserve"> </w:t>
      </w:r>
    </w:p>
    <w:p w14:paraId="00C38F41" w14:textId="1D3CD435" w:rsidR="00965FCE" w:rsidRPr="00865BAD" w:rsidRDefault="00865BAD" w:rsidP="00965FCE">
      <w:r>
        <w:t>Towards that end, l</w:t>
      </w:r>
      <w:r w:rsidR="00616003" w:rsidRPr="00865BAD">
        <w:t xml:space="preserve">et </w:t>
      </w:r>
      <m:oMath>
        <m:sSup>
          <m:sSupPr>
            <m:ctrlPr>
              <w:rPr>
                <w:rFonts w:ascii="Cambria Math" w:hAnsi="Cambria Math"/>
                <w:i/>
              </w:rPr>
            </m:ctrlPr>
          </m:sSupPr>
          <m:e>
            <m:r>
              <w:rPr>
                <w:rFonts w:ascii="Cambria Math" w:hAnsi="Cambria Math"/>
              </w:rPr>
              <m:t>S</m:t>
            </m:r>
          </m:e>
          <m:sup>
            <m:r>
              <w:rPr>
                <w:rFonts w:ascii="Cambria Math" w:hAnsi="Cambria Math"/>
              </w:rPr>
              <m:t>(j)</m:t>
            </m:r>
          </m:sup>
        </m:sSup>
        <m:d>
          <m:dPr>
            <m:ctrlPr>
              <w:rPr>
                <w:rFonts w:ascii="Cambria Math" w:hAnsi="Cambria Math"/>
                <w:i/>
              </w:rPr>
            </m:ctrlPr>
          </m:dPr>
          <m:e>
            <m:r>
              <w:rPr>
                <w:rFonts w:ascii="Cambria Math" w:hAnsi="Cambria Math"/>
              </w:rPr>
              <m:t>Θ,</m:t>
            </m:r>
            <w:bookmarkStart w:id="8" w:name="_Hlk70935785"/>
            <m:r>
              <w:rPr>
                <w:rFonts w:ascii="Cambria Math" w:hAnsi="Cambria Math"/>
              </w:rPr>
              <m:t>ф</m:t>
            </m:r>
            <w:bookmarkEnd w:id="8"/>
          </m:e>
        </m:d>
      </m:oMath>
      <w:r w:rsidR="00616003" w:rsidRPr="00EB7C8C">
        <w:t xml:space="preserve"> denote the </w:t>
      </w:r>
      <w:r w:rsidR="00AF6404" w:rsidRPr="00EB7C8C">
        <w:t>angular gain profile (</w:t>
      </w:r>
      <w:r w:rsidR="00616003" w:rsidRPr="00EB7C8C">
        <w:t>A</w:t>
      </w:r>
      <w:r w:rsidR="00AF6404" w:rsidRPr="00EB7C8C">
        <w:t>G</w:t>
      </w:r>
      <w:r w:rsidR="00616003" w:rsidRPr="00EB7C8C">
        <w:t>P</w:t>
      </w:r>
      <w:r w:rsidR="00AF6404" w:rsidRPr="00EB7C8C">
        <w:t>)</w:t>
      </w:r>
      <w:r w:rsidR="00616003" w:rsidRPr="00E36C9D">
        <w:t xml:space="preserve"> of the j</w:t>
      </w:r>
      <w:r w:rsidR="00616003" w:rsidRPr="00865BAD">
        <w:rPr>
          <w:vertAlign w:val="superscript"/>
        </w:rPr>
        <w:t xml:space="preserve">th </w:t>
      </w:r>
      <w:r w:rsidR="00616003" w:rsidRPr="00865BAD">
        <w:t>sensing beam (this A</w:t>
      </w:r>
      <w:r w:rsidR="00AF6404" w:rsidRPr="00865BAD">
        <w:t>G</w:t>
      </w:r>
      <w:r w:rsidR="00616003" w:rsidRPr="00865BAD">
        <w:t>P can for instance inc</w:t>
      </w:r>
      <w:r w:rsidR="0054584C" w:rsidRPr="00865BAD">
        <w:t>l</w:t>
      </w:r>
      <w:r w:rsidR="00616003" w:rsidRPr="00865BAD">
        <w:t>ude</w:t>
      </w:r>
      <w:r w:rsidR="00616003" w:rsidRPr="00B462C6">
        <w:t xml:space="preserve"> sensing beamforming gain along with gain/loss of the sensing assembly)</w:t>
      </w:r>
      <w:r w:rsidR="00616003" w:rsidRPr="00321F4E">
        <w:t xml:space="preserve">. </w:t>
      </w:r>
      <w:r w:rsidR="004F2D5E" w:rsidRPr="00321F4E">
        <w:t>Note here that unlike EIRP of any beam there is no dependence on any transmit power</w:t>
      </w:r>
      <w:r>
        <w:t xml:space="preserve"> in</w:t>
      </w:r>
      <w:r w:rsidR="004F2D5E" w:rsidRPr="00865BAD">
        <w:t xml:space="preserve"> </w:t>
      </w:r>
      <m:oMath>
        <m:sSup>
          <m:sSupPr>
            <m:ctrlPr>
              <w:rPr>
                <w:rFonts w:ascii="Cambria Math" w:hAnsi="Cambria Math"/>
                <w:i/>
              </w:rPr>
            </m:ctrlPr>
          </m:sSupPr>
          <m:e>
            <m:r>
              <w:rPr>
                <w:rFonts w:ascii="Cambria Math" w:hAnsi="Cambria Math"/>
              </w:rPr>
              <m:t>S</m:t>
            </m:r>
          </m:e>
          <m:sup>
            <m:r>
              <w:rPr>
                <w:rFonts w:ascii="Cambria Math" w:hAnsi="Cambria Math"/>
              </w:rPr>
              <m:t>(j)</m:t>
            </m:r>
          </m:sup>
        </m:sSup>
        <m:d>
          <m:dPr>
            <m:ctrlPr>
              <w:rPr>
                <w:rFonts w:ascii="Cambria Math" w:hAnsi="Cambria Math"/>
                <w:i/>
              </w:rPr>
            </m:ctrlPr>
          </m:dPr>
          <m:e>
            <m:r>
              <w:rPr>
                <w:rFonts w:ascii="Cambria Math" w:hAnsi="Cambria Math"/>
              </w:rPr>
              <m:t>Θ,ф</m:t>
            </m:r>
          </m:e>
        </m:d>
      </m:oMath>
      <w:r w:rsidR="004F2D5E" w:rsidRPr="00EB7C8C">
        <w:t xml:space="preserve">. An ideal omni beam sensing pattern will have an AGP </w:t>
      </w:r>
      <m:oMath>
        <m:sSup>
          <m:sSupPr>
            <m:ctrlPr>
              <w:rPr>
                <w:rFonts w:ascii="Cambria Math" w:hAnsi="Cambria Math"/>
                <w:i/>
              </w:rPr>
            </m:ctrlPr>
          </m:sSupPr>
          <m:e>
            <m:r>
              <w:rPr>
                <w:rFonts w:ascii="Cambria Math" w:hAnsi="Cambria Math"/>
              </w:rPr>
              <m:t>S</m:t>
            </m:r>
          </m:e>
          <m:sup>
            <m:r>
              <w:rPr>
                <w:rFonts w:ascii="Cambria Math" w:hAnsi="Cambria Math"/>
              </w:rPr>
              <m:t>(j)</m:t>
            </m:r>
          </m:sup>
        </m:sSup>
        <m:d>
          <m:dPr>
            <m:ctrlPr>
              <w:rPr>
                <w:rFonts w:ascii="Cambria Math" w:hAnsi="Cambria Math"/>
                <w:i/>
              </w:rPr>
            </m:ctrlPr>
          </m:dPr>
          <m:e>
            <m:r>
              <w:rPr>
                <w:rFonts w:ascii="Cambria Math" w:hAnsi="Cambria Math"/>
              </w:rPr>
              <m:t>Θ,ф</m:t>
            </m:r>
          </m:e>
        </m:d>
      </m:oMath>
      <w:r w:rsidR="004F2D5E" w:rsidRPr="009F7008">
        <w:t xml:space="preserve"> </w:t>
      </w:r>
      <w:r w:rsidR="00EB7C8C" w:rsidRPr="009F7008">
        <w:t xml:space="preserve"> with identical gain </w:t>
      </w:r>
      <w:r w:rsidR="004F2D5E" w:rsidRPr="009F7008">
        <w:t>for all angular coordinates (or directions)</w:t>
      </w:r>
      <w:r w:rsidR="00EB7C8C" w:rsidRPr="009F7008">
        <w:t xml:space="preserve">. </w:t>
      </w:r>
      <w:r w:rsidR="004F2D5E" w:rsidRPr="009F7008">
        <w:t xml:space="preserve">. Directional sensing patterns on the other hand will favor some directions over the remaining ones. </w:t>
      </w:r>
      <w:r w:rsidR="00616003" w:rsidRPr="009F7008">
        <w:t xml:space="preserve">We also let  </w:t>
      </w:r>
      <m:oMath>
        <m:sSup>
          <m:sSupPr>
            <m:ctrlPr>
              <w:rPr>
                <w:rFonts w:ascii="Cambria Math" w:hAnsi="Cambria Math"/>
                <w:i/>
              </w:rPr>
            </m:ctrlPr>
          </m:sSupPr>
          <m:e>
            <m:r>
              <w:rPr>
                <w:rFonts w:ascii="Cambria Math" w:hAnsi="Cambria Math"/>
              </w:rPr>
              <m:t>Ω</m:t>
            </m:r>
          </m:e>
          <m:sup>
            <m:r>
              <w:rPr>
                <w:rFonts w:ascii="Cambria Math" w:hAnsi="Cambria Math"/>
              </w:rPr>
              <m:t>(j)</m:t>
            </m:r>
          </m:sup>
        </m:sSup>
      </m:oMath>
      <w:r w:rsidR="00616003" w:rsidRPr="00EB7C8C">
        <w:t xml:space="preserve"> be a set of angular coordinates representing (elevation and azimuth) angle pairs of interest. </w:t>
      </w:r>
      <w:r w:rsidR="00965FCE" w:rsidRPr="00EB7C8C">
        <w:t xml:space="preserve">One possible choice is to include all angular coordinates </w:t>
      </w:r>
      <m:oMath>
        <m:r>
          <w:rPr>
            <w:rFonts w:ascii="Cambria Math" w:hAnsi="Cambria Math"/>
          </w:rPr>
          <m:t>{</m:t>
        </m:r>
        <m:d>
          <m:dPr>
            <m:ctrlPr>
              <w:rPr>
                <w:rFonts w:ascii="Cambria Math" w:hAnsi="Cambria Math"/>
                <w:i/>
                <w:iCs/>
                <w:color w:val="000000" w:themeColor="text1"/>
                <w:kern w:val="24"/>
              </w:rPr>
            </m:ctrlPr>
          </m:dPr>
          <m:e>
            <m:r>
              <w:rPr>
                <w:rFonts w:ascii="Cambria Math" w:hAnsi="Cambria Math"/>
                <w:color w:val="000000" w:themeColor="text1"/>
                <w:kern w:val="24"/>
              </w:rPr>
              <m:t>Θ,ф</m:t>
            </m:r>
          </m:e>
        </m:d>
        <m:r>
          <w:rPr>
            <w:rFonts w:ascii="Cambria Math" w:hAnsi="Cambria Math"/>
            <w:color w:val="000000" w:themeColor="text1"/>
            <w:kern w:val="24"/>
          </w:rPr>
          <m:t xml:space="preserve">} </m:t>
        </m:r>
      </m:oMath>
      <w:r w:rsidR="00965FCE" w:rsidRPr="00EB7C8C">
        <w:rPr>
          <w:iCs/>
          <w:color w:val="000000" w:themeColor="text1"/>
          <w:kern w:val="24"/>
        </w:rPr>
        <w:t xml:space="preserve">such that the composite transmit APP  </w:t>
      </w:r>
      <m:oMath>
        <m:sSup>
          <m:sSupPr>
            <m:ctrlPr>
              <w:rPr>
                <w:rFonts w:ascii="Cambria Math" w:hAnsi="Cambria Math"/>
                <w:i/>
              </w:rPr>
            </m:ctrlPr>
          </m:sSupPr>
          <m:e>
            <m:r>
              <w:rPr>
                <w:rFonts w:ascii="Cambria Math" w:hAnsi="Cambria Math"/>
              </w:rPr>
              <m:t>T</m:t>
            </m:r>
          </m:e>
          <m:sup>
            <m:r>
              <w:rPr>
                <w:rFonts w:ascii="Cambria Math" w:hAnsi="Cambria Math"/>
              </w:rPr>
              <m:t>(j)</m:t>
            </m:r>
          </m:sup>
        </m:sSup>
        <m:d>
          <m:dPr>
            <m:ctrlPr>
              <w:rPr>
                <w:rFonts w:ascii="Cambria Math" w:hAnsi="Cambria Math"/>
                <w:i/>
              </w:rPr>
            </m:ctrlPr>
          </m:dPr>
          <m:e>
            <m:r>
              <w:rPr>
                <w:rFonts w:ascii="Cambria Math" w:hAnsi="Cambria Math"/>
              </w:rPr>
              <m:t>Θ,ф</m:t>
            </m:r>
          </m:e>
        </m:d>
      </m:oMath>
      <w:r w:rsidR="00965FCE" w:rsidRPr="00EB7C8C">
        <w:t xml:space="preserve"> evaluated at that </w:t>
      </w:r>
      <m:oMath>
        <m:d>
          <m:dPr>
            <m:ctrlPr>
              <w:rPr>
                <w:rFonts w:ascii="Cambria Math" w:hAnsi="Cambria Math"/>
                <w:i/>
                <w:iCs/>
                <w:color w:val="000000" w:themeColor="text1"/>
                <w:kern w:val="24"/>
              </w:rPr>
            </m:ctrlPr>
          </m:dPr>
          <m:e>
            <m:r>
              <w:rPr>
                <w:rFonts w:ascii="Cambria Math" w:hAnsi="Cambria Math"/>
                <w:color w:val="000000" w:themeColor="text1"/>
                <w:kern w:val="24"/>
              </w:rPr>
              <m:t>Θ,ф</m:t>
            </m:r>
          </m:e>
        </m:d>
        <m:r>
          <w:rPr>
            <w:rFonts w:ascii="Cambria Math" w:hAnsi="Cambria Math"/>
            <w:color w:val="000000" w:themeColor="text1"/>
            <w:kern w:val="24"/>
          </w:rPr>
          <m:t xml:space="preserve"> </m:t>
        </m:r>
      </m:oMath>
      <w:r w:rsidR="00965FCE" w:rsidRPr="00EB7C8C">
        <w:rPr>
          <w:iCs/>
          <w:color w:val="000000" w:themeColor="text1"/>
          <w:kern w:val="24"/>
        </w:rPr>
        <w:t xml:space="preserve"> is at-least a fraction of the</w:t>
      </w:r>
      <w:r w:rsidR="00965FCE" w:rsidRPr="00EB7C8C">
        <w:t xml:space="preserve"> </w:t>
      </w:r>
      <w:r w:rsidR="00965FCE" w:rsidRPr="00EB7C8C">
        <w:rPr>
          <w:iCs/>
          <w:color w:val="000000" w:themeColor="text1"/>
          <w:kern w:val="24"/>
        </w:rPr>
        <w:t>peak</w:t>
      </w:r>
      <w:r w:rsidR="00965FCE" w:rsidRPr="00E36C9D">
        <w:rPr>
          <w:iCs/>
          <w:color w:val="000000" w:themeColor="text1"/>
          <w:kern w:val="24"/>
        </w:rPr>
        <w:t xml:space="preserve">, i.e., </w:t>
      </w:r>
    </w:p>
    <w:p w14:paraId="695B68BB" w14:textId="0175B82D" w:rsidR="00965FCE" w:rsidRDefault="00965FCE" w:rsidP="00965FCE">
      <w:r w:rsidRPr="008E51D8">
        <w:rPr>
          <w:iCs/>
          <w:color w:val="000000" w:themeColor="text1"/>
          <w:kern w:val="24"/>
        </w:rPr>
        <w:t xml:space="preserve"> </w:t>
      </w:r>
      <m:oMath>
        <m:sSup>
          <m:sSupPr>
            <m:ctrlPr>
              <w:rPr>
                <w:rFonts w:ascii="Cambria Math" w:hAnsi="Cambria Math"/>
                <w:i/>
              </w:rPr>
            </m:ctrlPr>
          </m:sSupPr>
          <m:e>
            <m:r>
              <w:rPr>
                <w:rFonts w:ascii="Cambria Math" w:hAnsi="Cambria Math"/>
              </w:rPr>
              <m:t>T</m:t>
            </m:r>
          </m:e>
          <m:sup>
            <m:r>
              <w:rPr>
                <w:rFonts w:ascii="Cambria Math" w:hAnsi="Cambria Math"/>
              </w:rPr>
              <m:t>(j)</m:t>
            </m:r>
          </m:sup>
        </m:sSup>
        <m:d>
          <m:dPr>
            <m:ctrlPr>
              <w:rPr>
                <w:rFonts w:ascii="Cambria Math" w:hAnsi="Cambria Math"/>
                <w:i/>
              </w:rPr>
            </m:ctrlPr>
          </m:dPr>
          <m:e>
            <m:r>
              <w:rPr>
                <w:rFonts w:ascii="Cambria Math" w:hAnsi="Cambria Math"/>
              </w:rPr>
              <m:t>Θ,ф</m:t>
            </m:r>
          </m:e>
        </m:d>
        <m:r>
          <w:rPr>
            <w:rFonts w:ascii="Cambria Math" w:hAnsi="Cambria Math"/>
          </w:rPr>
          <m:t>≥σ</m:t>
        </m:r>
        <w:bookmarkStart w:id="9" w:name="_Hlk71006064"/>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d>
                  <m:dPr>
                    <m:ctrlPr>
                      <w:rPr>
                        <w:rFonts w:ascii="Cambria Math" w:hAnsi="Cambria Math"/>
                        <w:i/>
                        <w:iCs/>
                        <w:color w:val="000000" w:themeColor="text1"/>
                        <w:kern w:val="24"/>
                      </w:rPr>
                    </m:ctrlPr>
                  </m:dPr>
                  <m:e>
                    <m:sSup>
                      <m:sSupPr>
                        <m:ctrlPr>
                          <w:rPr>
                            <w:rFonts w:ascii="Cambria Math" w:hAnsi="Cambria Math"/>
                            <w:i/>
                            <w:color w:val="000000" w:themeColor="text1"/>
                            <w:kern w:val="24"/>
                          </w:rPr>
                        </m:ctrlPr>
                      </m:sSupPr>
                      <m:e>
                        <m:r>
                          <w:rPr>
                            <w:rFonts w:ascii="Cambria Math" w:hAnsi="Cambria Math"/>
                            <w:color w:val="000000" w:themeColor="text1"/>
                            <w:kern w:val="24"/>
                          </w:rPr>
                          <m:t>Θ</m:t>
                        </m:r>
                      </m:e>
                      <m:sup>
                        <m:r>
                          <w:rPr>
                            <w:rFonts w:ascii="Cambria Math" w:hAnsi="Cambria Math"/>
                            <w:color w:val="000000" w:themeColor="text1"/>
                            <w:kern w:val="24"/>
                          </w:rPr>
                          <m:t>'</m:t>
                        </m:r>
                      </m:sup>
                    </m:sSup>
                    <m:r>
                      <w:rPr>
                        <w:rFonts w:ascii="Cambria Math" w:hAnsi="Cambria Math"/>
                        <w:color w:val="000000" w:themeColor="text1"/>
                        <w:kern w:val="24"/>
                      </w:rPr>
                      <m:t>,</m:t>
                    </m:r>
                    <m:sSup>
                      <m:sSupPr>
                        <m:ctrlPr>
                          <w:rPr>
                            <w:rFonts w:ascii="Cambria Math" w:hAnsi="Cambria Math"/>
                            <w:i/>
                            <w:color w:val="000000" w:themeColor="text1"/>
                            <w:kern w:val="24"/>
                          </w:rPr>
                        </m:ctrlPr>
                      </m:sSupPr>
                      <m:e>
                        <m:r>
                          <w:rPr>
                            <w:rFonts w:ascii="Cambria Math" w:hAnsi="Cambria Math"/>
                            <w:color w:val="000000" w:themeColor="text1"/>
                            <w:kern w:val="24"/>
                          </w:rPr>
                          <m:t>ф</m:t>
                        </m:r>
                      </m:e>
                      <m:sup>
                        <m:r>
                          <w:rPr>
                            <w:rFonts w:ascii="Cambria Math" w:hAnsi="Cambria Math"/>
                            <w:color w:val="000000" w:themeColor="text1"/>
                            <w:kern w:val="24"/>
                          </w:rPr>
                          <m:t>'</m:t>
                        </m:r>
                      </m:sup>
                    </m:sSup>
                  </m:e>
                </m:d>
              </m:lim>
            </m:limLow>
          </m:fName>
          <m:e>
            <m:sSup>
              <m:sSupPr>
                <m:ctrlPr>
                  <w:rPr>
                    <w:rFonts w:ascii="Cambria Math" w:hAnsi="Cambria Math"/>
                    <w:i/>
                  </w:rPr>
                </m:ctrlPr>
              </m:sSupPr>
              <m:e>
                <m:r>
                  <w:rPr>
                    <w:rFonts w:ascii="Cambria Math" w:hAnsi="Cambria Math"/>
                  </w:rPr>
                  <m:t>T</m:t>
                </m:r>
              </m:e>
              <m:sup>
                <m:d>
                  <m:dPr>
                    <m:ctrlPr>
                      <w:rPr>
                        <w:rFonts w:ascii="Cambria Math" w:hAnsi="Cambria Math"/>
                        <w:i/>
                      </w:rPr>
                    </m:ctrlPr>
                  </m:dPr>
                  <m:e>
                    <m:r>
                      <w:rPr>
                        <w:rFonts w:ascii="Cambria Math" w:hAnsi="Cambria Math"/>
                      </w:rPr>
                      <m:t>j</m:t>
                    </m:r>
                  </m:e>
                </m:d>
              </m:sup>
            </m:sSup>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ф</m:t>
                    </m:r>
                  </m:e>
                  <m:sup>
                    <m:r>
                      <w:rPr>
                        <w:rFonts w:ascii="Cambria Math" w:hAnsi="Cambria Math"/>
                      </w:rPr>
                      <m:t>'</m:t>
                    </m:r>
                  </m:sup>
                </m:sSup>
              </m:e>
            </m:d>
          </m:e>
        </m:func>
        <w:bookmarkEnd w:id="9"/>
        <m:r>
          <w:rPr>
            <w:rFonts w:ascii="Cambria Math" w:hAnsi="Cambria Math"/>
          </w:rPr>
          <m:t>,</m:t>
        </m:r>
      </m:oMath>
      <w:r>
        <w:t xml:space="preserve"> where </w:t>
      </w:r>
      <m:oMath>
        <m:r>
          <w:rPr>
            <w:rFonts w:ascii="Cambria Math" w:hAnsi="Cambria Math"/>
          </w:rPr>
          <m:t>σ</m:t>
        </m:r>
      </m:oMath>
      <w:r w:rsidRPr="008E51D8">
        <w:t xml:space="preserve"> </w:t>
      </w:r>
      <w:r>
        <w:t xml:space="preserve">is </w:t>
      </w:r>
      <w:r w:rsidR="004F2D5E">
        <w:t>some</w:t>
      </w:r>
      <w:r w:rsidRPr="008E51D8">
        <w:t xml:space="preserve"> configurable factor</w:t>
      </w:r>
      <w:r>
        <w:t>.</w:t>
      </w:r>
      <w:r w:rsidR="009633BF">
        <w:t xml:space="preserve"> </w:t>
      </w:r>
    </w:p>
    <w:p w14:paraId="35D84861" w14:textId="5ED859B5" w:rsidR="00616003" w:rsidRPr="00294573" w:rsidRDefault="00616003" w:rsidP="00616003">
      <w:r w:rsidRPr="00294573">
        <w:t>Then, the requirement on the sensing beam is given by:</w:t>
      </w:r>
    </w:p>
    <w:p w14:paraId="455D737A" w14:textId="77777777" w:rsidR="00616003" w:rsidRPr="00294573" w:rsidRDefault="00616003" w:rsidP="00616003">
      <w:pPr>
        <w:rPr>
          <w:sz w:val="24"/>
        </w:rPr>
      </w:pPr>
      <w:r w:rsidRPr="00294573">
        <w:lastRenderedPageBreak/>
        <w:t xml:space="preserve">                     </w:t>
      </w:r>
      <m:oMath>
        <m:sSup>
          <m:sSupPr>
            <m:ctrlPr>
              <w:rPr>
                <w:rFonts w:ascii="Cambria Math" w:hAnsi="Cambria Math"/>
                <w:i/>
                <w:sz w:val="24"/>
              </w:rPr>
            </m:ctrlPr>
          </m:sSupPr>
          <m:e>
            <m:r>
              <w:rPr>
                <w:rFonts w:ascii="Cambria Math" w:hAnsi="Cambria Math"/>
                <w:sz w:val="24"/>
              </w:rPr>
              <m:t>S</m:t>
            </m:r>
          </m:e>
          <m:sup>
            <m:r>
              <w:rPr>
                <w:rFonts w:ascii="Cambria Math" w:hAnsi="Cambria Math"/>
                <w:sz w:val="24"/>
              </w:rPr>
              <m:t>(j)</m:t>
            </m:r>
          </m:sup>
        </m:sSup>
        <m:d>
          <m:dPr>
            <m:ctrlPr>
              <w:rPr>
                <w:rFonts w:ascii="Cambria Math" w:hAnsi="Cambria Math"/>
                <w:i/>
                <w:sz w:val="24"/>
              </w:rPr>
            </m:ctrlPr>
          </m:dPr>
          <m:e>
            <m:r>
              <w:rPr>
                <w:rFonts w:ascii="Cambria Math" w:hAnsi="Cambria Math"/>
                <w:sz w:val="24"/>
              </w:rPr>
              <m:t>Θ,ф</m:t>
            </m:r>
          </m:e>
        </m:d>
        <m:r>
          <m:rPr>
            <m:sty m:val="p"/>
          </m:rPr>
          <w:rPr>
            <w:rFonts w:ascii="Cambria Math" w:hAnsi="Cambria Math"/>
            <w:color w:val="000000" w:themeColor="text1"/>
            <w:kern w:val="24"/>
            <w:sz w:val="24"/>
            <w:szCs w:val="36"/>
          </w:rPr>
          <m:t> ≥</m:t>
        </m:r>
        <m:sSup>
          <m:sSupPr>
            <m:ctrlPr>
              <w:rPr>
                <w:rFonts w:ascii="Cambria Math" w:hAnsi="Cambria Math"/>
                <w:color w:val="000000" w:themeColor="text1"/>
                <w:kern w:val="24"/>
                <w:sz w:val="24"/>
                <w:szCs w:val="36"/>
              </w:rPr>
            </m:ctrlPr>
          </m:sSupPr>
          <m:e>
            <m:r>
              <m:rPr>
                <m:sty m:val="p"/>
              </m:rPr>
              <w:rPr>
                <w:rFonts w:ascii="Cambria Math" w:hAnsi="Cambria Math"/>
                <w:color w:val="000000" w:themeColor="text1"/>
                <w:kern w:val="24"/>
                <w:sz w:val="24"/>
                <w:szCs w:val="36"/>
              </w:rPr>
              <m:t>α</m:t>
            </m:r>
          </m:e>
          <m:sup>
            <m:d>
              <m:dPr>
                <m:ctrlPr>
                  <w:rPr>
                    <w:rFonts w:ascii="Cambria Math" w:hAnsi="Cambria Math"/>
                    <w:i/>
                    <w:color w:val="000000" w:themeColor="text1"/>
                    <w:kern w:val="24"/>
                    <w:sz w:val="24"/>
                    <w:szCs w:val="36"/>
                  </w:rPr>
                </m:ctrlPr>
              </m:dPr>
              <m:e>
                <m:r>
                  <w:rPr>
                    <w:rFonts w:ascii="Cambria Math" w:hAnsi="Cambria Math"/>
                    <w:color w:val="000000" w:themeColor="text1"/>
                    <w:kern w:val="24"/>
                    <w:sz w:val="24"/>
                    <w:szCs w:val="36"/>
                  </w:rPr>
                  <m:t>j</m:t>
                </m:r>
              </m:e>
            </m:d>
          </m:sup>
        </m:sSup>
        <m:r>
          <w:rPr>
            <w:rFonts w:ascii="Cambria Math" w:hAnsi="Cambria Math"/>
            <w:color w:val="000000" w:themeColor="text1"/>
            <w:kern w:val="24"/>
            <w:sz w:val="24"/>
            <w:szCs w:val="36"/>
          </w:rPr>
          <m:t>(</m:t>
        </m:r>
        <m:f>
          <m:fPr>
            <m:ctrlPr>
              <w:rPr>
                <w:rFonts w:ascii="Cambria Math" w:hAnsi="Cambria Math"/>
                <w:i/>
                <w:sz w:val="24"/>
              </w:rPr>
            </m:ctrlPr>
          </m:fPr>
          <m:num>
            <m:sSup>
              <m:sSupPr>
                <m:ctrlPr>
                  <w:rPr>
                    <w:rFonts w:ascii="Cambria Math" w:hAnsi="Cambria Math"/>
                    <w:i/>
                    <w:sz w:val="24"/>
                  </w:rPr>
                </m:ctrlPr>
              </m:sSupPr>
              <m:e>
                <m:r>
                  <w:rPr>
                    <w:rFonts w:ascii="Cambria Math" w:hAnsi="Cambria Math"/>
                    <w:sz w:val="24"/>
                  </w:rPr>
                  <m:t>T</m:t>
                </m:r>
              </m:e>
              <m:sup>
                <m:d>
                  <m:dPr>
                    <m:ctrlPr>
                      <w:rPr>
                        <w:rFonts w:ascii="Cambria Math" w:hAnsi="Cambria Math"/>
                        <w:i/>
                        <w:sz w:val="24"/>
                      </w:rPr>
                    </m:ctrlPr>
                  </m:dPr>
                  <m:e>
                    <m:r>
                      <w:rPr>
                        <w:rFonts w:ascii="Cambria Math" w:hAnsi="Cambria Math"/>
                        <w:sz w:val="24"/>
                      </w:rPr>
                      <m:t>j</m:t>
                    </m:r>
                  </m:e>
                </m:d>
              </m:sup>
            </m:sSup>
            <m:d>
              <m:dPr>
                <m:ctrlPr>
                  <w:rPr>
                    <w:rFonts w:ascii="Cambria Math" w:hAnsi="Cambria Math"/>
                    <w:i/>
                    <w:sz w:val="24"/>
                  </w:rPr>
                </m:ctrlPr>
              </m:dPr>
              <m:e>
                <m:r>
                  <w:rPr>
                    <w:rFonts w:ascii="Cambria Math" w:hAnsi="Cambria Math"/>
                    <w:sz w:val="24"/>
                  </w:rPr>
                  <m:t>Θ,ф</m:t>
                </m:r>
              </m:e>
            </m:d>
            <m:ctrlPr>
              <w:rPr>
                <w:rFonts w:ascii="Cambria Math" w:hAnsi="Cambria Math"/>
                <w:i/>
                <w:color w:val="000000" w:themeColor="text1"/>
                <w:kern w:val="24"/>
                <w:sz w:val="24"/>
                <w:szCs w:val="36"/>
              </w:rPr>
            </m:ctrlPr>
          </m:num>
          <m:den>
            <m:sSup>
              <m:sSupPr>
                <m:ctrlPr>
                  <w:rPr>
                    <w:rFonts w:ascii="Cambria Math" w:hAnsi="Cambria Math"/>
                    <w:i/>
                    <w:sz w:val="24"/>
                  </w:rPr>
                </m:ctrlPr>
              </m:sSupPr>
              <m:e>
                <m:acc>
                  <m:accPr>
                    <m:ctrlPr>
                      <w:rPr>
                        <w:rFonts w:ascii="Cambria Math" w:hAnsi="Cambria Math"/>
                        <w:i/>
                        <w:sz w:val="24"/>
                      </w:rPr>
                    </m:ctrlPr>
                  </m:accPr>
                  <m:e>
                    <m:r>
                      <w:rPr>
                        <w:rFonts w:ascii="Cambria Math" w:hAnsi="Cambria Math"/>
                        <w:sz w:val="24"/>
                      </w:rPr>
                      <m:t>T</m:t>
                    </m:r>
                  </m:e>
                </m:acc>
              </m:e>
              <m:sup>
                <m:d>
                  <m:dPr>
                    <m:ctrlPr>
                      <w:rPr>
                        <w:rFonts w:ascii="Cambria Math" w:hAnsi="Cambria Math"/>
                        <w:i/>
                        <w:sz w:val="24"/>
                      </w:rPr>
                    </m:ctrlPr>
                  </m:dPr>
                  <m:e>
                    <m:r>
                      <w:rPr>
                        <w:rFonts w:ascii="Cambria Math" w:hAnsi="Cambria Math"/>
                        <w:sz w:val="24"/>
                      </w:rPr>
                      <m:t>j</m:t>
                    </m:r>
                  </m:e>
                </m:d>
              </m:sup>
            </m:sSup>
          </m:den>
        </m:f>
        <m:r>
          <w:rPr>
            <w:rFonts w:ascii="Cambria Math" w:hAnsi="Cambria Math"/>
            <w:sz w:val="24"/>
          </w:rPr>
          <m:t>)</m:t>
        </m:r>
        <m:r>
          <w:rPr>
            <w:rFonts w:ascii="Cambria Math" w:hAnsi="Cambria Math"/>
            <w:color w:val="000000" w:themeColor="text1"/>
            <w:kern w:val="24"/>
            <w:sz w:val="24"/>
            <w:szCs w:val="36"/>
          </w:rPr>
          <m:t>,  ∀</m:t>
        </m:r>
        <m:d>
          <m:dPr>
            <m:ctrlPr>
              <w:rPr>
                <w:rFonts w:ascii="Cambria Math" w:hAnsi="Cambria Math"/>
                <w:i/>
                <w:iCs/>
                <w:color w:val="000000" w:themeColor="text1"/>
                <w:kern w:val="24"/>
                <w:sz w:val="24"/>
                <w:szCs w:val="36"/>
              </w:rPr>
            </m:ctrlPr>
          </m:dPr>
          <m:e>
            <m:r>
              <w:rPr>
                <w:rFonts w:ascii="Cambria Math" w:hAnsi="Cambria Math"/>
                <w:color w:val="000000" w:themeColor="text1"/>
                <w:kern w:val="24"/>
                <w:sz w:val="24"/>
                <w:szCs w:val="36"/>
              </w:rPr>
              <m:t>Θ,ф</m:t>
            </m:r>
          </m:e>
        </m:d>
        <m:r>
          <w:rPr>
            <w:rFonts w:ascii="Cambria Math" w:hAnsi="Cambria Math"/>
            <w:color w:val="000000" w:themeColor="text1"/>
            <w:kern w:val="24"/>
            <w:sz w:val="24"/>
            <w:szCs w:val="36"/>
          </w:rPr>
          <m:t>ϵ</m:t>
        </m:r>
        <m:sSup>
          <m:sSupPr>
            <m:ctrlPr>
              <w:rPr>
                <w:rFonts w:ascii="Cambria Math" w:hAnsi="Cambria Math"/>
                <w:i/>
                <w:sz w:val="24"/>
              </w:rPr>
            </m:ctrlPr>
          </m:sSupPr>
          <m:e>
            <m:r>
              <w:rPr>
                <w:rFonts w:ascii="Cambria Math" w:hAnsi="Cambria Math"/>
                <w:sz w:val="24"/>
              </w:rPr>
              <m:t>Ω</m:t>
            </m:r>
          </m:e>
          <m:sup>
            <m:r>
              <w:rPr>
                <w:rFonts w:ascii="Cambria Math" w:hAnsi="Cambria Math"/>
                <w:sz w:val="24"/>
              </w:rPr>
              <m:t>(j)</m:t>
            </m:r>
          </m:sup>
        </m:sSup>
      </m:oMath>
      <w:r w:rsidRPr="00294573">
        <w:rPr>
          <w:sz w:val="24"/>
        </w:rPr>
        <w:t>…………..</w:t>
      </w:r>
      <w:r>
        <w:rPr>
          <w:sz w:val="24"/>
        </w:rPr>
        <w:t xml:space="preserve"> </w:t>
      </w:r>
      <w:r w:rsidRPr="00294573">
        <w:rPr>
          <w:sz w:val="24"/>
        </w:rPr>
        <w:t>(2</w:t>
      </w:r>
      <w:r>
        <w:rPr>
          <w:sz w:val="24"/>
        </w:rPr>
        <w:t>a</w:t>
      </w:r>
      <w:r w:rsidRPr="00294573">
        <w:rPr>
          <w:sz w:val="24"/>
        </w:rPr>
        <w:t>)</w:t>
      </w:r>
      <w:r>
        <w:rPr>
          <w:sz w:val="24"/>
        </w:rPr>
        <w:t>,</w:t>
      </w:r>
    </w:p>
    <w:p w14:paraId="2D23D8AD" w14:textId="432B3FCB" w:rsidR="00616003" w:rsidRPr="009F7008" w:rsidRDefault="00616003" w:rsidP="00616003">
      <w:pPr>
        <w:rPr>
          <w:color w:val="000000" w:themeColor="text1"/>
          <w:kern w:val="24"/>
        </w:rPr>
      </w:pPr>
      <w:r w:rsidRPr="00294573">
        <w:t xml:space="preserve">where  </w:t>
      </w:r>
      <w:bookmarkStart w:id="10" w:name="_Hlk70801548"/>
      <m:oMath>
        <m:sSup>
          <m:sSupPr>
            <m:ctrlPr>
              <w:rPr>
                <w:rFonts w:ascii="Cambria Math" w:hAnsi="Cambria Math"/>
                <w:color w:val="000000" w:themeColor="text1"/>
                <w:kern w:val="24"/>
                <w:sz w:val="24"/>
                <w:szCs w:val="36"/>
              </w:rPr>
            </m:ctrlPr>
          </m:sSupPr>
          <m:e>
            <m:r>
              <m:rPr>
                <m:sty m:val="p"/>
              </m:rPr>
              <w:rPr>
                <w:rFonts w:ascii="Cambria Math" w:hAnsi="Cambria Math"/>
                <w:color w:val="000000" w:themeColor="text1"/>
                <w:kern w:val="24"/>
                <w:sz w:val="24"/>
                <w:szCs w:val="36"/>
              </w:rPr>
              <m:t>α</m:t>
            </m:r>
          </m:e>
          <m:sup>
            <m:r>
              <w:rPr>
                <w:rFonts w:ascii="Cambria Math" w:hAnsi="Cambria Math"/>
                <w:color w:val="000000" w:themeColor="text1"/>
                <w:kern w:val="24"/>
                <w:sz w:val="24"/>
                <w:szCs w:val="36"/>
              </w:rPr>
              <m:t>(j)</m:t>
            </m:r>
          </m:sup>
        </m:sSup>
        <m:r>
          <w:rPr>
            <w:rFonts w:ascii="Cambria Math" w:hAnsi="Cambria Math"/>
            <w:color w:val="000000" w:themeColor="text1"/>
            <w:kern w:val="24"/>
            <w:sz w:val="24"/>
            <w:szCs w:val="36"/>
          </w:rPr>
          <m:t>&gt;</m:t>
        </m:r>
        <w:bookmarkEnd w:id="10"/>
        <m:r>
          <w:rPr>
            <w:rFonts w:ascii="Cambria Math" w:hAnsi="Cambria Math"/>
            <w:color w:val="000000" w:themeColor="text1"/>
            <w:kern w:val="24"/>
            <w:sz w:val="24"/>
            <w:szCs w:val="36"/>
          </w:rPr>
          <m:t>0</m:t>
        </m:r>
      </m:oMath>
      <w:r w:rsidRPr="00294573">
        <w:rPr>
          <w:color w:val="000000" w:themeColor="text1"/>
          <w:kern w:val="24"/>
          <w:sz w:val="24"/>
          <w:szCs w:val="36"/>
        </w:rPr>
        <w:t xml:space="preserve"> </w:t>
      </w:r>
      <w:r w:rsidRPr="00294573">
        <w:rPr>
          <w:color w:val="000000" w:themeColor="text1"/>
          <w:kern w:val="24"/>
        </w:rPr>
        <w:t>is a scale-factor</w:t>
      </w:r>
      <w:r>
        <w:rPr>
          <w:color w:val="000000" w:themeColor="text1"/>
          <w:kern w:val="24"/>
        </w:rPr>
        <w:t xml:space="preserve"> and </w:t>
      </w:r>
      <m:oMath>
        <m:sSup>
          <m:sSupPr>
            <m:ctrlPr>
              <w:rPr>
                <w:rFonts w:ascii="Cambria Math" w:hAnsi="Cambria Math"/>
                <w:i/>
                <w:sz w:val="24"/>
              </w:rPr>
            </m:ctrlPr>
          </m:sSupPr>
          <m:e>
            <m:acc>
              <m:accPr>
                <m:ctrlPr>
                  <w:rPr>
                    <w:rFonts w:ascii="Cambria Math" w:hAnsi="Cambria Math"/>
                    <w:i/>
                    <w:sz w:val="24"/>
                  </w:rPr>
                </m:ctrlPr>
              </m:accPr>
              <m:e>
                <m:r>
                  <w:rPr>
                    <w:rFonts w:ascii="Cambria Math" w:hAnsi="Cambria Math"/>
                    <w:sz w:val="24"/>
                  </w:rPr>
                  <m:t>T</m:t>
                </m:r>
              </m:e>
            </m:acc>
          </m:e>
          <m:sup>
            <m:d>
              <m:dPr>
                <m:ctrlPr>
                  <w:rPr>
                    <w:rFonts w:ascii="Cambria Math" w:hAnsi="Cambria Math"/>
                    <w:i/>
                    <w:sz w:val="24"/>
                  </w:rPr>
                </m:ctrlPr>
              </m:dPr>
              <m:e>
                <m:r>
                  <w:rPr>
                    <w:rFonts w:ascii="Cambria Math" w:hAnsi="Cambria Math"/>
                    <w:sz w:val="24"/>
                  </w:rPr>
                  <m:t>j</m:t>
                </m:r>
              </m:e>
            </m:d>
          </m:sup>
        </m:sSup>
        <m:r>
          <w:rPr>
            <w:rFonts w:ascii="Cambria Math" w:hAnsi="Cambria Math"/>
            <w:sz w:val="24"/>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d>
                  <m:dPr>
                    <m:ctrlPr>
                      <w:rPr>
                        <w:rFonts w:ascii="Cambria Math" w:hAnsi="Cambria Math"/>
                        <w:i/>
                        <w:iCs/>
                        <w:color w:val="000000" w:themeColor="text1"/>
                        <w:kern w:val="24"/>
                      </w:rPr>
                    </m:ctrlPr>
                  </m:dPr>
                  <m:e>
                    <m:r>
                      <w:rPr>
                        <w:rFonts w:ascii="Cambria Math" w:hAnsi="Cambria Math"/>
                        <w:color w:val="000000" w:themeColor="text1"/>
                        <w:kern w:val="24"/>
                      </w:rPr>
                      <m:t>Θ',ф'</m:t>
                    </m:r>
                  </m:e>
                </m:d>
              </m:lim>
            </m:limLow>
          </m:fName>
          <m:e>
            <m:sSup>
              <m:sSupPr>
                <m:ctrlPr>
                  <w:rPr>
                    <w:rFonts w:ascii="Cambria Math" w:hAnsi="Cambria Math"/>
                    <w:i/>
                  </w:rPr>
                </m:ctrlPr>
              </m:sSupPr>
              <m:e>
                <m:r>
                  <w:rPr>
                    <w:rFonts w:ascii="Cambria Math" w:hAnsi="Cambria Math"/>
                  </w:rPr>
                  <m:t>T</m:t>
                </m:r>
              </m:e>
              <m:sup>
                <m:r>
                  <w:rPr>
                    <w:rFonts w:ascii="Cambria Math" w:hAnsi="Cambria Math"/>
                  </w:rPr>
                  <m:t>(j)</m:t>
                </m:r>
              </m:sup>
            </m:sSup>
            <m:d>
              <m:dPr>
                <m:ctrlPr>
                  <w:rPr>
                    <w:rFonts w:ascii="Cambria Math" w:hAnsi="Cambria Math"/>
                    <w:i/>
                  </w:rPr>
                </m:ctrlPr>
              </m:dPr>
              <m:e>
                <m:r>
                  <w:rPr>
                    <w:rFonts w:ascii="Cambria Math" w:hAnsi="Cambria Math"/>
                  </w:rPr>
                  <m:t>Θ',ф'</m:t>
                </m:r>
              </m:e>
            </m:d>
          </m:e>
        </m:func>
      </m:oMath>
      <w:r w:rsidR="00303175">
        <w:t xml:space="preserve"> </w:t>
      </w:r>
      <w:r w:rsidR="00303175" w:rsidRPr="008A0C43">
        <w:t>is the peak composite transmit APP</w:t>
      </w:r>
      <w:r w:rsidRPr="00294573">
        <w:rPr>
          <w:color w:val="000000" w:themeColor="text1"/>
          <w:kern w:val="24"/>
        </w:rPr>
        <w:t>. In words, (2</w:t>
      </w:r>
      <w:r w:rsidR="009633BF">
        <w:rPr>
          <w:color w:val="000000" w:themeColor="text1"/>
          <w:kern w:val="24"/>
        </w:rPr>
        <w:t>a</w:t>
      </w:r>
      <w:r w:rsidRPr="00294573">
        <w:rPr>
          <w:color w:val="000000" w:themeColor="text1"/>
          <w:kern w:val="24"/>
        </w:rPr>
        <w:t xml:space="preserve">) requires </w:t>
      </w:r>
      <w:r w:rsidRPr="00182669">
        <w:rPr>
          <w:color w:val="000000" w:themeColor="text1"/>
          <w:kern w:val="24"/>
        </w:rPr>
        <w:t xml:space="preserve">that the </w:t>
      </w:r>
      <w:r w:rsidRPr="00EB7C8C">
        <w:rPr>
          <w:color w:val="000000" w:themeColor="text1"/>
          <w:kern w:val="24"/>
        </w:rPr>
        <w:t>A</w:t>
      </w:r>
      <w:r w:rsidR="00AF6404" w:rsidRPr="00EB7C8C">
        <w:rPr>
          <w:color w:val="000000" w:themeColor="text1"/>
          <w:kern w:val="24"/>
        </w:rPr>
        <w:t>G</w:t>
      </w:r>
      <w:r w:rsidRPr="00865BAD">
        <w:rPr>
          <w:color w:val="000000" w:themeColor="text1"/>
          <w:kern w:val="24"/>
        </w:rPr>
        <w:t xml:space="preserve">P of the sensing beam </w:t>
      </w:r>
      <w:r w:rsidRPr="00B462C6">
        <w:rPr>
          <w:color w:val="000000" w:themeColor="text1"/>
          <w:kern w:val="24"/>
        </w:rPr>
        <w:t>dominate the normalized composite transmit APP over the</w:t>
      </w:r>
      <w:r w:rsidRPr="009F7008">
        <w:rPr>
          <w:color w:val="000000" w:themeColor="text1"/>
          <w:kern w:val="24"/>
        </w:rPr>
        <w:t xml:space="preserve"> </w:t>
      </w:r>
      <w:r w:rsidRPr="00EB7C8C">
        <w:t xml:space="preserve">set  </w:t>
      </w:r>
      <m:oMath>
        <m:sSup>
          <m:sSupPr>
            <m:ctrlPr>
              <w:rPr>
                <w:rFonts w:ascii="Cambria Math" w:hAnsi="Cambria Math"/>
                <w:i/>
              </w:rPr>
            </m:ctrlPr>
          </m:sSupPr>
          <m:e>
            <m:r>
              <w:rPr>
                <w:rFonts w:ascii="Cambria Math" w:hAnsi="Cambria Math"/>
              </w:rPr>
              <m:t>Ω</m:t>
            </m:r>
          </m:e>
          <m:sup>
            <m:r>
              <w:rPr>
                <w:rFonts w:ascii="Cambria Math" w:hAnsi="Cambria Math"/>
              </w:rPr>
              <m:t>(j)</m:t>
            </m:r>
          </m:sup>
        </m:sSup>
      </m:oMath>
      <w:r w:rsidRPr="00EB7C8C">
        <w:t xml:space="preserve"> of angular coordinates and up</w:t>
      </w:r>
      <w:r w:rsidRPr="00865BAD">
        <w:t xml:space="preserve">-to a factor </w:t>
      </w:r>
      <m:oMath>
        <m:sSup>
          <m:sSupPr>
            <m:ctrlPr>
              <w:rPr>
                <w:rFonts w:ascii="Cambria Math" w:hAnsi="Cambria Math"/>
                <w:color w:val="000000" w:themeColor="text1"/>
                <w:kern w:val="24"/>
              </w:rPr>
            </m:ctrlPr>
          </m:sSupPr>
          <m:e>
            <m:r>
              <m:rPr>
                <m:sty m:val="p"/>
              </m:rPr>
              <w:rPr>
                <w:rFonts w:ascii="Cambria Math" w:hAnsi="Cambria Math"/>
                <w:color w:val="000000" w:themeColor="text1"/>
                <w:kern w:val="24"/>
              </w:rPr>
              <m:t>α</m:t>
            </m:r>
          </m:e>
          <m:sup>
            <m:r>
              <w:rPr>
                <w:rFonts w:ascii="Cambria Math" w:hAnsi="Cambria Math"/>
                <w:color w:val="000000" w:themeColor="text1"/>
                <w:kern w:val="24"/>
              </w:rPr>
              <m:t>(j)</m:t>
            </m:r>
          </m:sup>
        </m:sSup>
      </m:oMath>
      <w:r w:rsidRPr="009F7008">
        <w:rPr>
          <w:color w:val="000000" w:themeColor="text1"/>
          <w:kern w:val="24"/>
        </w:rPr>
        <w:t xml:space="preserve">. One observation on (2a) is that sensing patten should have enough sensing gain at-least directions in which </w:t>
      </w:r>
      <w:r w:rsidR="0023749A" w:rsidRPr="009F7008">
        <w:rPr>
          <w:color w:val="000000" w:themeColor="text1"/>
          <w:kern w:val="24"/>
        </w:rPr>
        <w:t xml:space="preserve">at-least one among the </w:t>
      </w:r>
      <w:r w:rsidRPr="009F7008">
        <w:rPr>
          <w:color w:val="000000" w:themeColor="text1"/>
          <w:kern w:val="24"/>
        </w:rPr>
        <w:t xml:space="preserve">intended TX beams will radiate a larger fraction of input energy, i.e., in directions where </w:t>
      </w:r>
      <m:oMath>
        <m:sSup>
          <m:sSupPr>
            <m:ctrlPr>
              <w:rPr>
                <w:rFonts w:ascii="Cambria Math" w:hAnsi="Cambria Math"/>
                <w:i/>
              </w:rPr>
            </m:ctrlPr>
          </m:sSupPr>
          <m:e>
            <m:r>
              <w:rPr>
                <w:rFonts w:ascii="Cambria Math" w:hAnsi="Cambria Math"/>
              </w:rPr>
              <m:t>T</m:t>
            </m:r>
          </m:e>
          <m:sup>
            <m:r>
              <w:rPr>
                <w:rFonts w:ascii="Cambria Math" w:hAnsi="Cambria Math"/>
              </w:rPr>
              <m:t>(j)</m:t>
            </m:r>
          </m:sup>
        </m:sSup>
        <m:d>
          <m:dPr>
            <m:ctrlPr>
              <w:rPr>
                <w:rFonts w:ascii="Cambria Math" w:hAnsi="Cambria Math"/>
                <w:i/>
              </w:rPr>
            </m:ctrlPr>
          </m:dPr>
          <m:e>
            <m:r>
              <w:rPr>
                <w:rFonts w:ascii="Cambria Math" w:hAnsi="Cambria Math"/>
              </w:rPr>
              <m:t>Θ,ф</m:t>
            </m:r>
          </m:e>
        </m:d>
        <m:r>
          <w:rPr>
            <w:rFonts w:ascii="Cambria Math" w:hAnsi="Cambria Math"/>
          </w:rPr>
          <m:t xml:space="preserve"> </m:t>
        </m:r>
      </m:oMath>
      <w:r w:rsidRPr="009F7008">
        <w:t xml:space="preserve"> is relatively larger</w:t>
      </w:r>
      <w:r w:rsidRPr="009F7008">
        <w:rPr>
          <w:color w:val="000000" w:themeColor="text1"/>
          <w:kern w:val="24"/>
        </w:rPr>
        <w:t xml:space="preserve">. Conversely, directions along which all intended TX beams have small gains can be sensed with a relatively smaller gain.  This is a departure from conventional (quasi-)omni sensing </w:t>
      </w:r>
      <w:r w:rsidR="00B462C6">
        <w:rPr>
          <w:color w:val="000000" w:themeColor="text1"/>
          <w:kern w:val="24"/>
        </w:rPr>
        <w:t xml:space="preserve">generally assumed in 802.11ad and 802.11ay </w:t>
      </w:r>
      <w:r w:rsidRPr="009F7008">
        <w:rPr>
          <w:color w:val="000000" w:themeColor="text1"/>
          <w:kern w:val="24"/>
        </w:rPr>
        <w:t>wherein all directions are sensed with (near-)identical gains.</w:t>
      </w:r>
    </w:p>
    <w:p w14:paraId="533C3804" w14:textId="6D1CC754" w:rsidR="00616003" w:rsidRPr="00A0329F" w:rsidRDefault="00616003" w:rsidP="00616003">
      <w:pPr>
        <w:rPr>
          <w:bCs/>
        </w:rPr>
      </w:pPr>
      <w:r w:rsidRPr="00EB7C8C">
        <w:t xml:space="preserve">We remark that the scale-factor </w:t>
      </w:r>
      <m:oMath>
        <m:sSup>
          <m:sSupPr>
            <m:ctrlPr>
              <w:rPr>
                <w:rFonts w:ascii="Cambria Math" w:hAnsi="Cambria Math"/>
                <w:color w:val="000000" w:themeColor="text1"/>
                <w:kern w:val="24"/>
              </w:rPr>
            </m:ctrlPr>
          </m:sSupPr>
          <m:e>
            <m:r>
              <m:rPr>
                <m:sty m:val="p"/>
              </m:rPr>
              <w:rPr>
                <w:rFonts w:ascii="Cambria Math" w:hAnsi="Cambria Math"/>
                <w:color w:val="000000" w:themeColor="text1"/>
                <w:kern w:val="24"/>
              </w:rPr>
              <m:t>α</m:t>
            </m:r>
          </m:e>
          <m:sup>
            <m:r>
              <w:rPr>
                <w:rFonts w:ascii="Cambria Math" w:hAnsi="Cambria Math"/>
                <w:color w:val="000000" w:themeColor="text1"/>
                <w:kern w:val="24"/>
              </w:rPr>
              <m:t>(j)</m:t>
            </m:r>
          </m:sup>
        </m:sSup>
      </m:oMath>
      <w:r w:rsidRPr="00EB7C8C">
        <w:rPr>
          <w:color w:val="000000" w:themeColor="text1"/>
          <w:kern w:val="24"/>
        </w:rPr>
        <w:t xml:space="preserve"> (also referred to here as an adjustment factor) can be absorbed in the </w:t>
      </w:r>
      <w:r w:rsidRPr="004621CE">
        <w:rPr>
          <w:color w:val="000000" w:themeColor="text1"/>
          <w:kern w:val="24"/>
        </w:rPr>
        <w:t xml:space="preserve">EDT computation </w:t>
      </w:r>
      <w:r w:rsidRPr="004621CE">
        <w:t xml:space="preserve">using the following formula </w:t>
      </w:r>
      <w:r w:rsidR="00AF6404" w:rsidRPr="004621CE">
        <w:t xml:space="preserve">that is a simple modification of the one </w:t>
      </w:r>
      <w:r w:rsidRPr="004621CE">
        <w:t xml:space="preserve">from </w:t>
      </w:r>
      <w:r w:rsidRPr="004621CE">
        <w:rPr>
          <w:bCs/>
        </w:rPr>
        <w:t>EN 302 567 v2.1.20</w:t>
      </w:r>
      <w:r w:rsidRPr="00DF122F">
        <w:rPr>
          <w:bCs/>
        </w:rPr>
        <w:t xml:space="preserve">. Indeed, </w:t>
      </w:r>
      <w:r w:rsidRPr="00A0329F">
        <w:rPr>
          <w:bCs/>
        </w:rPr>
        <w:t xml:space="preserve">we propose to compute EDT </w:t>
      </w:r>
      <w:r w:rsidR="00CB0A1A">
        <w:rPr>
          <w:bCs/>
        </w:rPr>
        <w:t xml:space="preserve">for this cluster </w:t>
      </w:r>
      <w:r w:rsidR="00DC4C5D">
        <w:rPr>
          <w:bCs/>
        </w:rPr>
        <w:t xml:space="preserve">of beams </w:t>
      </w:r>
      <w:r w:rsidRPr="00A0329F">
        <w:rPr>
          <w:bCs/>
        </w:rPr>
        <w:t xml:space="preserve">as </w:t>
      </w:r>
    </w:p>
    <w:p w14:paraId="483DE31F" w14:textId="0025071F" w:rsidR="00616003" w:rsidRPr="00B035BD" w:rsidRDefault="00616003" w:rsidP="00616003">
      <w:pPr>
        <w:rPr>
          <w:lang w:eastAsia="x-none"/>
        </w:rPr>
      </w:pPr>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sSup>
                  <m:sSupPr>
                    <m:ctrlPr>
                      <w:rPr>
                        <w:rFonts w:ascii="Cambria Math" w:hAnsi="Cambria Math"/>
                        <w:color w:val="000000" w:themeColor="text1"/>
                        <w:kern w:val="24"/>
                      </w:rPr>
                    </m:ctrlPr>
                  </m:sSupPr>
                  <m:e>
                    <m:r>
                      <m:rPr>
                        <m:sty m:val="p"/>
                      </m:rPr>
                      <w:rPr>
                        <w:rFonts w:ascii="Cambria Math" w:hAnsi="Cambria Math"/>
                        <w:color w:val="000000" w:themeColor="text1"/>
                        <w:kern w:val="24"/>
                      </w:rPr>
                      <m:t>α</m:t>
                    </m:r>
                  </m:e>
                  <m:sup>
                    <m:d>
                      <m:dPr>
                        <m:ctrlPr>
                          <w:rPr>
                            <w:rFonts w:ascii="Cambria Math" w:hAnsi="Cambria Math"/>
                            <w:i/>
                            <w:color w:val="000000" w:themeColor="text1"/>
                            <w:kern w:val="24"/>
                          </w:rPr>
                        </m:ctrlPr>
                      </m:dPr>
                      <m:e>
                        <m:r>
                          <w:rPr>
                            <w:rFonts w:ascii="Cambria Math" w:hAnsi="Cambria Math"/>
                            <w:color w:val="000000" w:themeColor="text1"/>
                            <w:kern w:val="24"/>
                          </w:rPr>
                          <m:t>j</m:t>
                        </m:r>
                      </m:e>
                    </m:d>
                  </m:sup>
                </m:sSup>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w:r>
        <w:rPr>
          <w:snapToGrid w:val="0"/>
          <w:kern w:val="2"/>
        </w:rPr>
        <w:t xml:space="preserve"> ….(2b)</w:t>
      </w:r>
    </w:p>
    <w:p w14:paraId="093EE4CC" w14:textId="3FA0B11D" w:rsidR="00616003" w:rsidRDefault="00616003" w:rsidP="00616003">
      <w:pPr>
        <w:rPr>
          <w:color w:val="000000" w:themeColor="text1"/>
          <w:kern w:val="24"/>
        </w:rPr>
      </w:pPr>
      <w:r>
        <w:rPr>
          <w:color w:val="000000" w:themeColor="text1"/>
          <w:kern w:val="24"/>
        </w:rPr>
        <w:t xml:space="preserve">where </w:t>
      </w:r>
      <m:oMath>
        <m:sSub>
          <m:sSubPr>
            <m:ctrlPr>
              <w:rPr>
                <w:rFonts w:ascii="Cambria Math" w:hAnsi="Cambria Math"/>
                <w:i/>
                <w:color w:val="000000" w:themeColor="text1"/>
                <w:kern w:val="24"/>
              </w:rPr>
            </m:ctrlPr>
          </m:sSubPr>
          <m:e>
            <m:r>
              <w:rPr>
                <w:rFonts w:ascii="Cambria Math" w:hAnsi="Cambria Math"/>
                <w:color w:val="000000" w:themeColor="text1"/>
                <w:kern w:val="24"/>
              </w:rPr>
              <m:t>P</m:t>
            </m:r>
          </m:e>
          <m:sub>
            <m:r>
              <w:rPr>
                <w:rFonts w:ascii="Cambria Math" w:hAnsi="Cambria Math"/>
                <w:color w:val="000000" w:themeColor="text1"/>
                <w:kern w:val="24"/>
              </w:rPr>
              <m:t>out</m:t>
            </m:r>
          </m:sub>
        </m:sSub>
      </m:oMath>
      <w:r>
        <w:rPr>
          <w:color w:val="000000" w:themeColor="text1"/>
          <w:kern w:val="24"/>
        </w:rPr>
        <w:t xml:space="preserve"> is the maximal EIRP </w:t>
      </w:r>
      <w:r w:rsidR="002E5670">
        <w:rPr>
          <w:color w:val="000000" w:themeColor="text1"/>
          <w:kern w:val="24"/>
        </w:rPr>
        <w:t>over th</w:t>
      </w:r>
      <w:r w:rsidR="00DC4C5D">
        <w:rPr>
          <w:color w:val="000000" w:themeColor="text1"/>
          <w:kern w:val="24"/>
        </w:rPr>
        <w:t>is</w:t>
      </w:r>
      <w:r w:rsidR="002E5670">
        <w:rPr>
          <w:color w:val="000000" w:themeColor="text1"/>
          <w:kern w:val="24"/>
        </w:rPr>
        <w:t xml:space="preserve"> cluster of beams </w:t>
      </w:r>
      <w:r>
        <w:rPr>
          <w:color w:val="000000" w:themeColor="text1"/>
          <w:kern w:val="24"/>
        </w:rPr>
        <w:t xml:space="preserve">during the CoT, i.e.,  </w:t>
      </w:r>
      <m:oMath>
        <m:func>
          <m:funcPr>
            <m:ctrlPr>
              <w:rPr>
                <w:rFonts w:ascii="Cambria Math" w:hAnsi="Cambria Math"/>
                <w:i/>
              </w:rPr>
            </m:ctrlPr>
          </m:funcPr>
          <m:fName>
            <m:sSub>
              <m:sSubPr>
                <m:ctrlPr>
                  <w:rPr>
                    <w:rFonts w:ascii="Cambria Math" w:hAnsi="Cambria Math"/>
                    <w:i/>
                    <w:color w:val="000000" w:themeColor="text1"/>
                    <w:kern w:val="24"/>
                  </w:rPr>
                </m:ctrlPr>
              </m:sSubPr>
              <m:e>
                <m:r>
                  <w:rPr>
                    <w:rFonts w:ascii="Cambria Math" w:hAnsi="Cambria Math"/>
                    <w:color w:val="000000" w:themeColor="text1"/>
                    <w:kern w:val="24"/>
                  </w:rPr>
                  <m:t>P</m:t>
                </m:r>
              </m:e>
              <m:sub>
                <m:r>
                  <w:rPr>
                    <w:rFonts w:ascii="Cambria Math" w:hAnsi="Cambria Math"/>
                    <w:color w:val="000000" w:themeColor="text1"/>
                    <w:kern w:val="24"/>
                  </w:rPr>
                  <m:t>out</m:t>
                </m:r>
              </m:sub>
            </m:sSub>
            <m:r>
              <w:rPr>
                <w:rFonts w:ascii="Cambria Math" w:hAnsi="Cambria Math"/>
                <w:color w:val="000000" w:themeColor="text1"/>
                <w:kern w:val="24"/>
              </w:rPr>
              <m:t>=</m:t>
            </m:r>
            <m:limLow>
              <m:limLowPr>
                <m:ctrlPr>
                  <w:rPr>
                    <w:rFonts w:ascii="Cambria Math" w:hAnsi="Cambria Math"/>
                    <w:i/>
                  </w:rPr>
                </m:ctrlPr>
              </m:limLowPr>
              <m:e>
                <m:r>
                  <m:rPr>
                    <m:sty m:val="p"/>
                  </m:rPr>
                  <w:rPr>
                    <w:rFonts w:ascii="Cambria Math" w:hAnsi="Cambria Math"/>
                  </w:rPr>
                  <m:t>max</m:t>
                </m:r>
              </m:e>
              <m:lim>
                <m:d>
                  <m:dPr>
                    <m:ctrlPr>
                      <w:rPr>
                        <w:rFonts w:ascii="Cambria Math" w:hAnsi="Cambria Math"/>
                        <w:i/>
                        <w:iCs/>
                        <w:color w:val="000000" w:themeColor="text1"/>
                        <w:kern w:val="24"/>
                      </w:rPr>
                    </m:ctrlPr>
                  </m:dPr>
                  <m:e>
                    <m:r>
                      <w:rPr>
                        <w:rFonts w:ascii="Cambria Math" w:hAnsi="Cambria Math"/>
                        <w:color w:val="000000" w:themeColor="text1"/>
                        <w:kern w:val="24"/>
                      </w:rPr>
                      <m:t>Θ',ф'</m:t>
                    </m:r>
                  </m:e>
                </m:d>
              </m:lim>
            </m:limLow>
          </m:fName>
          <m:e>
            <m:sSup>
              <m:sSupPr>
                <m:ctrlPr>
                  <w:rPr>
                    <w:rFonts w:ascii="Cambria Math" w:hAnsi="Cambria Math"/>
                    <w:i/>
                  </w:rPr>
                </m:ctrlPr>
              </m:sSupPr>
              <m:e>
                <m:r>
                  <w:rPr>
                    <w:rFonts w:ascii="Cambria Math" w:hAnsi="Cambria Math"/>
                  </w:rPr>
                  <m:t>T</m:t>
                </m:r>
              </m:e>
              <m:sup>
                <m:r>
                  <w:rPr>
                    <w:rFonts w:ascii="Cambria Math" w:hAnsi="Cambria Math"/>
                  </w:rPr>
                  <m:t>(j)</m:t>
                </m:r>
              </m:sup>
            </m:sSup>
            <m:d>
              <m:dPr>
                <m:ctrlPr>
                  <w:rPr>
                    <w:rFonts w:ascii="Cambria Math" w:hAnsi="Cambria Math"/>
                    <w:i/>
                  </w:rPr>
                </m:ctrlPr>
              </m:dPr>
              <m:e>
                <m:r>
                  <w:rPr>
                    <w:rFonts w:ascii="Cambria Math" w:hAnsi="Cambria Math"/>
                  </w:rPr>
                  <m:t>Θ',ф'</m:t>
                </m:r>
              </m:e>
            </m:d>
          </m:e>
        </m:func>
      </m:oMath>
      <w:r>
        <w:t xml:space="preserve">. </w:t>
      </w:r>
      <w:r w:rsidR="00965FCE">
        <w:t xml:space="preserve"> </w:t>
      </w:r>
      <w:r w:rsidRPr="00EB7C8C">
        <w:rPr>
          <w:color w:val="000000" w:themeColor="text1"/>
          <w:kern w:val="24"/>
        </w:rPr>
        <w:t>D</w:t>
      </w:r>
      <w:r w:rsidRPr="00865BAD">
        <w:rPr>
          <w:color w:val="000000" w:themeColor="text1"/>
          <w:kern w:val="24"/>
        </w:rPr>
        <w:t>esign principles be</w:t>
      </w:r>
      <w:r w:rsidRPr="00B462C6">
        <w:rPr>
          <w:color w:val="000000" w:themeColor="text1"/>
          <w:kern w:val="24"/>
        </w:rPr>
        <w:t>hind (2b) are</w:t>
      </w:r>
      <w:r w:rsidRPr="00321F4E">
        <w:rPr>
          <w:color w:val="000000" w:themeColor="text1"/>
          <w:kern w:val="24"/>
        </w:rPr>
        <w:t xml:space="preserve"> the following. </w:t>
      </w:r>
      <w:r w:rsidR="00AF6404" w:rsidRPr="00FD06AC">
        <w:rPr>
          <w:color w:val="000000" w:themeColor="text1"/>
          <w:kern w:val="24"/>
        </w:rPr>
        <w:t>Firstly, a</w:t>
      </w:r>
      <w:r w:rsidRPr="00FD06AC">
        <w:rPr>
          <w:color w:val="000000" w:themeColor="text1"/>
          <w:kern w:val="24"/>
        </w:rPr>
        <w:t xml:space="preserve">long each angular direction </w:t>
      </w:r>
      <m:oMath>
        <m:d>
          <m:dPr>
            <m:ctrlPr>
              <w:rPr>
                <w:rFonts w:ascii="Cambria Math" w:hAnsi="Cambria Math"/>
                <w:i/>
                <w:iCs/>
                <w:color w:val="000000" w:themeColor="text1"/>
                <w:kern w:val="24"/>
              </w:rPr>
            </m:ctrlPr>
          </m:dPr>
          <m:e>
            <m:r>
              <w:rPr>
                <w:rFonts w:ascii="Cambria Math" w:hAnsi="Cambria Math"/>
                <w:color w:val="000000" w:themeColor="text1"/>
                <w:kern w:val="24"/>
              </w:rPr>
              <m:t>Θ,ф</m:t>
            </m:r>
          </m:e>
        </m:d>
        <m:r>
          <w:rPr>
            <w:rFonts w:ascii="Cambria Math" w:hAnsi="Cambria Math"/>
            <w:color w:val="000000" w:themeColor="text1"/>
            <w:kern w:val="24"/>
          </w:rPr>
          <m:t xml:space="preserve"> </m:t>
        </m:r>
      </m:oMath>
      <w:r w:rsidRPr="00B462C6">
        <w:rPr>
          <w:color w:val="000000" w:themeColor="text1"/>
          <w:kern w:val="24"/>
        </w:rPr>
        <w:t>the LBT initiating node can be considered to be</w:t>
      </w:r>
      <w:r w:rsidRPr="004621CE">
        <w:rPr>
          <w:color w:val="000000" w:themeColor="text1"/>
          <w:kern w:val="24"/>
        </w:rPr>
        <w:t xml:space="preserve"> a virtual isotropically radiating node which will transmit with power </w:t>
      </w:r>
      <m:oMath>
        <m:sSup>
          <m:sSupPr>
            <m:ctrlPr>
              <w:rPr>
                <w:rFonts w:ascii="Cambria Math" w:hAnsi="Cambria Math"/>
                <w:i/>
              </w:rPr>
            </m:ctrlPr>
          </m:sSupPr>
          <m:e>
            <m:r>
              <w:rPr>
                <w:rFonts w:ascii="Cambria Math" w:hAnsi="Cambria Math"/>
              </w:rPr>
              <m:t>T</m:t>
            </m:r>
          </m:e>
          <m:sup>
            <m:r>
              <w:rPr>
                <w:rFonts w:ascii="Cambria Math" w:hAnsi="Cambria Math"/>
              </w:rPr>
              <m:t>(j)</m:t>
            </m:r>
          </m:sup>
        </m:sSup>
        <m:d>
          <m:dPr>
            <m:ctrlPr>
              <w:rPr>
                <w:rFonts w:ascii="Cambria Math" w:hAnsi="Cambria Math"/>
                <w:i/>
              </w:rPr>
            </m:ctrlPr>
          </m:dPr>
          <m:e>
            <m:r>
              <w:rPr>
                <w:rFonts w:ascii="Cambria Math" w:hAnsi="Cambria Math"/>
              </w:rPr>
              <m:t>Θ,ф</m:t>
            </m:r>
          </m:e>
        </m:d>
        <m:r>
          <w:rPr>
            <w:rFonts w:ascii="Cambria Math" w:hAnsi="Cambria Math"/>
          </w:rPr>
          <m:t xml:space="preserve"> </m:t>
        </m:r>
      </m:oMath>
      <w:r w:rsidRPr="009F7008">
        <w:t xml:space="preserve">upon acquiring the channel. Then, further supposing this virtual node to use omni sensing, appropriate EDT to use would be (2b) </w:t>
      </w:r>
      <w:r w:rsidR="00164EDC" w:rsidRPr="009F7008">
        <w:t xml:space="preserve">but </w:t>
      </w:r>
      <w:r w:rsidRPr="009F7008">
        <w:t xml:space="preserve">where </w:t>
      </w:r>
      <m:oMath>
        <m:sSup>
          <m:sSupPr>
            <m:ctrlPr>
              <w:rPr>
                <w:rFonts w:ascii="Cambria Math" w:hAnsi="Cambria Math"/>
                <w:color w:val="000000" w:themeColor="text1"/>
                <w:kern w:val="24"/>
              </w:rPr>
            </m:ctrlPr>
          </m:sSupPr>
          <m:e>
            <m:r>
              <m:rPr>
                <m:sty m:val="p"/>
              </m:rPr>
              <w:rPr>
                <w:rFonts w:ascii="Cambria Math" w:hAnsi="Cambria Math"/>
                <w:color w:val="000000" w:themeColor="text1"/>
                <w:kern w:val="24"/>
              </w:rPr>
              <m:t>α</m:t>
            </m:r>
          </m:e>
          <m:sup>
            <m:d>
              <m:dPr>
                <m:ctrlPr>
                  <w:rPr>
                    <w:rFonts w:ascii="Cambria Math" w:hAnsi="Cambria Math"/>
                    <w:i/>
                    <w:color w:val="000000" w:themeColor="text1"/>
                    <w:kern w:val="24"/>
                  </w:rPr>
                </m:ctrlPr>
              </m:dPr>
              <m:e>
                <m:r>
                  <w:rPr>
                    <w:rFonts w:ascii="Cambria Math" w:hAnsi="Cambria Math"/>
                    <w:color w:val="000000" w:themeColor="text1"/>
                    <w:kern w:val="24"/>
                  </w:rPr>
                  <m:t>j</m:t>
                </m:r>
              </m:e>
            </m:d>
          </m:sup>
        </m:sSup>
        <m:r>
          <w:rPr>
            <w:rFonts w:ascii="Cambria Math" w:hAnsi="Cambria Math"/>
            <w:color w:val="000000" w:themeColor="text1"/>
            <w:kern w:val="24"/>
          </w:rPr>
          <m:t>=1</m:t>
        </m:r>
      </m:oMath>
      <w:r w:rsidR="003D4797" w:rsidRPr="00865BAD">
        <w:rPr>
          <w:color w:val="000000" w:themeColor="text1"/>
          <w:kern w:val="24"/>
        </w:rPr>
        <w:t xml:space="preserve"> and </w:t>
      </w:r>
      <m:oMath>
        <m:sSub>
          <m:sSubPr>
            <m:ctrlPr>
              <w:rPr>
                <w:rFonts w:ascii="Cambria Math" w:hAnsi="Cambria Math"/>
                <w:i/>
                <w:color w:val="000000" w:themeColor="text1"/>
                <w:kern w:val="24"/>
              </w:rPr>
            </m:ctrlPr>
          </m:sSubPr>
          <m:e>
            <m:r>
              <w:rPr>
                <w:rFonts w:ascii="Cambria Math" w:hAnsi="Cambria Math"/>
                <w:color w:val="000000" w:themeColor="text1"/>
                <w:kern w:val="24"/>
              </w:rPr>
              <m:t>P</m:t>
            </m:r>
          </m:e>
          <m:sub>
            <m:r>
              <w:rPr>
                <w:rFonts w:ascii="Cambria Math" w:hAnsi="Cambria Math"/>
                <w:color w:val="000000" w:themeColor="text1"/>
                <w:kern w:val="24"/>
              </w:rPr>
              <m:t>out</m:t>
            </m:r>
          </m:sub>
        </m:sSub>
        <m:r>
          <w:rPr>
            <w:rFonts w:ascii="Cambria Math" w:hAnsi="Cambria Math"/>
            <w:color w:val="000000" w:themeColor="text1"/>
            <w:kern w:val="24"/>
          </w:rPr>
          <m:t>=</m:t>
        </m:r>
        <m:sSup>
          <m:sSupPr>
            <m:ctrlPr>
              <w:rPr>
                <w:rFonts w:ascii="Cambria Math" w:hAnsi="Cambria Math"/>
                <w:i/>
              </w:rPr>
            </m:ctrlPr>
          </m:sSupPr>
          <m:e>
            <m:r>
              <w:rPr>
                <w:rFonts w:ascii="Cambria Math" w:hAnsi="Cambria Math"/>
              </w:rPr>
              <m:t>T</m:t>
            </m:r>
          </m:e>
          <m:sup>
            <m:r>
              <w:rPr>
                <w:rFonts w:ascii="Cambria Math" w:hAnsi="Cambria Math"/>
              </w:rPr>
              <m:t>(j)</m:t>
            </m:r>
          </m:sup>
        </m:sSup>
        <m:d>
          <m:dPr>
            <m:ctrlPr>
              <w:rPr>
                <w:rFonts w:ascii="Cambria Math" w:hAnsi="Cambria Math"/>
                <w:i/>
              </w:rPr>
            </m:ctrlPr>
          </m:dPr>
          <m:e>
            <m:r>
              <w:rPr>
                <w:rFonts w:ascii="Cambria Math" w:hAnsi="Cambria Math"/>
              </w:rPr>
              <m:t>Θ,ф</m:t>
            </m:r>
          </m:e>
        </m:d>
      </m:oMath>
      <w:r w:rsidR="00164EDC" w:rsidRPr="00EB7C8C">
        <w:rPr>
          <w:color w:val="000000" w:themeColor="text1"/>
          <w:kern w:val="24"/>
        </w:rPr>
        <w:t>.</w:t>
      </w:r>
      <w:r w:rsidRPr="009F7008">
        <w:t xml:space="preserve"> Given </w:t>
      </w:r>
      <w:r w:rsidR="003D4797" w:rsidRPr="009F7008">
        <w:t xml:space="preserve">instead </w:t>
      </w:r>
      <w:r w:rsidRPr="009F7008">
        <w:t>a sensing pattern that satisfies (2a) we need to use the EDT in (2b)</w:t>
      </w:r>
      <w:r w:rsidR="003D4797" w:rsidRPr="009F7008">
        <w:t>.</w:t>
      </w:r>
      <w:r w:rsidRPr="009F7008">
        <w:t xml:space="preserve"> </w:t>
      </w:r>
      <w:r w:rsidRPr="00EB7C8C">
        <w:rPr>
          <w:color w:val="000000" w:themeColor="text1"/>
          <w:kern w:val="24"/>
        </w:rPr>
        <w:t>The latter will ensure th</w:t>
      </w:r>
      <w:r w:rsidRPr="00865BAD">
        <w:rPr>
          <w:color w:val="000000" w:themeColor="text1"/>
          <w:kern w:val="24"/>
        </w:rPr>
        <w:t xml:space="preserve">at all ongoing transmissions flagged </w:t>
      </w:r>
      <w:r w:rsidR="009E0C21" w:rsidRPr="004621CE">
        <w:rPr>
          <w:color w:val="000000" w:themeColor="text1"/>
          <w:kern w:val="24"/>
        </w:rPr>
        <w:t xml:space="preserve">(i.e., detected with enough signal strength to result in the channel being labeled busy) </w:t>
      </w:r>
      <w:r w:rsidRPr="00DF122F">
        <w:rPr>
          <w:color w:val="000000" w:themeColor="text1"/>
          <w:kern w:val="24"/>
        </w:rPr>
        <w:t>by the</w:t>
      </w:r>
      <w:r w:rsidRPr="00A0329F">
        <w:rPr>
          <w:color w:val="000000" w:themeColor="text1"/>
          <w:kern w:val="24"/>
        </w:rPr>
        <w:t xml:space="preserve"> virtual node when using omni sensing will also be flagged when using the available sensing satisfyi</w:t>
      </w:r>
      <w:r w:rsidRPr="00BF2769">
        <w:rPr>
          <w:color w:val="000000" w:themeColor="text1"/>
          <w:kern w:val="24"/>
        </w:rPr>
        <w:t>ng</w:t>
      </w:r>
      <w:r>
        <w:rPr>
          <w:color w:val="000000" w:themeColor="text1"/>
          <w:kern w:val="24"/>
        </w:rPr>
        <w:t xml:space="preserve"> (2a).  </w:t>
      </w:r>
      <w:r w:rsidR="000C0A4B">
        <w:rPr>
          <w:color w:val="000000" w:themeColor="text1"/>
          <w:kern w:val="24"/>
        </w:rPr>
        <w:t xml:space="preserve">Notice here that </w:t>
      </w:r>
      <m:oMath>
        <m:r>
          <w:rPr>
            <w:rFonts w:ascii="Cambria Math" w:hAnsi="Cambria Math"/>
            <w:color w:val="000000" w:themeColor="text1"/>
            <w:kern w:val="24"/>
          </w:rPr>
          <m:t>1/</m:t>
        </m:r>
        <m:sSup>
          <m:sSupPr>
            <m:ctrlPr>
              <w:rPr>
                <w:rFonts w:ascii="Cambria Math" w:hAnsi="Cambria Math"/>
                <w:color w:val="000000" w:themeColor="text1"/>
                <w:kern w:val="24"/>
              </w:rPr>
            </m:ctrlPr>
          </m:sSupPr>
          <m:e>
            <m:r>
              <m:rPr>
                <m:sty m:val="p"/>
              </m:rPr>
              <w:rPr>
                <w:rFonts w:ascii="Cambria Math" w:hAnsi="Cambria Math"/>
                <w:color w:val="000000" w:themeColor="text1"/>
                <w:kern w:val="24"/>
              </w:rPr>
              <m:t>min⁡(α</m:t>
            </m:r>
          </m:e>
          <m:sup>
            <m:d>
              <m:dPr>
                <m:ctrlPr>
                  <w:rPr>
                    <w:rFonts w:ascii="Cambria Math" w:hAnsi="Cambria Math"/>
                    <w:i/>
                    <w:color w:val="000000" w:themeColor="text1"/>
                    <w:kern w:val="24"/>
                  </w:rPr>
                </m:ctrlPr>
              </m:dPr>
              <m:e>
                <m:r>
                  <w:rPr>
                    <w:rFonts w:ascii="Cambria Math" w:hAnsi="Cambria Math"/>
                    <w:color w:val="000000" w:themeColor="text1"/>
                    <w:kern w:val="24"/>
                  </w:rPr>
                  <m:t>j</m:t>
                </m:r>
              </m:e>
            </m:d>
          </m:sup>
        </m:sSup>
        <m:r>
          <w:rPr>
            <w:rFonts w:ascii="Cambria Math" w:hAnsi="Cambria Math"/>
            <w:color w:val="000000" w:themeColor="text1"/>
            <w:kern w:val="24"/>
          </w:rPr>
          <m:t>,1)</m:t>
        </m:r>
      </m:oMath>
      <w:r w:rsidR="000C0A4B">
        <w:rPr>
          <w:color w:val="000000" w:themeColor="text1"/>
          <w:kern w:val="24"/>
        </w:rPr>
        <w:t xml:space="preserve"> can be viewed as a shortfall in the sensing gain over the set of directions </w:t>
      </w:r>
      <m:oMath>
        <m:sSup>
          <m:sSupPr>
            <m:ctrlPr>
              <w:rPr>
                <w:rFonts w:ascii="Cambria Math" w:hAnsi="Cambria Math"/>
                <w:i/>
              </w:rPr>
            </m:ctrlPr>
          </m:sSupPr>
          <m:e>
            <m:r>
              <w:rPr>
                <w:rFonts w:ascii="Cambria Math" w:hAnsi="Cambria Math"/>
              </w:rPr>
              <m:t>Ω</m:t>
            </m:r>
          </m:e>
          <m:sup>
            <m:r>
              <w:rPr>
                <w:rFonts w:ascii="Cambria Math" w:hAnsi="Cambria Math"/>
              </w:rPr>
              <m:t>(j)</m:t>
            </m:r>
          </m:sup>
        </m:sSup>
        <m:r>
          <w:rPr>
            <w:rFonts w:ascii="Cambria Math" w:hAnsi="Cambria Math"/>
          </w:rPr>
          <m:t>.</m:t>
        </m:r>
      </m:oMath>
      <w:r w:rsidR="007F3455">
        <w:t xml:space="preserve"> </w:t>
      </w:r>
      <w:bookmarkStart w:id="11" w:name="_Hlk71556344"/>
      <w:r w:rsidR="007F3455">
        <w:t xml:space="preserve">This implies that if a given sensing beam is narrower in that it does not have sufficient gain over at-least some prominent directions then it will have a larger shortfall and consequently </w:t>
      </w:r>
      <w:r w:rsidR="00AE48A9">
        <w:t xml:space="preserve">(conforming to intuition) </w:t>
      </w:r>
      <w:r w:rsidR="004858A1">
        <w:t xml:space="preserve">this </w:t>
      </w:r>
      <w:r w:rsidR="00AE48A9">
        <w:t xml:space="preserve">will </w:t>
      </w:r>
      <w:r w:rsidR="007F3455">
        <w:t xml:space="preserve">result in smaller EDT as per (2b). </w:t>
      </w:r>
      <w:bookmarkEnd w:id="11"/>
      <w:r w:rsidR="009E0C21" w:rsidRPr="008A0C43">
        <w:t>Compensating the EDT using this shortfall ensures an appropriate EDT so that lower sensed energy (due to the shortfall in sensing gain) is not compared to the original higher EDT, and thereby respecting LBT requirements.</w:t>
      </w:r>
    </w:p>
    <w:p w14:paraId="4932AF90" w14:textId="208F005F" w:rsidR="005812D3" w:rsidRDefault="002A06C2" w:rsidP="00D24944">
      <w:pPr>
        <w:rPr>
          <w:lang w:eastAsia="x-none"/>
        </w:rPr>
      </w:pPr>
      <w:r>
        <w:rPr>
          <w:lang w:eastAsia="x-none"/>
        </w:rPr>
        <w:t>An issue that can arise with directional LBT is that of blind spots. We illustrate on such situation in Fig.3.</w:t>
      </w:r>
      <w:r w:rsidRPr="002A06C2">
        <w:t xml:space="preserve"> </w:t>
      </w:r>
      <w:r w:rsidRPr="002A06C2">
        <w:rPr>
          <w:lang w:eastAsia="x-none"/>
        </w:rPr>
        <w:t>Here, there is an ongoing transmission between (TX-A and RX-A) and an LBT process is initiated by TX-B in order to setup a new transmission between (TX-B and RX-B). However, LBT performed at TX-B using a sensing beam</w:t>
      </w:r>
      <w:r>
        <w:rPr>
          <w:lang w:eastAsia="x-none"/>
        </w:rPr>
        <w:t xml:space="preserve">-B </w:t>
      </w:r>
      <w:r w:rsidRPr="002A06C2">
        <w:rPr>
          <w:lang w:eastAsia="x-none"/>
        </w:rPr>
        <w:t>aligned with the intended transmit beam as depicted Fig</w:t>
      </w:r>
      <w:r>
        <w:rPr>
          <w:lang w:eastAsia="x-none"/>
        </w:rPr>
        <w:t>.3</w:t>
      </w:r>
      <w:r w:rsidRPr="002A06C2">
        <w:rPr>
          <w:lang w:eastAsia="x-none"/>
        </w:rPr>
        <w:t>A cannot sense the ongoing transmission. On the other hand, an augmented sensing beam, wherein a back lobe is added to the original sensing beam, as shown in Fig</w:t>
      </w:r>
      <w:r>
        <w:rPr>
          <w:lang w:eastAsia="x-none"/>
        </w:rPr>
        <w:t>.3</w:t>
      </w:r>
      <w:r w:rsidRPr="002A06C2">
        <w:rPr>
          <w:lang w:eastAsia="x-none"/>
        </w:rPr>
        <w:t xml:space="preserve">B, can sense the ongoing transmission. Using the augmented sensing beam TX-B will correctly declare channel busy and </w:t>
      </w:r>
      <w:r w:rsidR="00B462C6">
        <w:rPr>
          <w:color w:val="000000" w:themeColor="text1"/>
          <w:kern w:val="24"/>
          <w:u w:val="single"/>
        </w:rPr>
        <w:t>refrain from transmitting</w:t>
      </w:r>
      <w:r w:rsidRPr="002A06C2">
        <w:rPr>
          <w:lang w:eastAsia="x-none"/>
        </w:rPr>
        <w:t>. Note that using the back-lobe is not reverting to an omni sensing pattern and does not lead to excessive exposed nodes.</w:t>
      </w:r>
      <w:r w:rsidR="008E5AB0">
        <w:rPr>
          <w:lang w:eastAsia="x-none"/>
        </w:rPr>
        <w:t xml:space="preserve"> </w:t>
      </w:r>
      <w:r w:rsidR="005302D2">
        <w:rPr>
          <w:lang w:eastAsia="x-none"/>
        </w:rPr>
        <w:t>Moreover, the set of directions opposite to the intended transmission can also be determined using the composite transmit APP.</w:t>
      </w:r>
      <w:r w:rsidR="005302D2" w:rsidRPr="002A06C2">
        <w:rPr>
          <w:lang w:eastAsia="x-none"/>
        </w:rPr>
        <w:t xml:space="preserve"> </w:t>
      </w:r>
      <w:r w:rsidR="008E5AB0">
        <w:rPr>
          <w:lang w:eastAsia="x-none"/>
        </w:rPr>
        <w:t xml:space="preserve">The extent or width of the back-lobe and the corresponding sensing gain can be further optimized.  </w:t>
      </w:r>
      <w:r>
        <w:rPr>
          <w:lang w:eastAsia="x-none"/>
        </w:rPr>
        <w:t>To summarize, our proposal is the following.</w:t>
      </w:r>
      <w:r w:rsidR="008E5AB0">
        <w:rPr>
          <w:lang w:eastAsia="x-none"/>
        </w:rPr>
        <w:t xml:space="preserve"> </w:t>
      </w:r>
      <w:bookmarkStart w:id="12" w:name="_Hlk71165524"/>
    </w:p>
    <w:p w14:paraId="3EC7360B" w14:textId="6DFE2086" w:rsidR="00D24944" w:rsidRPr="00D24944" w:rsidRDefault="00D24944" w:rsidP="00D24944">
      <w:pPr>
        <w:rPr>
          <w:b/>
          <w:bCs/>
          <w:sz w:val="20"/>
          <w:lang w:eastAsia="ko-KR"/>
        </w:rPr>
      </w:pPr>
      <w:r w:rsidRPr="00D24944">
        <w:rPr>
          <w:b/>
          <w:bCs/>
          <w:lang w:eastAsia="x-none"/>
        </w:rPr>
        <w:t>Proposal</w:t>
      </w:r>
      <w:r w:rsidR="009633BF">
        <w:rPr>
          <w:b/>
          <w:bCs/>
          <w:lang w:eastAsia="x-none"/>
        </w:rPr>
        <w:t xml:space="preserve"> </w:t>
      </w:r>
      <w:r w:rsidR="00975713">
        <w:rPr>
          <w:b/>
          <w:bCs/>
          <w:lang w:eastAsia="x-none"/>
        </w:rPr>
        <w:t>4</w:t>
      </w:r>
      <w:r w:rsidRPr="00D24944">
        <w:rPr>
          <w:b/>
          <w:bCs/>
          <w:lang w:eastAsia="x-none"/>
        </w:rPr>
        <w:t xml:space="preserve">: </w:t>
      </w:r>
      <w:r w:rsidRPr="00D24944">
        <w:rPr>
          <w:b/>
          <w:bCs/>
          <w:lang w:eastAsia="ko-KR"/>
        </w:rPr>
        <w:t xml:space="preserve">Consider the use of </w:t>
      </w:r>
      <w:r w:rsidR="00DD21A6">
        <w:rPr>
          <w:b/>
          <w:bCs/>
          <w:lang w:eastAsia="ko-KR"/>
        </w:rPr>
        <w:t xml:space="preserve">composite transmit angular power profile </w:t>
      </w:r>
      <w:r w:rsidR="000C0A4B">
        <w:rPr>
          <w:b/>
          <w:bCs/>
          <w:lang w:eastAsia="ko-KR"/>
        </w:rPr>
        <w:t>(APP)</w:t>
      </w:r>
      <w:r w:rsidR="00DD21A6">
        <w:rPr>
          <w:b/>
          <w:bCs/>
          <w:lang w:eastAsia="ko-KR"/>
        </w:rPr>
        <w:t xml:space="preserve"> </w:t>
      </w:r>
      <w:r w:rsidR="00167146">
        <w:rPr>
          <w:b/>
          <w:bCs/>
          <w:lang w:eastAsia="ko-KR"/>
        </w:rPr>
        <w:t xml:space="preserve">of an intended set of transmit beams </w:t>
      </w:r>
      <w:r w:rsidR="00DD21A6">
        <w:rPr>
          <w:b/>
          <w:bCs/>
          <w:lang w:eastAsia="ko-KR"/>
        </w:rPr>
        <w:t xml:space="preserve">to design </w:t>
      </w:r>
      <w:r w:rsidR="00167146">
        <w:rPr>
          <w:b/>
          <w:bCs/>
          <w:lang w:eastAsia="ko-KR"/>
        </w:rPr>
        <w:t xml:space="preserve">sensing beam that </w:t>
      </w:r>
      <w:r w:rsidR="00DD21A6">
        <w:rPr>
          <w:b/>
          <w:bCs/>
          <w:lang w:eastAsia="ko-KR"/>
        </w:rPr>
        <w:t>“cover</w:t>
      </w:r>
      <w:r w:rsidR="00167146">
        <w:rPr>
          <w:b/>
          <w:bCs/>
          <w:lang w:eastAsia="ko-KR"/>
        </w:rPr>
        <w:t>s</w:t>
      </w:r>
      <w:r w:rsidR="00DD21A6">
        <w:rPr>
          <w:b/>
          <w:bCs/>
          <w:lang w:eastAsia="ko-KR"/>
        </w:rPr>
        <w:t xml:space="preserve">” </w:t>
      </w:r>
      <w:r w:rsidR="00167146">
        <w:rPr>
          <w:b/>
          <w:bCs/>
          <w:lang w:eastAsia="ko-KR"/>
        </w:rPr>
        <w:t xml:space="preserve">that intended </w:t>
      </w:r>
      <w:r w:rsidR="003D4797">
        <w:rPr>
          <w:b/>
          <w:bCs/>
          <w:lang w:eastAsia="ko-KR"/>
        </w:rPr>
        <w:t>set</w:t>
      </w:r>
      <w:r w:rsidR="002A06C2">
        <w:rPr>
          <w:b/>
          <w:bCs/>
          <w:lang w:eastAsia="ko-KR"/>
        </w:rPr>
        <w:t>:</w:t>
      </w:r>
    </w:p>
    <w:p w14:paraId="7B712241" w14:textId="12524156" w:rsidR="00D24944" w:rsidRDefault="00167146" w:rsidP="00C75BF7">
      <w:pPr>
        <w:pStyle w:val="ListParagraph"/>
        <w:numPr>
          <w:ilvl w:val="0"/>
          <w:numId w:val="9"/>
        </w:numPr>
        <w:kinsoku w:val="0"/>
        <w:overflowPunct w:val="0"/>
        <w:adjustRightInd w:val="0"/>
        <w:snapToGrid w:val="0"/>
        <w:spacing w:after="60" w:line="240" w:lineRule="auto"/>
        <w:ind w:left="360"/>
        <w:contextualSpacing w:val="0"/>
        <w:rPr>
          <w:b/>
          <w:bCs/>
          <w:lang w:eastAsia="ko-KR"/>
        </w:rPr>
      </w:pPr>
      <w:r>
        <w:rPr>
          <w:b/>
          <w:bCs/>
          <w:lang w:eastAsia="ko-KR"/>
        </w:rPr>
        <w:t>Prominent</w:t>
      </w:r>
      <w:r w:rsidR="00D24944" w:rsidRPr="00D24944">
        <w:rPr>
          <w:b/>
          <w:bCs/>
          <w:lang w:eastAsia="ko-KR"/>
        </w:rPr>
        <w:t xml:space="preserve"> directions of intended transmission</w:t>
      </w:r>
      <w:r>
        <w:rPr>
          <w:b/>
          <w:bCs/>
          <w:lang w:eastAsia="ko-KR"/>
        </w:rPr>
        <w:t>, i.e.,</w:t>
      </w:r>
      <w:r w:rsidR="00D24944" w:rsidRPr="00D24944">
        <w:rPr>
          <w:b/>
          <w:bCs/>
          <w:lang w:eastAsia="ko-KR"/>
        </w:rPr>
        <w:t xml:space="preserve"> </w:t>
      </w:r>
      <w:r>
        <w:rPr>
          <w:b/>
          <w:bCs/>
          <w:lang w:eastAsia="ko-KR"/>
        </w:rPr>
        <w:t>those for which composite transmit APP is with a fraction of the peak APP</w:t>
      </w:r>
      <w:r w:rsidR="003D4797">
        <w:rPr>
          <w:b/>
          <w:bCs/>
          <w:lang w:eastAsia="ko-KR"/>
        </w:rPr>
        <w:t>,</w:t>
      </w:r>
      <w:r>
        <w:rPr>
          <w:b/>
          <w:bCs/>
          <w:lang w:eastAsia="ko-KR"/>
        </w:rPr>
        <w:t xml:space="preserve"> should have relatively large sensing gain</w:t>
      </w:r>
      <w:r w:rsidR="003D4797">
        <w:rPr>
          <w:b/>
          <w:bCs/>
          <w:lang w:eastAsia="ko-KR"/>
        </w:rPr>
        <w:t xml:space="preserve">. </w:t>
      </w:r>
      <w:r w:rsidR="00D24944" w:rsidRPr="00D24944">
        <w:rPr>
          <w:b/>
          <w:bCs/>
          <w:lang w:eastAsia="ko-KR"/>
        </w:rPr>
        <w:t xml:space="preserve">  </w:t>
      </w:r>
    </w:p>
    <w:p w14:paraId="13D859EA" w14:textId="77777777" w:rsidR="005812D3" w:rsidRPr="005812D3" w:rsidRDefault="00A0329F" w:rsidP="00C75BF7">
      <w:pPr>
        <w:pStyle w:val="ListParagraph"/>
        <w:numPr>
          <w:ilvl w:val="0"/>
          <w:numId w:val="9"/>
        </w:numPr>
        <w:kinsoku w:val="0"/>
        <w:overflowPunct w:val="0"/>
        <w:adjustRightInd w:val="0"/>
        <w:snapToGrid w:val="0"/>
        <w:spacing w:after="60" w:line="240" w:lineRule="auto"/>
        <w:ind w:left="360"/>
        <w:contextualSpacing w:val="0"/>
        <w:rPr>
          <w:b/>
          <w:bCs/>
          <w:lang w:eastAsia="ko-KR"/>
        </w:rPr>
      </w:pPr>
      <w:r w:rsidRPr="009F7008">
        <w:rPr>
          <w:b/>
          <w:bCs/>
          <w:szCs w:val="20"/>
          <w:lang w:eastAsia="zh-CN"/>
        </w:rPr>
        <w:t xml:space="preserve">For EDT determination, define Pout as the maximum EIRP over </w:t>
      </w:r>
      <w:r w:rsidR="00B91A78">
        <w:rPr>
          <w:b/>
          <w:bCs/>
          <w:szCs w:val="20"/>
          <w:lang w:eastAsia="zh-CN"/>
        </w:rPr>
        <w:t xml:space="preserve">that </w:t>
      </w:r>
      <w:r w:rsidRPr="009F7008">
        <w:rPr>
          <w:b/>
          <w:bCs/>
          <w:szCs w:val="20"/>
          <w:lang w:eastAsia="zh-CN"/>
        </w:rPr>
        <w:t xml:space="preserve">intended set of transmit beams.   </w:t>
      </w:r>
    </w:p>
    <w:p w14:paraId="4F9F3199" w14:textId="6D3B37CB" w:rsidR="00167146" w:rsidRDefault="00167146" w:rsidP="00C75BF7">
      <w:pPr>
        <w:pStyle w:val="ListParagraph"/>
        <w:numPr>
          <w:ilvl w:val="0"/>
          <w:numId w:val="9"/>
        </w:numPr>
        <w:kinsoku w:val="0"/>
        <w:overflowPunct w:val="0"/>
        <w:adjustRightInd w:val="0"/>
        <w:snapToGrid w:val="0"/>
        <w:spacing w:after="60" w:line="240" w:lineRule="auto"/>
        <w:ind w:left="360"/>
        <w:contextualSpacing w:val="0"/>
        <w:rPr>
          <w:b/>
          <w:bCs/>
          <w:lang w:eastAsia="ko-KR"/>
        </w:rPr>
      </w:pPr>
      <w:r>
        <w:rPr>
          <w:b/>
          <w:bCs/>
          <w:lang w:eastAsia="ko-KR"/>
        </w:rPr>
        <w:t xml:space="preserve">Appropriate EDT incorporates </w:t>
      </w:r>
      <w:r w:rsidR="003D4797">
        <w:rPr>
          <w:b/>
          <w:bCs/>
          <w:lang w:eastAsia="ko-KR"/>
        </w:rPr>
        <w:t xml:space="preserve">shortfall (if any) in the sensing gain over prominent directions. </w:t>
      </w:r>
    </w:p>
    <w:p w14:paraId="7369559E" w14:textId="73670759" w:rsidR="002B145B" w:rsidRPr="005812D3" w:rsidRDefault="00935FDD" w:rsidP="00A3575A">
      <w:pPr>
        <w:pStyle w:val="ListParagraph"/>
        <w:numPr>
          <w:ilvl w:val="0"/>
          <w:numId w:val="9"/>
        </w:numPr>
        <w:kinsoku w:val="0"/>
        <w:overflowPunct w:val="0"/>
        <w:adjustRightInd w:val="0"/>
        <w:snapToGrid w:val="0"/>
        <w:spacing w:after="60" w:line="240" w:lineRule="auto"/>
        <w:ind w:left="360"/>
        <w:contextualSpacing w:val="0"/>
        <w:rPr>
          <w:b/>
          <w:bCs/>
          <w:lang w:eastAsia="ko-KR"/>
        </w:rPr>
      </w:pPr>
      <w:r>
        <w:rPr>
          <w:b/>
          <w:bCs/>
          <w:lang w:eastAsia="ko-KR"/>
        </w:rPr>
        <w:t>Enable a</w:t>
      </w:r>
      <w:r w:rsidR="002A06C2">
        <w:rPr>
          <w:b/>
          <w:bCs/>
          <w:lang w:eastAsia="ko-KR"/>
        </w:rPr>
        <w:t xml:space="preserve">ugmented sensing </w:t>
      </w:r>
      <w:r>
        <w:rPr>
          <w:b/>
          <w:bCs/>
          <w:lang w:eastAsia="ko-KR"/>
        </w:rPr>
        <w:t>to</w:t>
      </w:r>
      <w:r w:rsidR="002A06C2">
        <w:rPr>
          <w:b/>
          <w:bCs/>
          <w:lang w:eastAsia="ko-KR"/>
        </w:rPr>
        <w:t xml:space="preserve"> avoid blind spots without excessive exposed nodes. </w:t>
      </w:r>
      <w:bookmarkEnd w:id="12"/>
    </w:p>
    <w:p w14:paraId="1C99105A" w14:textId="77777777" w:rsidR="002B145B" w:rsidRDefault="002B145B" w:rsidP="00A3575A">
      <w:pPr>
        <w:rPr>
          <w:lang w:eastAsia="x-none"/>
        </w:rPr>
      </w:pPr>
    </w:p>
    <w:p w14:paraId="4FAA136D" w14:textId="02508A9C" w:rsidR="00FD1052" w:rsidRDefault="00FD1052" w:rsidP="00A3575A">
      <w:pPr>
        <w:rPr>
          <w:lang w:eastAsia="x-none"/>
        </w:rPr>
      </w:pPr>
    </w:p>
    <w:p w14:paraId="4A8F0141" w14:textId="183FD85C" w:rsidR="005A1E6B" w:rsidRDefault="00DC4C5D" w:rsidP="002A06C2">
      <w:pPr>
        <w:rPr>
          <w:lang w:eastAsia="x-none"/>
        </w:rPr>
      </w:pPr>
      <w:r>
        <w:rPr>
          <w:noProof/>
          <w:lang w:eastAsia="x-none"/>
        </w:rPr>
        <w:drawing>
          <wp:inline distT="0" distB="0" distL="0" distR="0" wp14:anchorId="7FB45F04" wp14:editId="25A9FA64">
            <wp:extent cx="5635053" cy="30162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8024" cy="3023193"/>
                    </a:xfrm>
                    <a:prstGeom prst="rect">
                      <a:avLst/>
                    </a:prstGeom>
                    <a:noFill/>
                  </pic:spPr>
                </pic:pic>
              </a:graphicData>
            </a:graphic>
          </wp:inline>
        </w:drawing>
      </w:r>
    </w:p>
    <w:p w14:paraId="2AA7CD78" w14:textId="77777777" w:rsidR="005A1E6B" w:rsidRDefault="005A1E6B" w:rsidP="002A06C2">
      <w:pPr>
        <w:rPr>
          <w:lang w:eastAsia="x-none"/>
        </w:rPr>
      </w:pPr>
    </w:p>
    <w:p w14:paraId="15018A54" w14:textId="6B2FFA72" w:rsidR="002A06C2" w:rsidRDefault="002A06C2" w:rsidP="002A06C2">
      <w:pPr>
        <w:rPr>
          <w:lang w:eastAsia="x-none"/>
        </w:rPr>
      </w:pPr>
      <w:r>
        <w:rPr>
          <w:lang w:eastAsia="x-none"/>
        </w:rPr>
        <w:t xml:space="preserve">Fig: 2. </w:t>
      </w:r>
      <w:r>
        <w:rPr>
          <w:u w:val="single"/>
        </w:rPr>
        <w:t>Set of t</w:t>
      </w:r>
      <w:r w:rsidRPr="009859B9">
        <w:rPr>
          <w:u w:val="single"/>
        </w:rPr>
        <w:t xml:space="preserve">hree </w:t>
      </w:r>
      <w:r>
        <w:rPr>
          <w:u w:val="single"/>
        </w:rPr>
        <w:t xml:space="preserve">intended transmit </w:t>
      </w:r>
      <w:r w:rsidRPr="009859B9">
        <w:rPr>
          <w:u w:val="single"/>
        </w:rPr>
        <w:t xml:space="preserve">beams are divided into two sets and a sensing beam </w:t>
      </w:r>
      <w:r>
        <w:rPr>
          <w:u w:val="single"/>
        </w:rPr>
        <w:t xml:space="preserve">is </w:t>
      </w:r>
      <w:r w:rsidRPr="009859B9">
        <w:rPr>
          <w:u w:val="single"/>
        </w:rPr>
        <w:t>defined for each of the two beam sets.</w:t>
      </w:r>
    </w:p>
    <w:p w14:paraId="3E7151E6" w14:textId="5E09E953" w:rsidR="009F185F" w:rsidRDefault="009F185F" w:rsidP="00A3575A">
      <w:pPr>
        <w:rPr>
          <w:lang w:eastAsia="x-none"/>
        </w:rPr>
      </w:pPr>
    </w:p>
    <w:p w14:paraId="138D6CA4" w14:textId="576D355D" w:rsidR="002A06C2" w:rsidRDefault="002A06C2" w:rsidP="009F185F">
      <w:pPr>
        <w:rPr>
          <w:lang w:eastAsia="x-none"/>
        </w:rPr>
      </w:pPr>
      <w:r>
        <w:rPr>
          <w:noProof/>
          <w:lang w:eastAsia="x-none"/>
        </w:rPr>
        <w:drawing>
          <wp:inline distT="0" distB="0" distL="0" distR="0" wp14:anchorId="13A50801" wp14:editId="3D30D253">
            <wp:extent cx="2465799" cy="148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1694" cy="1489452"/>
                    </a:xfrm>
                    <a:prstGeom prst="rect">
                      <a:avLst/>
                    </a:prstGeom>
                    <a:noFill/>
                  </pic:spPr>
                </pic:pic>
              </a:graphicData>
            </a:graphic>
          </wp:inline>
        </w:drawing>
      </w:r>
    </w:p>
    <w:p w14:paraId="20A4D407" w14:textId="597D03F2" w:rsidR="009F185F" w:rsidRDefault="009F185F" w:rsidP="009F185F">
      <w:pPr>
        <w:rPr>
          <w:color w:val="000000" w:themeColor="text1"/>
          <w:kern w:val="24"/>
          <w:u w:val="single"/>
        </w:rPr>
      </w:pPr>
      <w:r>
        <w:rPr>
          <w:lang w:eastAsia="x-none"/>
        </w:rPr>
        <w:t>Fig.3A:</w:t>
      </w:r>
      <w:r w:rsidRPr="009F185F">
        <w:rPr>
          <w:color w:val="000000" w:themeColor="text1"/>
          <w:kern w:val="24"/>
          <w:u w:val="single"/>
        </w:rPr>
        <w:t xml:space="preserve"> </w:t>
      </w:r>
      <w:r w:rsidRPr="009E0DC2">
        <w:rPr>
          <w:color w:val="000000" w:themeColor="text1"/>
          <w:kern w:val="24"/>
          <w:u w:val="single"/>
        </w:rPr>
        <w:t>Sensing beam-B cannot sense existing link TX-A--RX-A</w:t>
      </w:r>
      <w:r>
        <w:rPr>
          <w:color w:val="000000" w:themeColor="text1"/>
          <w:kern w:val="24"/>
          <w:u w:val="single"/>
        </w:rPr>
        <w:t xml:space="preserve">. </w:t>
      </w:r>
      <w:r w:rsidRPr="009E0DC2">
        <w:rPr>
          <w:color w:val="000000" w:themeColor="text1"/>
          <w:kern w:val="24"/>
          <w:u w:val="single"/>
        </w:rPr>
        <w:t>New link TX-B</w:t>
      </w:r>
      <w:r w:rsidR="00B462C6">
        <w:rPr>
          <w:color w:val="000000" w:themeColor="text1"/>
          <w:kern w:val="24"/>
          <w:u w:val="single"/>
        </w:rPr>
        <w:t>--</w:t>
      </w:r>
      <w:r w:rsidRPr="009E0DC2">
        <w:rPr>
          <w:color w:val="000000" w:themeColor="text1"/>
          <w:kern w:val="24"/>
          <w:u w:val="single"/>
        </w:rPr>
        <w:t xml:space="preserve">RX-B creates interference to existing link but is incorrectly allowed. </w:t>
      </w:r>
      <w:r>
        <w:rPr>
          <w:color w:val="000000" w:themeColor="text1"/>
          <w:kern w:val="24"/>
          <w:u w:val="single"/>
        </w:rPr>
        <w:t>The red tick represents this incorrect pass of CCA check (false positive).</w:t>
      </w:r>
    </w:p>
    <w:p w14:paraId="5E87D1CA" w14:textId="3F921992" w:rsidR="009F185F" w:rsidRDefault="009F185F" w:rsidP="009F185F">
      <w:pPr>
        <w:rPr>
          <w:lang w:eastAsia="x-none"/>
        </w:rPr>
      </w:pPr>
      <w:r>
        <w:rPr>
          <w:noProof/>
          <w:lang w:eastAsia="x-none"/>
        </w:rPr>
        <w:drawing>
          <wp:inline distT="0" distB="0" distL="0" distR="0" wp14:anchorId="505B6C29" wp14:editId="5E515375">
            <wp:extent cx="2840990" cy="15665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0990" cy="1566545"/>
                    </a:xfrm>
                    <a:prstGeom prst="rect">
                      <a:avLst/>
                    </a:prstGeom>
                    <a:noFill/>
                  </pic:spPr>
                </pic:pic>
              </a:graphicData>
            </a:graphic>
          </wp:inline>
        </w:drawing>
      </w:r>
    </w:p>
    <w:p w14:paraId="734E2699" w14:textId="5291CC67" w:rsidR="003248F1" w:rsidRDefault="009F185F" w:rsidP="005812D3">
      <w:pPr>
        <w:rPr>
          <w:lang w:eastAsia="x-none"/>
        </w:rPr>
      </w:pPr>
      <w:r>
        <w:rPr>
          <w:lang w:eastAsia="x-none"/>
        </w:rPr>
        <w:t xml:space="preserve">Fig.3B: </w:t>
      </w:r>
      <w:r w:rsidRPr="009E0DC2">
        <w:rPr>
          <w:color w:val="000000" w:themeColor="text1"/>
          <w:kern w:val="24"/>
          <w:u w:val="single"/>
        </w:rPr>
        <w:t xml:space="preserve">Sensing beam-B with mirror-lobe (or back-lobe) can sense existing link TX-A--RX-A. TX-B will then correctly </w:t>
      </w:r>
      <w:r w:rsidR="00B462C6">
        <w:rPr>
          <w:color w:val="000000" w:themeColor="text1"/>
          <w:kern w:val="24"/>
          <w:u w:val="single"/>
        </w:rPr>
        <w:t>refrain from transmitting</w:t>
      </w:r>
      <w:r w:rsidRPr="009E0DC2">
        <w:rPr>
          <w:color w:val="000000" w:themeColor="text1"/>
          <w:kern w:val="24"/>
          <w:u w:val="single"/>
        </w:rPr>
        <w:t xml:space="preserve">. </w:t>
      </w:r>
      <w:r>
        <w:rPr>
          <w:color w:val="000000" w:themeColor="text1"/>
          <w:kern w:val="24"/>
          <w:u w:val="single"/>
        </w:rPr>
        <w:t>The green cross represents the correct fail of CCA check (true negative).</w:t>
      </w:r>
    </w:p>
    <w:p w14:paraId="6C9E8799" w14:textId="366A5E5F" w:rsidR="00F93125" w:rsidRDefault="00F93125" w:rsidP="00F93125">
      <w:pPr>
        <w:pStyle w:val="Heading1"/>
      </w:pPr>
      <w:r>
        <w:lastRenderedPageBreak/>
        <w:t>Cat 2 LBT and Maximum gap</w:t>
      </w:r>
    </w:p>
    <w:p w14:paraId="369B6F04" w14:textId="08F25DBC" w:rsidR="00F93125" w:rsidRDefault="00F93125" w:rsidP="00F93125">
      <w:r>
        <w:t>In our opinion Cat 2 LBT, i.e.</w:t>
      </w:r>
      <w:r w:rsidR="008A17F0">
        <w:t>,</w:t>
      </w:r>
      <w:r>
        <w:t xml:space="preserve"> a short deterministic LBT is useful for a quick evaluation of the channel availability. Such short LBT may be as short as a symbol duration, that is one-shot LBT can be a Cat 2 LBT.</w:t>
      </w:r>
    </w:p>
    <w:p w14:paraId="03FEC09A" w14:textId="0309BC6E" w:rsidR="00F93125" w:rsidRDefault="00F93125" w:rsidP="00F93125">
      <w:pPr>
        <w:rPr>
          <w:rFonts w:cs="Times"/>
          <w:b/>
          <w:bCs/>
          <w:szCs w:val="20"/>
        </w:rPr>
      </w:pPr>
      <w:r w:rsidRPr="000E1895">
        <w:rPr>
          <w:b/>
          <w:bCs/>
        </w:rPr>
        <w:t xml:space="preserve">Proposal </w:t>
      </w:r>
      <w:r w:rsidR="00975713">
        <w:rPr>
          <w:b/>
          <w:bCs/>
        </w:rPr>
        <w:t>5</w:t>
      </w:r>
      <w:r w:rsidRPr="000E1895">
        <w:rPr>
          <w:b/>
          <w:bCs/>
        </w:rPr>
        <w:t xml:space="preserve">: </w:t>
      </w:r>
      <w:r w:rsidRPr="000E1895">
        <w:rPr>
          <w:rFonts w:cs="Times"/>
          <w:b/>
          <w:bCs/>
          <w:szCs w:val="20"/>
        </w:rPr>
        <w:t>Introduce Cat 2 LBT for 60GHz unlicensed band operation</w:t>
      </w:r>
      <w:r>
        <w:rPr>
          <w:rFonts w:cs="Times"/>
          <w:b/>
          <w:bCs/>
          <w:szCs w:val="20"/>
        </w:rPr>
        <w:t>.</w:t>
      </w:r>
    </w:p>
    <w:p w14:paraId="42D4BE72" w14:textId="766E2F2A" w:rsidR="009D261D" w:rsidRDefault="00F93125" w:rsidP="00F93125">
      <w:r>
        <w:t xml:space="preserve">With a Cat 2 LBT supported one can define the device behavior during the COT that </w:t>
      </w:r>
      <w:r w:rsidR="007C20FC">
        <w:t xml:space="preserve">facilitates fair </w:t>
      </w:r>
      <w:r>
        <w:t>coexistence in unlicensed band</w:t>
      </w:r>
      <w:r w:rsidR="007C20FC">
        <w:t xml:space="preserve">. </w:t>
      </w:r>
    </w:p>
    <w:p w14:paraId="4C2AE3AD" w14:textId="568A0125" w:rsidR="009D261D" w:rsidRDefault="009D261D" w:rsidP="009D261D">
      <w:r>
        <w:t xml:space="preserve">In ETSI EN 302 567 [3] the total time that the equipment initiating transmission makes use of an operating channel is defined as the Channel Occupancy Time. This Channel Occupancy Time (COT) shall be less than 5 ms, after which the initiating device shall perform a new CCA Check.  The document does not specify if the device can have gaps of the channel usage (transmissions) during COT and how long such gaps may be.  </w:t>
      </w:r>
      <w:r w:rsidR="005812D3">
        <w:t xml:space="preserve"> </w:t>
      </w:r>
    </w:p>
    <w:p w14:paraId="113545DB" w14:textId="78FBC3E5" w:rsidR="00515396" w:rsidRDefault="009D261D" w:rsidP="009D261D">
      <w:r>
        <w:t>For the CCA check procedure a device observes the channel for at least 8us and if the channel is found not occupied defers for a random number (0 to Max number) of empty (not occupied) slots (5us</w:t>
      </w:r>
      <w:r w:rsidRPr="00AE3E99">
        <w:t xml:space="preserve"> </w:t>
      </w:r>
      <w:r>
        <w:t xml:space="preserve">each), where the Max number is 3 or larger.  Thus, the CCA check operation can take up to 23us for the Max number equal to 3. Consequently, </w:t>
      </w:r>
      <w:r w:rsidR="007C20FC">
        <w:t xml:space="preserve">if </w:t>
      </w:r>
      <w:r w:rsidR="00AF3841">
        <w:t xml:space="preserve">there is </w:t>
      </w:r>
      <w:r w:rsidR="007C20FC">
        <w:t>a significant</w:t>
      </w:r>
      <w:r w:rsidR="00AF3841">
        <w:t xml:space="preserve"> gap </w:t>
      </w:r>
      <w:r w:rsidR="00150EF8">
        <w:t>(i.e., no transmissions from the original node that acquired the channel)</w:t>
      </w:r>
      <w:r w:rsidR="00AF3841">
        <w:t xml:space="preserve"> </w:t>
      </w:r>
      <w:r w:rsidR="00150EF8">
        <w:t xml:space="preserve">during </w:t>
      </w:r>
      <w:r w:rsidR="00AF3841">
        <w:t>the COT</w:t>
      </w:r>
      <w:r w:rsidR="00EB7C8C">
        <w:t>,</w:t>
      </w:r>
      <w:r w:rsidR="00150EF8">
        <w:t xml:space="preserve"> it might result in another LBT initiator to detect the channel as idle and be</w:t>
      </w:r>
      <w:r w:rsidR="00EB7C8C">
        <w:t>g</w:t>
      </w:r>
      <w:r w:rsidR="00150EF8">
        <w:t xml:space="preserve">in its transmissions. The transmissions from the second initiator node can interfere with </w:t>
      </w:r>
      <w:r w:rsidR="00352DE4">
        <w:t xml:space="preserve">and get interfered by </w:t>
      </w:r>
      <w:r w:rsidR="00150EF8">
        <w:t>th</w:t>
      </w:r>
      <w:r w:rsidR="00352DE4">
        <w:t>e transmissions</w:t>
      </w:r>
      <w:r w:rsidR="00150EF8">
        <w:t xml:space="preserve"> from the original one</w:t>
      </w:r>
      <w:r w:rsidR="00352DE4">
        <w:t xml:space="preserve"> when the latter resumes transmitting</w:t>
      </w:r>
      <w:r w:rsidR="00150EF8">
        <w:t xml:space="preserve">. A one-shot LBT by the first node will protect the transmissions of the second node. This arrangement </w:t>
      </w:r>
      <w:r w:rsidR="00352DE4">
        <w:t xml:space="preserve">also </w:t>
      </w:r>
      <w:r w:rsidR="00150EF8">
        <w:t>dis</w:t>
      </w:r>
      <w:r w:rsidR="00352DE4">
        <w:t>-</w:t>
      </w:r>
      <w:r w:rsidR="00150EF8">
        <w:t xml:space="preserve">incentivizes </w:t>
      </w:r>
      <w:r w:rsidR="00515396">
        <w:t>adoption of a proactive excessive channel acquisition policy by a node, i.e.,</w:t>
      </w:r>
      <w:r w:rsidR="00150EF8">
        <w:t xml:space="preserve"> a </w:t>
      </w:r>
      <w:r w:rsidR="00515396">
        <w:t xml:space="preserve">policy under which a </w:t>
      </w:r>
      <w:r w:rsidR="00150EF8">
        <w:t xml:space="preserve">node </w:t>
      </w:r>
      <w:r w:rsidR="00515396">
        <w:t>(gNB) acquires</w:t>
      </w:r>
      <w:r w:rsidR="00150EF8">
        <w:t xml:space="preserve"> a COT (w</w:t>
      </w:r>
      <w:r w:rsidR="00515396">
        <w:t>ith</w:t>
      </w:r>
      <w:r w:rsidR="00150EF8">
        <w:t xml:space="preserve"> a relatively long duration of 5ms)</w:t>
      </w:r>
      <w:r w:rsidR="00515396">
        <w:t xml:space="preserve"> even though it anticipates sparse usage. Without a Cat 2 LBT such a node may resume transmissions after a long gap and disrupt transmissions of other co-channel nodes that have initiated transmissions in the interim. However, if a Cat 2 LBT is required before resuming transmissions after a long gap, then that node may be forced to </w:t>
      </w:r>
      <w:r w:rsidR="00352DE4">
        <w:t>refrain from transmitting</w:t>
      </w:r>
      <w:r w:rsidR="00515396">
        <w:t xml:space="preserve"> once it detects the channel as busy. </w:t>
      </w:r>
    </w:p>
    <w:p w14:paraId="3D512D12" w14:textId="290E0C3D" w:rsidR="00F93125" w:rsidRPr="005812D3" w:rsidRDefault="00F93125" w:rsidP="00F93125">
      <w:r w:rsidRPr="004A432C">
        <w:rPr>
          <w:b/>
          <w:bCs/>
        </w:rPr>
        <w:t xml:space="preserve">Proposal </w:t>
      </w:r>
      <w:r w:rsidR="00975713">
        <w:rPr>
          <w:b/>
          <w:bCs/>
        </w:rPr>
        <w:t>6</w:t>
      </w:r>
      <w:r w:rsidRPr="004A432C">
        <w:rPr>
          <w:b/>
          <w:bCs/>
        </w:rPr>
        <w:t>: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r w:rsidR="00DC4C5D">
        <w:rPr>
          <w:b/>
          <w:bCs/>
        </w:rPr>
        <w:t>:</w:t>
      </w:r>
    </w:p>
    <w:p w14:paraId="6E3AE3A7" w14:textId="77777777" w:rsidR="00F93125" w:rsidRPr="00857E89" w:rsidRDefault="00F93125" w:rsidP="00C75BF7">
      <w:pPr>
        <w:pStyle w:val="ListParagraph"/>
        <w:numPr>
          <w:ilvl w:val="0"/>
          <w:numId w:val="6"/>
        </w:numPr>
        <w:rPr>
          <w:b/>
          <w:bCs/>
        </w:rPr>
      </w:pPr>
      <w:r>
        <w:rPr>
          <w:b/>
          <w:bCs/>
        </w:rPr>
        <w:t xml:space="preserve">Where </w:t>
      </w:r>
      <w:r w:rsidRPr="00857E89">
        <w:rPr>
          <w:b/>
          <w:bCs/>
        </w:rPr>
        <w:t>Y</w:t>
      </w:r>
      <w:r>
        <w:rPr>
          <w:b/>
          <w:bCs/>
        </w:rPr>
        <w:t xml:space="preserve"> (for all SCS)</w:t>
      </w:r>
      <w:r w:rsidRPr="00857E89">
        <w:rPr>
          <w:b/>
          <w:bCs/>
        </w:rPr>
        <w:t xml:space="preserve"> may be</w:t>
      </w:r>
      <w:r>
        <w:rPr>
          <w:b/>
          <w:bCs/>
        </w:rPr>
        <w:t xml:space="preserve"> the time duration of</w:t>
      </w:r>
      <w:r w:rsidRPr="00857E89">
        <w:rPr>
          <w:b/>
          <w:bCs/>
        </w:rPr>
        <w:t xml:space="preserve"> 3 symbols (@120 kHz SCS</w:t>
      </w:r>
      <w:r>
        <w:rPr>
          <w:b/>
          <w:bCs/>
        </w:rPr>
        <w:t xml:space="preserve">  </w:t>
      </w:r>
    </w:p>
    <w:p w14:paraId="643C6EE2" w14:textId="7C14674C" w:rsidR="00F93125" w:rsidRDefault="00F93125" w:rsidP="00C75BF7">
      <w:pPr>
        <w:pStyle w:val="ListParagraph"/>
        <w:numPr>
          <w:ilvl w:val="0"/>
          <w:numId w:val="6"/>
        </w:numPr>
        <w:rPr>
          <w:b/>
          <w:bCs/>
        </w:rPr>
      </w:pPr>
      <w:r>
        <w:rPr>
          <w:b/>
          <w:bCs/>
        </w:rPr>
        <w:t xml:space="preserve">Where </w:t>
      </w:r>
      <w:r w:rsidRPr="00857E89">
        <w:rPr>
          <w:b/>
          <w:bCs/>
        </w:rPr>
        <w:t>One-shot LBT duration</w:t>
      </w:r>
      <w:r>
        <w:rPr>
          <w:b/>
          <w:bCs/>
        </w:rPr>
        <w:t xml:space="preserve"> (for all SCS)</w:t>
      </w:r>
      <w:r w:rsidR="00221757">
        <w:rPr>
          <w:b/>
          <w:bCs/>
        </w:rPr>
        <w:t xml:space="preserve"> is</w:t>
      </w:r>
      <w:r w:rsidRPr="00857E89">
        <w:rPr>
          <w:b/>
          <w:bCs/>
        </w:rPr>
        <w:t xml:space="preserve"> </w:t>
      </w:r>
      <w:r>
        <w:rPr>
          <w:b/>
          <w:bCs/>
        </w:rPr>
        <w:t xml:space="preserve">the time duration of </w:t>
      </w:r>
      <w:r w:rsidRPr="00857E89">
        <w:rPr>
          <w:b/>
          <w:bCs/>
        </w:rPr>
        <w:t>1 symbol @ 120kHz SCS</w:t>
      </w:r>
    </w:p>
    <w:p w14:paraId="0303FB16" w14:textId="25F763EB" w:rsidR="001F1D8E" w:rsidRPr="007266CE" w:rsidRDefault="001F1D8E" w:rsidP="001F1D8E">
      <w:r w:rsidRPr="007266CE">
        <w:t>Another u</w:t>
      </w:r>
      <w:r w:rsidR="007266CE" w:rsidRPr="007266CE">
        <w:t xml:space="preserve">se case </w:t>
      </w:r>
      <w:r w:rsidR="007266CE">
        <w:t xml:space="preserve">when CAT 2 LBT </w:t>
      </w:r>
      <w:r w:rsidR="00B806B8">
        <w:t xml:space="preserve">can be </w:t>
      </w:r>
      <w:r w:rsidR="007266CE">
        <w:t>supported is</w:t>
      </w:r>
      <w:r w:rsidR="00B806B8">
        <w:t xml:space="preserve"> when per-beam LBT before acquiring a channel is allowed</w:t>
      </w:r>
      <w:r w:rsidR="007266CE">
        <w:t xml:space="preserve">. </w:t>
      </w:r>
      <w:r w:rsidR="00B806B8">
        <w:t>The</w:t>
      </w:r>
      <w:r w:rsidR="009D261D">
        <w:t xml:space="preserve"> justification here is similar</w:t>
      </w:r>
      <w:r w:rsidR="005812D3">
        <w:t xml:space="preserve"> </w:t>
      </w:r>
      <w:r w:rsidR="009D261D">
        <w:t xml:space="preserve">to </w:t>
      </w:r>
      <w:r w:rsidR="00DF122F">
        <w:t xml:space="preserve">that given for </w:t>
      </w:r>
      <w:r w:rsidR="009D261D">
        <w:t xml:space="preserve">the previous proposal. In particular, a significant gap between the time </w:t>
      </w:r>
      <w:r w:rsidR="00B806B8">
        <w:t xml:space="preserve">LBT is carried out for a </w:t>
      </w:r>
      <w:r w:rsidR="009D261D">
        <w:t xml:space="preserve">beam </w:t>
      </w:r>
      <w:r w:rsidR="00B806B8">
        <w:t xml:space="preserve">and the time </w:t>
      </w:r>
      <w:r w:rsidR="005812D3">
        <w:t>that beam</w:t>
      </w:r>
      <w:r w:rsidR="00B806B8">
        <w:t xml:space="preserve"> is eventually applied can result in other nodes in the interference footprint of that beam initiating transmission. </w:t>
      </w:r>
      <w:r w:rsidR="009D261D">
        <w:t xml:space="preserve"> </w:t>
      </w:r>
    </w:p>
    <w:p w14:paraId="52538B12" w14:textId="7523F80B" w:rsidR="003248F1" w:rsidRDefault="007266CE" w:rsidP="005812D3">
      <w:pPr>
        <w:rPr>
          <w:b/>
          <w:bCs/>
        </w:rPr>
      </w:pPr>
      <w:bookmarkStart w:id="13" w:name="_Hlk71165909"/>
      <w:r w:rsidRPr="004D5B77">
        <w:rPr>
          <w:b/>
          <w:bCs/>
        </w:rPr>
        <w:t xml:space="preserve">Proposal </w:t>
      </w:r>
      <w:r w:rsidR="00975713">
        <w:rPr>
          <w:b/>
          <w:bCs/>
        </w:rPr>
        <w:t>7</w:t>
      </w:r>
      <w:r w:rsidRPr="004D5B77">
        <w:rPr>
          <w:b/>
          <w:bCs/>
        </w:rPr>
        <w:t xml:space="preserve">:   </w:t>
      </w:r>
      <w:r w:rsidR="00B806B8">
        <w:rPr>
          <w:b/>
          <w:bCs/>
        </w:rPr>
        <w:t>When i</w:t>
      </w:r>
      <w:r w:rsidRPr="002E4F7F">
        <w:rPr>
          <w:b/>
          <w:bCs/>
        </w:rPr>
        <w:t>ndependent per-beam LBT sensing at the start of COT is performed for beams used in the COT</w:t>
      </w:r>
      <w:r w:rsidR="00B806B8">
        <w:rPr>
          <w:b/>
          <w:bCs/>
        </w:rPr>
        <w:t>,</w:t>
      </w:r>
      <w:r w:rsidRPr="002E4F7F">
        <w:rPr>
          <w:b/>
          <w:bCs/>
        </w:rPr>
        <w:t xml:space="preserve"> </w:t>
      </w:r>
      <w:r w:rsidR="00B806B8">
        <w:rPr>
          <w:b/>
          <w:bCs/>
        </w:rPr>
        <w:t xml:space="preserve">an </w:t>
      </w:r>
      <w:r w:rsidRPr="002E4F7F">
        <w:rPr>
          <w:b/>
          <w:bCs/>
        </w:rPr>
        <w:t>additional requirement on Cat 2 LBT before beam switch</w:t>
      </w:r>
      <w:r w:rsidR="00B806B8">
        <w:rPr>
          <w:b/>
          <w:bCs/>
        </w:rPr>
        <w:t xml:space="preserve"> </w:t>
      </w:r>
      <w:r w:rsidR="00DF122F">
        <w:rPr>
          <w:b/>
          <w:bCs/>
        </w:rPr>
        <w:t xml:space="preserve">during the COT </w:t>
      </w:r>
      <w:r w:rsidR="00B806B8">
        <w:rPr>
          <w:b/>
          <w:bCs/>
        </w:rPr>
        <w:t>should be specified</w:t>
      </w:r>
      <w:r>
        <w:rPr>
          <w:b/>
          <w:bCs/>
        </w:rPr>
        <w:t>.</w:t>
      </w:r>
      <w:bookmarkEnd w:id="13"/>
    </w:p>
    <w:p w14:paraId="7FEFAC70" w14:textId="77777777" w:rsidR="005812D3" w:rsidRPr="005812D3" w:rsidRDefault="005812D3" w:rsidP="005812D3">
      <w:pPr>
        <w:rPr>
          <w:b/>
          <w:bCs/>
        </w:rPr>
      </w:pPr>
    </w:p>
    <w:p w14:paraId="4FD503B5" w14:textId="06219B68" w:rsidR="001F1D8E" w:rsidRDefault="001F1D8E" w:rsidP="001F1D8E">
      <w:pPr>
        <w:pStyle w:val="Heading1"/>
      </w:pPr>
      <w:r>
        <w:t>RX Assistance</w:t>
      </w:r>
    </w:p>
    <w:p w14:paraId="7D76BF9F" w14:textId="06FB125E" w:rsidR="00F93125" w:rsidRDefault="00F93125" w:rsidP="00F93125">
      <w:pPr>
        <w:rPr>
          <w:rFonts w:cs="Times"/>
          <w:color w:val="000000"/>
          <w:szCs w:val="20"/>
        </w:rPr>
      </w:pPr>
      <w:r>
        <w:t>It was agreed in the previous RAN1 meetings [2] that the receiver assisted LBT may be beneficia</w:t>
      </w:r>
      <w:r w:rsidR="00C05542">
        <w:t>l</w:t>
      </w:r>
      <w:r w:rsidR="00221757">
        <w:t>.</w:t>
      </w:r>
      <w:r>
        <w:t xml:space="preserve"> </w:t>
      </w:r>
      <w:r w:rsidR="00221757">
        <w:t xml:space="preserve">Further, </w:t>
      </w:r>
      <w:r>
        <w:t>f</w:t>
      </w:r>
      <w:r w:rsidRPr="003161F7">
        <w:rPr>
          <w:rFonts w:cs="Times"/>
          <w:color w:val="000000"/>
          <w:szCs w:val="20"/>
        </w:rPr>
        <w:t xml:space="preserve">or </w:t>
      </w:r>
      <w:r w:rsidR="00221757">
        <w:rPr>
          <w:rFonts w:cs="Times"/>
          <w:color w:val="000000"/>
          <w:szCs w:val="20"/>
        </w:rPr>
        <w:t xml:space="preserve">the </w:t>
      </w:r>
      <w:r w:rsidRPr="003161F7">
        <w:rPr>
          <w:rFonts w:cs="Times"/>
          <w:color w:val="000000"/>
          <w:szCs w:val="20"/>
        </w:rPr>
        <w:t xml:space="preserve">receiver to </w:t>
      </w:r>
      <w:r>
        <w:rPr>
          <w:rFonts w:cs="Times"/>
          <w:color w:val="000000"/>
          <w:szCs w:val="20"/>
        </w:rPr>
        <w:t>help</w:t>
      </w:r>
      <w:r w:rsidRPr="003161F7">
        <w:rPr>
          <w:rFonts w:cs="Times"/>
          <w:color w:val="000000"/>
          <w:szCs w:val="20"/>
        </w:rPr>
        <w:t>, channel sensing and reporting need to be performed.</w:t>
      </w:r>
      <w:r>
        <w:rPr>
          <w:rFonts w:cs="Times"/>
          <w:color w:val="000000"/>
          <w:szCs w:val="20"/>
        </w:rPr>
        <w:t xml:space="preserve">  </w:t>
      </w:r>
    </w:p>
    <w:p w14:paraId="4FA229B3" w14:textId="31C9EEF2" w:rsidR="00F93125" w:rsidRDefault="00F93125" w:rsidP="00F93125">
      <w:pPr>
        <w:rPr>
          <w:rFonts w:cs="Times"/>
          <w:color w:val="000000"/>
          <w:szCs w:val="20"/>
        </w:rPr>
      </w:pPr>
      <w:r>
        <w:rPr>
          <w:rFonts w:cs="Times"/>
          <w:color w:val="000000"/>
          <w:szCs w:val="20"/>
        </w:rPr>
        <w:t xml:space="preserve">The goal of the receiver (a.k.a. responding device) assistance is to assess the local </w:t>
      </w:r>
      <w:r w:rsidR="00782972">
        <w:rPr>
          <w:rFonts w:cs="Times"/>
          <w:color w:val="000000"/>
          <w:szCs w:val="20"/>
        </w:rPr>
        <w:t xml:space="preserve">resource </w:t>
      </w:r>
      <w:r>
        <w:rPr>
          <w:rFonts w:cs="Times"/>
          <w:color w:val="000000"/>
          <w:szCs w:val="20"/>
        </w:rPr>
        <w:t>availability prior to the transmission and inform the transmitter if th</w:t>
      </w:r>
      <w:r w:rsidR="00782972">
        <w:rPr>
          <w:rFonts w:cs="Times"/>
          <w:color w:val="000000"/>
          <w:szCs w:val="20"/>
        </w:rPr>
        <w:t>at</w:t>
      </w:r>
      <w:r>
        <w:rPr>
          <w:rFonts w:cs="Times"/>
          <w:color w:val="000000"/>
          <w:szCs w:val="20"/>
        </w:rPr>
        <w:t xml:space="preserve"> </w:t>
      </w:r>
      <w:r w:rsidR="00782972">
        <w:rPr>
          <w:rFonts w:cs="Times"/>
          <w:color w:val="000000"/>
          <w:szCs w:val="20"/>
        </w:rPr>
        <w:t>resource</w:t>
      </w:r>
      <w:r>
        <w:rPr>
          <w:rFonts w:cs="Times"/>
          <w:color w:val="000000"/>
          <w:szCs w:val="20"/>
        </w:rPr>
        <w:t xml:space="preserve"> is available.  </w:t>
      </w:r>
      <w:r w:rsidR="00C05542">
        <w:rPr>
          <w:rFonts w:cs="Times"/>
          <w:color w:val="000000"/>
          <w:szCs w:val="20"/>
        </w:rPr>
        <w:t xml:space="preserve">A key advantage of receiver assistance is that it allows for mitigation of the hidden node problem. It is recognized that while </w:t>
      </w:r>
      <w:r w:rsidR="00C05542">
        <w:rPr>
          <w:rFonts w:cs="Times"/>
          <w:color w:val="000000"/>
          <w:szCs w:val="20"/>
        </w:rPr>
        <w:lastRenderedPageBreak/>
        <w:t>directional sensing based LBT at the transmitter side</w:t>
      </w:r>
      <w:r w:rsidR="00AE232D">
        <w:rPr>
          <w:rFonts w:cs="Times"/>
          <w:color w:val="000000"/>
          <w:szCs w:val="20"/>
        </w:rPr>
        <w:t xml:space="preserve"> reduces number of exposed nodes</w:t>
      </w:r>
      <w:r w:rsidR="00C05542">
        <w:rPr>
          <w:rFonts w:cs="Times"/>
          <w:color w:val="000000"/>
          <w:szCs w:val="20"/>
        </w:rPr>
        <w:t xml:space="preserve">, it </w:t>
      </w:r>
      <w:r w:rsidR="00005A9D">
        <w:rPr>
          <w:rFonts w:cs="Times"/>
          <w:color w:val="000000"/>
          <w:szCs w:val="20"/>
        </w:rPr>
        <w:t>can</w:t>
      </w:r>
      <w:r w:rsidR="00C05542">
        <w:rPr>
          <w:rFonts w:cs="Times"/>
          <w:color w:val="000000"/>
          <w:szCs w:val="20"/>
        </w:rPr>
        <w:t xml:space="preserve"> still </w:t>
      </w:r>
      <w:r w:rsidR="00005A9D">
        <w:rPr>
          <w:rFonts w:cs="Times"/>
          <w:color w:val="000000"/>
          <w:szCs w:val="20"/>
        </w:rPr>
        <w:t xml:space="preserve">be </w:t>
      </w:r>
      <w:r w:rsidR="00C05542">
        <w:rPr>
          <w:rFonts w:cs="Times"/>
          <w:color w:val="000000"/>
          <w:szCs w:val="20"/>
        </w:rPr>
        <w:t xml:space="preserve">sensitive to the hidden node problem.  Indeed, given the highly directional nature of transmission and reception, interference reciprocity does not hold </w:t>
      </w:r>
      <w:r w:rsidR="00AE232D">
        <w:rPr>
          <w:rFonts w:cs="Times"/>
          <w:color w:val="000000"/>
          <w:szCs w:val="20"/>
        </w:rPr>
        <w:t xml:space="preserve">in many instances, </w:t>
      </w:r>
      <w:r w:rsidR="00C05542">
        <w:rPr>
          <w:rFonts w:cs="Times"/>
          <w:color w:val="000000"/>
          <w:szCs w:val="20"/>
        </w:rPr>
        <w:t>i</w:t>
      </w:r>
      <w:r w:rsidR="00AE232D">
        <w:rPr>
          <w:rFonts w:cs="Times"/>
          <w:color w:val="000000"/>
          <w:szCs w:val="20"/>
        </w:rPr>
        <w:t>.e.,</w:t>
      </w:r>
      <w:r w:rsidR="00C05542">
        <w:rPr>
          <w:rFonts w:cs="Times"/>
          <w:color w:val="000000"/>
          <w:szCs w:val="20"/>
        </w:rPr>
        <w:t xml:space="preserve"> the transmitter via sensing may be unable </w:t>
      </w:r>
      <w:r w:rsidR="00AF3841">
        <w:rPr>
          <w:rFonts w:cs="Times"/>
          <w:color w:val="000000"/>
          <w:szCs w:val="20"/>
        </w:rPr>
        <w:t xml:space="preserve">to sense a source of interference to the receiver. </w:t>
      </w:r>
      <w:r w:rsidR="00C05542">
        <w:rPr>
          <w:rFonts w:cs="Times"/>
          <w:color w:val="000000"/>
          <w:szCs w:val="20"/>
        </w:rPr>
        <w:t xml:space="preserve"> </w:t>
      </w:r>
      <w:r w:rsidR="00AE232D">
        <w:rPr>
          <w:rFonts w:cs="Times"/>
          <w:color w:val="000000"/>
          <w:szCs w:val="20"/>
        </w:rPr>
        <w:t xml:space="preserve">In such instances assistance from the receiver is beneficial. </w:t>
      </w:r>
      <w:r w:rsidR="00C05542">
        <w:rPr>
          <w:rFonts w:cs="Times"/>
          <w:color w:val="000000"/>
          <w:szCs w:val="20"/>
        </w:rPr>
        <w:t xml:space="preserve">  </w:t>
      </w:r>
      <w:r>
        <w:rPr>
          <w:rFonts w:cs="Times"/>
          <w:color w:val="000000"/>
          <w:szCs w:val="20"/>
        </w:rPr>
        <w:t>NR already offer multiple tools for interference assessment such as CSI-IM, and NZP-CSI-RS with flexible resource and time configurations (</w:t>
      </w:r>
      <w:r w:rsidRPr="00C01BFB">
        <w:rPr>
          <w:rFonts w:cs="Times"/>
          <w:color w:val="000000"/>
          <w:szCs w:val="20"/>
        </w:rPr>
        <w:t>aperiodic, periodic, or semi-persistent</w:t>
      </w:r>
      <w:r>
        <w:rPr>
          <w:rFonts w:cs="Times"/>
          <w:color w:val="000000"/>
          <w:szCs w:val="20"/>
        </w:rPr>
        <w:t>). Therefore, a straightforward way to implement a receiver assisted LBT is by extending the existing mechanisms (such as CSI-IM) to the specifics of shared spectrum operation.</w:t>
      </w:r>
    </w:p>
    <w:p w14:paraId="1B26AA72" w14:textId="7B171256" w:rsidR="00F93125" w:rsidRDefault="00F93125" w:rsidP="00F93125">
      <w:pPr>
        <w:rPr>
          <w:rFonts w:cs="Times"/>
          <w:b/>
          <w:bCs/>
          <w:color w:val="000000"/>
          <w:szCs w:val="20"/>
        </w:rPr>
      </w:pPr>
      <w:bookmarkStart w:id="14" w:name="_Hlk71165977"/>
      <w:bookmarkStart w:id="15" w:name="_Hlk71166022"/>
      <w:r w:rsidRPr="00802E95">
        <w:rPr>
          <w:rFonts w:cs="Times"/>
          <w:b/>
          <w:bCs/>
          <w:color w:val="000000"/>
          <w:szCs w:val="20"/>
        </w:rPr>
        <w:t xml:space="preserve">Proposal </w:t>
      </w:r>
      <w:r w:rsidR="00975713">
        <w:rPr>
          <w:rFonts w:cs="Times"/>
          <w:b/>
          <w:bCs/>
          <w:color w:val="000000"/>
          <w:szCs w:val="20"/>
        </w:rPr>
        <w:t>8</w:t>
      </w:r>
      <w:r w:rsidRPr="00802E95">
        <w:rPr>
          <w:rFonts w:cs="Times"/>
          <w:b/>
          <w:bCs/>
          <w:color w:val="000000"/>
          <w:szCs w:val="20"/>
        </w:rPr>
        <w:t>: For receiver assisted LBT, support NR CSI-IM based reporting for the clear channel assessment at the receiver.</w:t>
      </w:r>
    </w:p>
    <w:bookmarkEnd w:id="14"/>
    <w:p w14:paraId="356598E7" w14:textId="28B73B00" w:rsidR="00F93125" w:rsidRPr="00174801" w:rsidRDefault="00F93125" w:rsidP="00F93125">
      <w:pPr>
        <w:rPr>
          <w:rFonts w:cs="Times"/>
          <w:color w:val="000000"/>
          <w:szCs w:val="20"/>
        </w:rPr>
      </w:pPr>
      <w:r>
        <w:rPr>
          <w:rFonts w:cs="Times"/>
          <w:color w:val="000000"/>
          <w:szCs w:val="20"/>
        </w:rPr>
        <w:t xml:space="preserve">To provide a report on the </w:t>
      </w:r>
      <w:r w:rsidR="00782972">
        <w:rPr>
          <w:rFonts w:cs="Times"/>
          <w:color w:val="000000"/>
          <w:szCs w:val="20"/>
        </w:rPr>
        <w:t xml:space="preserve">resource </w:t>
      </w:r>
      <w:r>
        <w:rPr>
          <w:rFonts w:cs="Times"/>
          <w:color w:val="000000"/>
          <w:szCs w:val="20"/>
        </w:rPr>
        <w:t xml:space="preserve">availability, the receiver needs to measure the received RF power (for instance RSSI) over the provisioned resources (frequency, spatial filter) for a specific duration based on the LBT type </w:t>
      </w:r>
      <w:r w:rsidR="00782972">
        <w:rPr>
          <w:rFonts w:cs="Times"/>
          <w:color w:val="000000"/>
          <w:szCs w:val="20"/>
        </w:rPr>
        <w:t xml:space="preserve">and </w:t>
      </w:r>
      <w:r>
        <w:rPr>
          <w:rFonts w:cs="Times"/>
          <w:color w:val="000000"/>
          <w:szCs w:val="20"/>
        </w:rPr>
        <w:t>to compare the received energy with the energy detection threshold</w:t>
      </w:r>
      <w:r w:rsidR="00782972">
        <w:rPr>
          <w:rFonts w:cs="Times"/>
          <w:color w:val="000000"/>
          <w:szCs w:val="20"/>
        </w:rPr>
        <w:t>,</w:t>
      </w:r>
      <w:r>
        <w:rPr>
          <w:rFonts w:cs="Times"/>
          <w:color w:val="000000"/>
          <w:szCs w:val="20"/>
        </w:rPr>
        <w:t xml:space="preserve"> and to decide if the resource is clear (available) or not. Then the receiver must report to the transmitter the resource availability for a transmission. T</w:t>
      </w:r>
      <w:r w:rsidRPr="00174801">
        <w:rPr>
          <w:rFonts w:cs="Times"/>
          <w:color w:val="000000"/>
          <w:szCs w:val="20"/>
        </w:rPr>
        <w:t xml:space="preserve">he report from the receiver should be timely and </w:t>
      </w:r>
      <w:r>
        <w:rPr>
          <w:rFonts w:cs="Times"/>
          <w:color w:val="000000"/>
          <w:szCs w:val="20"/>
        </w:rPr>
        <w:t xml:space="preserve">as short as possible (to avoid errors and overhead), therefore a simple map of the resource availability is </w:t>
      </w:r>
      <w:r w:rsidR="00782972">
        <w:rPr>
          <w:rFonts w:cs="Times"/>
          <w:color w:val="000000"/>
          <w:szCs w:val="20"/>
        </w:rPr>
        <w:t>a better tradeoff</w:t>
      </w:r>
      <w:r>
        <w:rPr>
          <w:rFonts w:cs="Times"/>
          <w:color w:val="000000"/>
          <w:szCs w:val="20"/>
        </w:rPr>
        <w:t>.</w:t>
      </w:r>
      <w:r w:rsidR="00935FDD">
        <w:rPr>
          <w:rFonts w:cs="Times"/>
          <w:color w:val="000000"/>
          <w:szCs w:val="20"/>
        </w:rPr>
        <w:t xml:space="preserve"> Notice here that the transmitter side LBT when done on a per-LBT bandwidth basis can also yield availability information on a per-LBT bandwidth basis, </w:t>
      </w:r>
      <w:r w:rsidR="00782972">
        <w:rPr>
          <w:rFonts w:cs="Times"/>
          <w:color w:val="000000"/>
          <w:szCs w:val="20"/>
        </w:rPr>
        <w:t xml:space="preserve">but </w:t>
      </w:r>
      <w:r w:rsidR="00935FDD">
        <w:rPr>
          <w:rFonts w:cs="Times"/>
          <w:color w:val="000000"/>
          <w:szCs w:val="20"/>
        </w:rPr>
        <w:t xml:space="preserve">it incurs the penalty of multiple LBT processes with unequal completion times and furthermore does not fully mitigate the problem of hidden nodes.  </w:t>
      </w:r>
      <w:r w:rsidR="00782972">
        <w:rPr>
          <w:rFonts w:cs="Times"/>
          <w:color w:val="000000"/>
          <w:szCs w:val="20"/>
        </w:rPr>
        <w:t xml:space="preserve">Lastly, receiver-side only LBT can address the hidden node problem </w:t>
      </w:r>
      <w:r w:rsidR="00DA65D7">
        <w:rPr>
          <w:rFonts w:cs="Times"/>
          <w:color w:val="000000"/>
          <w:szCs w:val="20"/>
        </w:rPr>
        <w:t xml:space="preserve">(by accurately sensing the interference level at that receiver) </w:t>
      </w:r>
      <w:r w:rsidR="00782972">
        <w:rPr>
          <w:rFonts w:cs="Times"/>
          <w:color w:val="000000"/>
          <w:szCs w:val="20"/>
        </w:rPr>
        <w:t xml:space="preserve">but </w:t>
      </w:r>
      <w:r w:rsidR="00DA65D7">
        <w:rPr>
          <w:rFonts w:cs="Times"/>
          <w:color w:val="000000"/>
          <w:szCs w:val="20"/>
        </w:rPr>
        <w:t xml:space="preserve">it need not be sufficient to protect ongoing transmissions.  </w:t>
      </w:r>
    </w:p>
    <w:p w14:paraId="1C2BAB75" w14:textId="03AE2BD2" w:rsidR="003248F1" w:rsidRDefault="00F93125" w:rsidP="005812D3">
      <w:pPr>
        <w:rPr>
          <w:rFonts w:cs="Times"/>
          <w:b/>
          <w:bCs/>
          <w:color w:val="000000"/>
          <w:szCs w:val="20"/>
        </w:rPr>
      </w:pPr>
      <w:r w:rsidRPr="009D036E">
        <w:rPr>
          <w:rFonts w:cs="Times"/>
          <w:b/>
          <w:bCs/>
          <w:color w:val="000000"/>
          <w:szCs w:val="20"/>
        </w:rPr>
        <w:t>Proposal</w:t>
      </w:r>
      <w:r>
        <w:rPr>
          <w:rFonts w:cs="Times"/>
          <w:b/>
          <w:bCs/>
          <w:color w:val="000000"/>
          <w:szCs w:val="20"/>
        </w:rPr>
        <w:t xml:space="preserve"> </w:t>
      </w:r>
      <w:r w:rsidR="00975713">
        <w:rPr>
          <w:rFonts w:cs="Times"/>
          <w:b/>
          <w:bCs/>
          <w:color w:val="000000"/>
          <w:szCs w:val="20"/>
        </w:rPr>
        <w:t>9</w:t>
      </w:r>
      <w:r w:rsidRPr="009D036E">
        <w:rPr>
          <w:rFonts w:cs="Times"/>
          <w:b/>
          <w:bCs/>
          <w:color w:val="000000"/>
          <w:szCs w:val="20"/>
        </w:rPr>
        <w:t>: For</w:t>
      </w:r>
      <w:r>
        <w:rPr>
          <w:rFonts w:cs="Times"/>
          <w:b/>
          <w:bCs/>
          <w:color w:val="000000"/>
          <w:szCs w:val="20"/>
        </w:rPr>
        <w:t xml:space="preserve"> receiver assisted LBT, the receiver shall report the resource availability prior to the </w:t>
      </w:r>
      <w:r w:rsidR="00782972">
        <w:rPr>
          <w:rFonts w:cs="Times"/>
          <w:b/>
          <w:bCs/>
          <w:color w:val="000000"/>
          <w:szCs w:val="20"/>
        </w:rPr>
        <w:t>transmi</w:t>
      </w:r>
      <w:r w:rsidR="00995B6D">
        <w:rPr>
          <w:rFonts w:cs="Times"/>
          <w:b/>
          <w:bCs/>
          <w:color w:val="000000"/>
          <w:szCs w:val="20"/>
        </w:rPr>
        <w:t>ssion</w:t>
      </w:r>
      <w:r>
        <w:rPr>
          <w:rFonts w:cs="Times"/>
          <w:b/>
          <w:bCs/>
          <w:color w:val="000000"/>
          <w:szCs w:val="20"/>
        </w:rPr>
        <w:t>. The RSSI measurement definition may be extended to assess the resource availability, where the resources, type of measurement (for instance Cat2 LBT) shall be provided by the transmitter.</w:t>
      </w:r>
      <w:bookmarkEnd w:id="15"/>
    </w:p>
    <w:p w14:paraId="7FAD3EB5" w14:textId="77777777" w:rsidR="005812D3" w:rsidRPr="005812D3" w:rsidRDefault="005812D3" w:rsidP="005812D3">
      <w:pPr>
        <w:rPr>
          <w:rFonts w:cs="Times"/>
          <w:b/>
          <w:bCs/>
          <w:color w:val="000000"/>
          <w:szCs w:val="20"/>
        </w:rPr>
      </w:pPr>
    </w:p>
    <w:p w14:paraId="1DA2C700" w14:textId="006E226F" w:rsidR="00434E32" w:rsidRDefault="00C10C62" w:rsidP="00434E32">
      <w:pPr>
        <w:pStyle w:val="Heading1"/>
      </w:pPr>
      <w:r>
        <w:t xml:space="preserve">LBT and </w:t>
      </w:r>
      <w:r w:rsidR="00434E32">
        <w:t xml:space="preserve">No-LBT </w:t>
      </w:r>
      <w:r>
        <w:t>Signaling and R</w:t>
      </w:r>
      <w:r w:rsidR="00434E32">
        <w:t>elated Procedures</w:t>
      </w:r>
    </w:p>
    <w:p w14:paraId="6B0A08C4" w14:textId="00895363" w:rsidR="00C10C62" w:rsidRPr="00C10C62" w:rsidRDefault="005E3848" w:rsidP="00C10C62">
      <w:pPr>
        <w:rPr>
          <w:bCs/>
        </w:rPr>
      </w:pPr>
      <w:r w:rsidRPr="004169E2">
        <w:t xml:space="preserve">In some regions LBT is </w:t>
      </w:r>
      <w:r w:rsidR="00DA65D7">
        <w:t>not mandatory</w:t>
      </w:r>
      <w:r w:rsidR="00DA65D7" w:rsidRPr="004169E2">
        <w:t xml:space="preserve"> </w:t>
      </w:r>
      <w:r w:rsidRPr="004169E2">
        <w:t xml:space="preserve">for operating in </w:t>
      </w:r>
      <w:r w:rsidR="00DA65D7">
        <w:t xml:space="preserve">the </w:t>
      </w:r>
      <w:r w:rsidRPr="004169E2">
        <w:t xml:space="preserve">unlicensed bands in </w:t>
      </w:r>
      <w:r w:rsidRPr="004169E2">
        <w:rPr>
          <w:lang w:eastAsia="x-none"/>
        </w:rPr>
        <w:t>NR_ext_to_71GHz</w:t>
      </w:r>
      <w:r w:rsidRPr="004169E2">
        <w:t xml:space="preserve">. </w:t>
      </w:r>
      <w:r w:rsidR="00E22E57">
        <w:rPr>
          <w:bCs/>
        </w:rPr>
        <w:t>O</w:t>
      </w:r>
      <w:r>
        <w:rPr>
          <w:bCs/>
        </w:rPr>
        <w:t xml:space="preserve">ver such scenarios, </w:t>
      </w:r>
      <w:r w:rsidR="00C10C62">
        <w:rPr>
          <w:bCs/>
        </w:rPr>
        <w:t xml:space="preserve">allowing </w:t>
      </w:r>
      <w:r w:rsidR="00530CE1">
        <w:rPr>
          <w:bCs/>
        </w:rPr>
        <w:t>cell</w:t>
      </w:r>
      <w:r w:rsidR="00117ECC">
        <w:rPr>
          <w:bCs/>
        </w:rPr>
        <w:t xml:space="preserve"> </w:t>
      </w:r>
      <w:r w:rsidR="00530CE1">
        <w:rPr>
          <w:bCs/>
        </w:rPr>
        <w:t xml:space="preserve">specific LBT enable/disable </w:t>
      </w:r>
      <w:r w:rsidR="00117ECC">
        <w:rPr>
          <w:bCs/>
        </w:rPr>
        <w:t xml:space="preserve">can </w:t>
      </w:r>
      <w:r w:rsidR="00530CE1">
        <w:rPr>
          <w:bCs/>
        </w:rPr>
        <w:t xml:space="preserve">allow for </w:t>
      </w:r>
      <w:r w:rsidR="00AF6404">
        <w:rPr>
          <w:bCs/>
        </w:rPr>
        <w:t xml:space="preserve">improved co-existence with </w:t>
      </w:r>
      <w:r w:rsidR="00117ECC">
        <w:rPr>
          <w:bCs/>
        </w:rPr>
        <w:t xml:space="preserve">a </w:t>
      </w:r>
      <w:r w:rsidR="00530CE1">
        <w:rPr>
          <w:bCs/>
        </w:rPr>
        <w:t xml:space="preserve">simpler implementation. However, we are open to study use-cases where UE-specific </w:t>
      </w:r>
      <w:r w:rsidR="00AF6404">
        <w:rPr>
          <w:bCs/>
        </w:rPr>
        <w:t xml:space="preserve">LBT enable/disable </w:t>
      </w:r>
      <w:r w:rsidR="00530CE1">
        <w:rPr>
          <w:bCs/>
        </w:rPr>
        <w:t>signaling can allow f</w:t>
      </w:r>
      <w:r w:rsidR="00117ECC">
        <w:rPr>
          <w:bCs/>
        </w:rPr>
        <w:t>urther</w:t>
      </w:r>
      <w:r w:rsidR="00530CE1">
        <w:rPr>
          <w:bCs/>
        </w:rPr>
        <w:t xml:space="preserve"> finer optimization. </w:t>
      </w:r>
    </w:p>
    <w:p w14:paraId="62F6F83C" w14:textId="2F50AD85" w:rsidR="005E3848" w:rsidRPr="005E3848" w:rsidRDefault="005E3848" w:rsidP="005E3848">
      <w:pPr>
        <w:autoSpaceDE/>
        <w:autoSpaceDN/>
        <w:adjustRightInd/>
        <w:spacing w:after="0"/>
        <w:jc w:val="left"/>
        <w:rPr>
          <w:rFonts w:eastAsia="Times New Roman"/>
          <w:b/>
          <w:bCs/>
          <w:szCs w:val="20"/>
        </w:rPr>
      </w:pPr>
      <w:bookmarkStart w:id="16" w:name="_Hlk71166060"/>
      <w:r w:rsidRPr="005E3848">
        <w:rPr>
          <w:rFonts w:eastAsia="Times New Roman"/>
          <w:b/>
          <w:bCs/>
          <w:szCs w:val="20"/>
        </w:rPr>
        <w:t xml:space="preserve">Proposal </w:t>
      </w:r>
      <w:r w:rsidR="00975713">
        <w:rPr>
          <w:rFonts w:eastAsia="Times New Roman"/>
          <w:b/>
          <w:bCs/>
          <w:szCs w:val="20"/>
        </w:rPr>
        <w:t>10</w:t>
      </w:r>
      <w:r w:rsidRPr="005E3848">
        <w:rPr>
          <w:rFonts w:eastAsia="Times New Roman"/>
          <w:b/>
          <w:bCs/>
          <w:szCs w:val="20"/>
        </w:rPr>
        <w:t xml:space="preserve">: For regions where LBT is not mandatory, </w:t>
      </w:r>
      <w:r w:rsidR="00DA65D7">
        <w:rPr>
          <w:rFonts w:eastAsia="Times New Roman"/>
          <w:b/>
          <w:bCs/>
          <w:szCs w:val="20"/>
        </w:rPr>
        <w:t xml:space="preserve">a </w:t>
      </w:r>
      <w:r w:rsidRPr="005E3848">
        <w:rPr>
          <w:rFonts w:eastAsia="Times New Roman"/>
          <w:b/>
          <w:bCs/>
          <w:szCs w:val="20"/>
        </w:rPr>
        <w:t xml:space="preserve">no-LBT mode can be </w:t>
      </w:r>
      <w:r w:rsidR="00DA65D7">
        <w:rPr>
          <w:rFonts w:eastAsia="Times New Roman"/>
          <w:b/>
          <w:bCs/>
          <w:szCs w:val="20"/>
        </w:rPr>
        <w:t>defined</w:t>
      </w:r>
      <w:r w:rsidR="00DA65D7" w:rsidRPr="005E3848">
        <w:rPr>
          <w:rFonts w:eastAsia="Times New Roman"/>
          <w:b/>
          <w:bCs/>
          <w:szCs w:val="20"/>
        </w:rPr>
        <w:t xml:space="preserve"> </w:t>
      </w:r>
      <w:r w:rsidRPr="005E3848">
        <w:rPr>
          <w:rFonts w:eastAsia="Times New Roman"/>
          <w:b/>
          <w:bCs/>
          <w:szCs w:val="20"/>
        </w:rPr>
        <w:t xml:space="preserve">and switching between LBT mode and no-LBT mode can be supported. </w:t>
      </w:r>
      <w:r>
        <w:rPr>
          <w:rFonts w:eastAsia="Times New Roman"/>
          <w:b/>
          <w:bCs/>
          <w:szCs w:val="20"/>
        </w:rPr>
        <w:t xml:space="preserve"> </w:t>
      </w:r>
    </w:p>
    <w:p w14:paraId="4071408E" w14:textId="77777777" w:rsidR="005E3848" w:rsidRDefault="005E3848" w:rsidP="005E3848">
      <w:pPr>
        <w:autoSpaceDE/>
        <w:autoSpaceDN/>
        <w:adjustRightInd/>
        <w:spacing w:after="0"/>
        <w:jc w:val="left"/>
        <w:rPr>
          <w:rFonts w:eastAsia="Times New Roman"/>
          <w:b/>
          <w:bCs/>
          <w:szCs w:val="20"/>
        </w:rPr>
      </w:pPr>
    </w:p>
    <w:p w14:paraId="379E0D15" w14:textId="052D1CDD" w:rsidR="005E3848" w:rsidRPr="005E3848" w:rsidRDefault="005E3848" w:rsidP="005E3848">
      <w:pPr>
        <w:autoSpaceDE/>
        <w:autoSpaceDN/>
        <w:adjustRightInd/>
        <w:spacing w:after="0"/>
        <w:jc w:val="left"/>
        <w:rPr>
          <w:rFonts w:eastAsia="Times New Roman"/>
          <w:b/>
          <w:bCs/>
          <w:szCs w:val="20"/>
        </w:rPr>
      </w:pPr>
      <w:r w:rsidRPr="005E3848">
        <w:rPr>
          <w:rFonts w:eastAsia="Times New Roman"/>
          <w:b/>
          <w:bCs/>
          <w:szCs w:val="20"/>
        </w:rPr>
        <w:t xml:space="preserve">Proposal </w:t>
      </w:r>
      <w:r w:rsidR="009633BF">
        <w:rPr>
          <w:rFonts w:eastAsia="Times New Roman"/>
          <w:b/>
          <w:bCs/>
          <w:szCs w:val="20"/>
        </w:rPr>
        <w:t>1</w:t>
      </w:r>
      <w:r w:rsidR="00975713">
        <w:rPr>
          <w:rFonts w:eastAsia="Times New Roman"/>
          <w:b/>
          <w:bCs/>
          <w:szCs w:val="20"/>
        </w:rPr>
        <w:t>1</w:t>
      </w:r>
      <w:r w:rsidRPr="005E3848">
        <w:rPr>
          <w:rFonts w:eastAsia="Times New Roman"/>
          <w:b/>
          <w:bCs/>
          <w:szCs w:val="20"/>
        </w:rPr>
        <w:t>: For indication of LBT mode and no-LBT mode, cell specific (common for all U</w:t>
      </w:r>
      <w:r>
        <w:rPr>
          <w:rFonts w:eastAsia="Times New Roman"/>
          <w:b/>
          <w:bCs/>
          <w:szCs w:val="20"/>
        </w:rPr>
        <w:t>E</w:t>
      </w:r>
      <w:r w:rsidRPr="005E3848">
        <w:rPr>
          <w:rFonts w:eastAsia="Times New Roman"/>
          <w:b/>
          <w:bCs/>
          <w:szCs w:val="20"/>
        </w:rPr>
        <w:t xml:space="preserve">s in a cell) indication as part of system information and dedicated RRC signaling should be supported. </w:t>
      </w:r>
    </w:p>
    <w:p w14:paraId="5D67D41C" w14:textId="4C2B8599" w:rsidR="00AE232D" w:rsidRPr="005812D3" w:rsidRDefault="005E3848" w:rsidP="005812D3">
      <w:pPr>
        <w:ind w:left="425"/>
        <w:rPr>
          <w:rFonts w:eastAsia="Times New Roman"/>
          <w:b/>
          <w:bCs/>
          <w:szCs w:val="24"/>
          <w:lang w:eastAsia="zh-CN"/>
        </w:rPr>
      </w:pPr>
      <w:r w:rsidRPr="005E3848">
        <w:rPr>
          <w:rFonts w:eastAsia="Times New Roman"/>
          <w:b/>
          <w:bCs/>
          <w:szCs w:val="20"/>
        </w:rPr>
        <w:t>•</w:t>
      </w:r>
      <w:r>
        <w:rPr>
          <w:rFonts w:eastAsia="Times New Roman"/>
          <w:b/>
          <w:bCs/>
          <w:szCs w:val="20"/>
        </w:rPr>
        <w:t xml:space="preserve"> FFS:</w:t>
      </w:r>
      <w:r w:rsidRPr="005E3848">
        <w:rPr>
          <w:rFonts w:eastAsia="Times New Roman"/>
          <w:b/>
          <w:bCs/>
          <w:szCs w:val="20"/>
        </w:rPr>
        <w:t xml:space="preserve"> </w:t>
      </w:r>
      <w:r>
        <w:rPr>
          <w:rFonts w:eastAsia="Times New Roman"/>
          <w:b/>
          <w:bCs/>
          <w:szCs w:val="20"/>
        </w:rPr>
        <w:t xml:space="preserve">Supporting </w:t>
      </w:r>
      <w:r w:rsidRPr="005E3848">
        <w:rPr>
          <w:rFonts w:eastAsia="Times New Roman"/>
          <w:b/>
          <w:bCs/>
          <w:szCs w:val="20"/>
        </w:rPr>
        <w:t>UE specific (</w:t>
      </w:r>
      <w:r>
        <w:rPr>
          <w:rFonts w:eastAsia="Times New Roman"/>
          <w:b/>
          <w:bCs/>
          <w:szCs w:val="20"/>
        </w:rPr>
        <w:t>i.e.,</w:t>
      </w:r>
      <w:r w:rsidRPr="005E3848">
        <w:rPr>
          <w:rFonts w:eastAsia="Times New Roman"/>
          <w:b/>
          <w:bCs/>
          <w:szCs w:val="20"/>
        </w:rPr>
        <w:t xml:space="preserve"> different for different U</w:t>
      </w:r>
      <w:r>
        <w:rPr>
          <w:rFonts w:eastAsia="Times New Roman"/>
          <w:b/>
          <w:bCs/>
          <w:szCs w:val="20"/>
        </w:rPr>
        <w:t>E</w:t>
      </w:r>
      <w:r w:rsidRPr="005E3848">
        <w:rPr>
          <w:rFonts w:eastAsia="Times New Roman"/>
          <w:b/>
          <w:bCs/>
          <w:szCs w:val="20"/>
        </w:rPr>
        <w:t xml:space="preserve">s in a cell) indication </w:t>
      </w:r>
      <w:r>
        <w:rPr>
          <w:rFonts w:eastAsia="Times New Roman"/>
          <w:b/>
          <w:bCs/>
          <w:szCs w:val="20"/>
        </w:rPr>
        <w:t>via</w:t>
      </w:r>
      <w:r w:rsidRPr="005E3848">
        <w:rPr>
          <w:rFonts w:eastAsia="Times New Roman"/>
          <w:b/>
          <w:bCs/>
          <w:szCs w:val="20"/>
        </w:rPr>
        <w:t xml:space="preserve"> dedicated RRC signaling</w:t>
      </w:r>
      <w:r w:rsidR="00C10C62" w:rsidRPr="005E3848">
        <w:rPr>
          <w:b/>
          <w:bCs/>
        </w:rPr>
        <w:t>.</w:t>
      </w:r>
      <w:bookmarkEnd w:id="16"/>
    </w:p>
    <w:p w14:paraId="5AC900A7" w14:textId="4068B44C" w:rsidR="00AE232D" w:rsidRDefault="00AE232D" w:rsidP="00434E32">
      <w:r>
        <w:t xml:space="preserve">We do </w:t>
      </w:r>
      <w:r w:rsidR="004C55F2">
        <w:t xml:space="preserve">not </w:t>
      </w:r>
      <w:r>
        <w:t>see enough justification for allowing a per-beam LBT</w:t>
      </w:r>
      <w:r w:rsidR="00DA65D7">
        <w:t xml:space="preserve"> enable/disable signaling</w:t>
      </w:r>
      <w:r w:rsidR="00753550">
        <w:t xml:space="preserve">. This provides additional option (compared to per-UE LBT enable/disable) mainly in the scenario when a single user communicates using </w:t>
      </w:r>
      <w:r w:rsidR="00E36C9D">
        <w:t>more than one</w:t>
      </w:r>
      <w:r w:rsidR="00753550">
        <w:t xml:space="preserve"> beams, but </w:t>
      </w:r>
      <w:r w:rsidR="00DA65D7">
        <w:t xml:space="preserve">then </w:t>
      </w:r>
      <w:r w:rsidR="00753550">
        <w:t>it opens</w:t>
      </w:r>
      <w:r w:rsidR="00DC4C5D">
        <w:t xml:space="preserve"> </w:t>
      </w:r>
      <w:r w:rsidR="00753550">
        <w:t>up multiple issues in terms different completion times for multiple LBT processes at the same user.</w:t>
      </w:r>
    </w:p>
    <w:p w14:paraId="3CC23796" w14:textId="150F75F5" w:rsidR="00434E32" w:rsidRDefault="00AF6404" w:rsidP="00434E32">
      <w:r>
        <w:t xml:space="preserve">In our opinion operating </w:t>
      </w:r>
      <w:r w:rsidR="00117ECC">
        <w:t xml:space="preserve">without LBT and without any additional policy to address coexistence </w:t>
      </w:r>
      <w:r w:rsidR="00DA65D7">
        <w:t xml:space="preserve">(or managing interference) </w:t>
      </w:r>
      <w:r w:rsidR="00117ECC">
        <w:t xml:space="preserve">can result in degraded </w:t>
      </w:r>
      <w:r w:rsidR="00DA65D7">
        <w:t xml:space="preserve">performance </w:t>
      </w:r>
      <w:r w:rsidR="00E22E57">
        <w:t>in several cases</w:t>
      </w:r>
      <w:r w:rsidR="00117ECC">
        <w:t xml:space="preserve">. </w:t>
      </w:r>
      <w:r w:rsidR="00E22E57">
        <w:t>In this context, w</w:t>
      </w:r>
      <w:r w:rsidR="00117ECC">
        <w:t>e note that w</w:t>
      </w:r>
      <w:r w:rsidR="00434E32" w:rsidRPr="004169E2">
        <w:t xml:space="preserve">hile it is tempting to assume that there is an absence of significant interference in </w:t>
      </w:r>
      <w:r w:rsidR="00117ECC">
        <w:rPr>
          <w:lang w:eastAsia="x-none"/>
        </w:rPr>
        <w:t>the beyond 52.6 GHz</w:t>
      </w:r>
      <w:r w:rsidR="00434E32" w:rsidRPr="004169E2">
        <w:t xml:space="preserve"> </w:t>
      </w:r>
      <w:r w:rsidR="00DA65D7">
        <w:t>(</w:t>
      </w:r>
      <w:r w:rsidR="00DA65D7" w:rsidRPr="004169E2">
        <w:rPr>
          <w:lang w:eastAsia="x-none"/>
        </w:rPr>
        <w:t>NR_ext_to_71GHz</w:t>
      </w:r>
      <w:r w:rsidR="00DA65D7">
        <w:rPr>
          <w:lang w:eastAsia="x-none"/>
        </w:rPr>
        <w:t>)</w:t>
      </w:r>
      <w:r w:rsidR="00DA65D7">
        <w:t xml:space="preserve"> </w:t>
      </w:r>
      <w:r w:rsidR="00117ECC">
        <w:t xml:space="preserve">frequency range </w:t>
      </w:r>
      <w:r w:rsidR="00434E32" w:rsidRPr="004169E2">
        <w:t>due to narrow beams and high propagation loss, it so happens that such optimistic assumptions need not always hold. Indeed, as demonstrated in [</w:t>
      </w:r>
      <w:r w:rsidR="00115592">
        <w:t>6</w:t>
      </w:r>
      <w:r w:rsidR="00434E32" w:rsidRPr="004169E2">
        <w:t xml:space="preserve">] for legacy (802.16ad) WiFi devices operating in 60GHz, beams realized via practical devices have considerable sidelobes which, along with out-of-band emissions, can be a source of significant interference. Such interference is particularly detrimental since it is a spurious transmission that does not benefit any receiver.  Moreover, </w:t>
      </w:r>
      <w:r w:rsidR="00434E32" w:rsidRPr="004169E2">
        <w:lastRenderedPageBreak/>
        <w:t xml:space="preserve">the commonly used default mode in several legacy </w:t>
      </w:r>
      <w:r w:rsidR="00876FDA">
        <w:t xml:space="preserve">Wifi </w:t>
      </w:r>
      <w:r w:rsidR="00434E32" w:rsidRPr="004169E2">
        <w:t>devices</w:t>
      </w:r>
      <w:r w:rsidR="00434E32">
        <w:t>,</w:t>
      </w:r>
      <w:r w:rsidR="00434E32" w:rsidRPr="004169E2">
        <w:t xml:space="preserve"> at-least in the indoor settings, is to use omni</w:t>
      </w:r>
      <w:r w:rsidR="00DC4C5D">
        <w:t xml:space="preserve"> </w:t>
      </w:r>
      <w:r w:rsidR="00434E32" w:rsidRPr="004169E2">
        <w:t xml:space="preserve">RX beams. This is because while it is recognized that finer RX beamforming can alleviate the interference problem, the caveat is that there can be increased training overhead and higher susceptibility to blocking upon using such beamforming. Thus, there can be vast disparities in the capabilities (in terms of </w:t>
      </w:r>
      <w:r w:rsidR="00434E32">
        <w:t>out-of-band emission suppression</w:t>
      </w:r>
      <w:r w:rsidR="00434E32" w:rsidRPr="004169E2">
        <w:t>, TX and RX beamforming capability etc.)</w:t>
      </w:r>
      <w:r w:rsidR="00434E32">
        <w:t xml:space="preserve"> and operational settings among</w:t>
      </w:r>
      <w:r w:rsidR="00434E32" w:rsidRPr="004169E2">
        <w:t xml:space="preserve"> co-existing devices. In addition, there is an asymmetry inherent in interference among co-existing links, i.e., one TX-RX </w:t>
      </w:r>
      <w:r w:rsidR="00434E32">
        <w:t xml:space="preserve">link </w:t>
      </w:r>
      <w:r w:rsidR="00434E32" w:rsidRPr="004169E2">
        <w:t>can suffer much more interference from a coexisting active link while imposing substantially less interference on that link. Together</w:t>
      </w:r>
      <w:r w:rsidR="00434E32">
        <w:t>,</w:t>
      </w:r>
      <w:r w:rsidR="00434E32" w:rsidRPr="004169E2">
        <w:t xml:space="preserve"> these factors imply that operating without LBT and without any form of interference mitigation policies can lead to reduced system throughput and/or degraded fairness. One approach that seems feasible is for each device to adopt a policy of a </w:t>
      </w:r>
      <w:r w:rsidR="00434E32">
        <w:t>certain</w:t>
      </w:r>
      <w:r w:rsidR="00434E32" w:rsidRPr="004169E2">
        <w:t xml:space="preserve"> channel vacation after each acquired CoT, and such a policy will be more effective if it accounts for the disparity </w:t>
      </w:r>
      <w:r w:rsidR="00434E32">
        <w:t xml:space="preserve">prevalent </w:t>
      </w:r>
      <w:r w:rsidR="00434E32" w:rsidRPr="004169E2">
        <w:t>among co-existing devices.</w:t>
      </w:r>
      <w:r w:rsidR="00434E32">
        <w:t xml:space="preserve"> </w:t>
      </w:r>
    </w:p>
    <w:p w14:paraId="6B5BE7E4" w14:textId="2899609D" w:rsidR="00FE2300" w:rsidRDefault="00434E32" w:rsidP="005812D3">
      <w:pPr>
        <w:rPr>
          <w:b/>
          <w:bCs/>
          <w:lang w:eastAsia="ko-KR"/>
        </w:rPr>
      </w:pPr>
      <w:bookmarkStart w:id="17" w:name="_Hlk68467852"/>
      <w:r w:rsidRPr="005E3848">
        <w:rPr>
          <w:b/>
          <w:bCs/>
          <w:lang w:eastAsia="ko-KR"/>
        </w:rPr>
        <w:t xml:space="preserve">Proposal </w:t>
      </w:r>
      <w:r w:rsidR="009633BF">
        <w:rPr>
          <w:b/>
          <w:bCs/>
          <w:lang w:eastAsia="ko-KR"/>
        </w:rPr>
        <w:t>1</w:t>
      </w:r>
      <w:r w:rsidR="00975713">
        <w:rPr>
          <w:b/>
          <w:bCs/>
          <w:lang w:eastAsia="ko-KR"/>
        </w:rPr>
        <w:t>2</w:t>
      </w:r>
      <w:r w:rsidRPr="005E3848">
        <w:rPr>
          <w:b/>
          <w:bCs/>
          <w:lang w:eastAsia="ko-KR"/>
        </w:rPr>
        <w:t xml:space="preserve">:  In deployments </w:t>
      </w:r>
      <w:r w:rsidR="00771C4F">
        <w:rPr>
          <w:b/>
          <w:bCs/>
          <w:lang w:eastAsia="ko-KR"/>
        </w:rPr>
        <w:t xml:space="preserve">without LBT </w:t>
      </w:r>
      <w:r w:rsidRPr="005E3848">
        <w:rPr>
          <w:b/>
          <w:bCs/>
          <w:lang w:eastAsia="ko-KR"/>
        </w:rPr>
        <w:t>consider specification of channel vacation policies accounting for disparity among co-existing devices.</w:t>
      </w:r>
      <w:bookmarkEnd w:id="17"/>
    </w:p>
    <w:p w14:paraId="1F1C41C7" w14:textId="77777777" w:rsidR="005812D3" w:rsidRPr="005812D3" w:rsidRDefault="005812D3" w:rsidP="005812D3">
      <w:pPr>
        <w:rPr>
          <w:b/>
          <w:bCs/>
          <w:lang w:eastAsia="ko-KR"/>
        </w:rPr>
      </w:pPr>
    </w:p>
    <w:p w14:paraId="4B2B7661" w14:textId="753E1FEE" w:rsidR="00D420D3" w:rsidRPr="00D420D3" w:rsidRDefault="00D420D3" w:rsidP="00D420D3">
      <w:pPr>
        <w:keepNext/>
        <w:numPr>
          <w:ilvl w:val="0"/>
          <w:numId w:val="2"/>
        </w:numPr>
        <w:pBdr>
          <w:top w:val="single" w:sz="12" w:space="1" w:color="auto"/>
        </w:pBdr>
        <w:spacing w:before="120"/>
        <w:outlineLvl w:val="0"/>
        <w:rPr>
          <w:rFonts w:ascii="Arial" w:hAnsi="Arial"/>
          <w:b/>
          <w:bCs/>
          <w:sz w:val="28"/>
          <w:szCs w:val="28"/>
        </w:rPr>
      </w:pPr>
      <w:r w:rsidRPr="00D420D3">
        <w:rPr>
          <w:rFonts w:ascii="Arial" w:hAnsi="Arial"/>
          <w:b/>
          <w:bCs/>
          <w:sz w:val="28"/>
          <w:szCs w:val="28"/>
        </w:rPr>
        <w:t>Conclusion</w:t>
      </w:r>
      <w:r w:rsidR="00E22E57">
        <w:rPr>
          <w:rFonts w:ascii="Arial" w:hAnsi="Arial"/>
          <w:b/>
          <w:bCs/>
          <w:sz w:val="28"/>
          <w:szCs w:val="28"/>
        </w:rPr>
        <w:t>s</w:t>
      </w:r>
    </w:p>
    <w:p w14:paraId="3498B8B0" w14:textId="77777777" w:rsidR="00BC2D8A" w:rsidRDefault="00BC2D8A" w:rsidP="00BF2769">
      <w:pPr>
        <w:rPr>
          <w:rFonts w:eastAsia="DengXian" w:cs="Times"/>
          <w:b/>
          <w:kern w:val="32"/>
          <w:lang w:eastAsia="zh-CN"/>
        </w:rPr>
      </w:pPr>
    </w:p>
    <w:p w14:paraId="01763159" w14:textId="0AC2E7A2" w:rsidR="00BF2769" w:rsidRPr="00635AA3" w:rsidRDefault="00BF2769" w:rsidP="00BF2769">
      <w:pPr>
        <w:rPr>
          <w:rFonts w:eastAsia="DengXian" w:cs="Times"/>
          <w:b/>
          <w:kern w:val="32"/>
          <w:lang w:eastAsia="zh-CN"/>
        </w:rPr>
      </w:pPr>
      <w:r w:rsidRPr="00635AA3">
        <w:rPr>
          <w:rFonts w:eastAsia="DengXian" w:cs="Times"/>
          <w:b/>
          <w:kern w:val="32"/>
          <w:lang w:eastAsia="zh-CN"/>
        </w:rPr>
        <w:t xml:space="preserve">Observation 1. The working assumption is </w:t>
      </w:r>
      <w:r w:rsidR="00995B6D">
        <w:rPr>
          <w:rFonts w:eastAsia="DengXian" w:cs="Times"/>
          <w:b/>
          <w:kern w:val="32"/>
          <w:lang w:eastAsia="zh-CN"/>
        </w:rPr>
        <w:t xml:space="preserve">only </w:t>
      </w:r>
      <w:r w:rsidRPr="00635AA3">
        <w:rPr>
          <w:rFonts w:eastAsia="DengXian" w:cs="Times"/>
          <w:b/>
          <w:kern w:val="32"/>
          <w:lang w:eastAsia="zh-CN"/>
        </w:rPr>
        <w:t xml:space="preserve">well justified when a single LBT sensing is carried out by a node using one sensing beam for all transmit beams intended to be used in </w:t>
      </w:r>
      <w:r w:rsidR="00BC2D8A">
        <w:rPr>
          <w:rFonts w:eastAsia="DengXian" w:cs="Times"/>
          <w:b/>
          <w:kern w:val="32"/>
          <w:lang w:eastAsia="zh-CN"/>
        </w:rPr>
        <w:t xml:space="preserve">the </w:t>
      </w:r>
      <w:r w:rsidRPr="00635AA3">
        <w:rPr>
          <w:rFonts w:eastAsia="DengXian" w:cs="Times"/>
          <w:b/>
          <w:kern w:val="32"/>
          <w:lang w:eastAsia="zh-CN"/>
        </w:rPr>
        <w:t>COT</w:t>
      </w:r>
      <w:r w:rsidR="005812D3">
        <w:rPr>
          <w:rFonts w:eastAsia="DengXian" w:cs="Times"/>
          <w:b/>
          <w:kern w:val="32"/>
          <w:lang w:eastAsia="zh-CN"/>
        </w:rPr>
        <w:t>.</w:t>
      </w:r>
    </w:p>
    <w:p w14:paraId="04DF5424" w14:textId="77777777" w:rsidR="00E36C9D" w:rsidRDefault="00E36C9D" w:rsidP="00D420D3">
      <w:pPr>
        <w:rPr>
          <w:rFonts w:eastAsia="DengXian" w:cs="Times"/>
          <w:b/>
          <w:kern w:val="32"/>
          <w:lang w:eastAsia="zh-CN"/>
        </w:rPr>
      </w:pPr>
    </w:p>
    <w:p w14:paraId="1B3379C6" w14:textId="175FA05D" w:rsidR="00975713" w:rsidRDefault="00975713" w:rsidP="00D420D3">
      <w:pPr>
        <w:rPr>
          <w:rFonts w:cs="Times"/>
          <w:b/>
          <w:szCs w:val="20"/>
        </w:rPr>
      </w:pPr>
      <w:r w:rsidRPr="00272FEA">
        <w:rPr>
          <w:rFonts w:eastAsia="DengXian" w:cs="Times"/>
          <w:b/>
          <w:kern w:val="32"/>
          <w:lang w:eastAsia="zh-CN"/>
        </w:rPr>
        <w:t xml:space="preserve">Proposal </w:t>
      </w:r>
      <w:r w:rsidR="00BF2769">
        <w:rPr>
          <w:rFonts w:cs="Times"/>
          <w:b/>
          <w:kern w:val="32"/>
          <w:lang w:eastAsia="zh-CN"/>
        </w:rPr>
        <w:t>1</w:t>
      </w:r>
      <w:r w:rsidRPr="00272FEA">
        <w:rPr>
          <w:rFonts w:cs="Times"/>
          <w:b/>
          <w:kern w:val="32"/>
          <w:lang w:eastAsia="zh-CN"/>
        </w:rPr>
        <w:t xml:space="preserve">: </w:t>
      </w:r>
      <w:r w:rsidR="00995B6D">
        <w:rPr>
          <w:rFonts w:cs="Times"/>
          <w:b/>
          <w:kern w:val="32"/>
          <w:lang w:eastAsia="zh-CN"/>
        </w:rPr>
        <w:t xml:space="preserve">In LBT for single carrier transmission </w:t>
      </w:r>
      <w:r w:rsidRPr="00272FEA">
        <w:rPr>
          <w:rFonts w:cs="Times"/>
          <w:b/>
          <w:szCs w:val="20"/>
        </w:rPr>
        <w:t>gNB/UE performs LBT over the channel bandwidth (or BWP bandwidth)</w:t>
      </w:r>
    </w:p>
    <w:p w14:paraId="4EE2C894" w14:textId="6D35AEC7" w:rsidR="003977EB" w:rsidRDefault="003977EB" w:rsidP="00D420D3">
      <w:pPr>
        <w:rPr>
          <w:rFonts w:cs="Times"/>
          <w:b/>
          <w:szCs w:val="20"/>
        </w:rPr>
      </w:pPr>
    </w:p>
    <w:p w14:paraId="063F4FDB" w14:textId="77777777" w:rsidR="003977EB" w:rsidRDefault="003977EB" w:rsidP="003977EB">
      <w:pPr>
        <w:overflowPunct w:val="0"/>
        <w:spacing w:after="0" w:line="252" w:lineRule="auto"/>
        <w:rPr>
          <w:rFonts w:cs="Times"/>
          <w:b/>
          <w:szCs w:val="20"/>
        </w:rPr>
      </w:pPr>
      <w:r w:rsidRPr="00272FEA">
        <w:rPr>
          <w:rFonts w:eastAsia="DengXian" w:cs="Times"/>
          <w:b/>
          <w:kern w:val="32"/>
          <w:lang w:eastAsia="zh-CN"/>
        </w:rPr>
        <w:t xml:space="preserve">Proposal </w:t>
      </w:r>
      <w:r w:rsidRPr="00272FEA">
        <w:rPr>
          <w:rFonts w:cs="Times"/>
          <w:b/>
          <w:kern w:val="32"/>
          <w:lang w:eastAsia="zh-CN"/>
        </w:rPr>
        <w:t xml:space="preserve">2: </w:t>
      </w:r>
      <w:r>
        <w:rPr>
          <w:rFonts w:cs="Times"/>
          <w:b/>
          <w:kern w:val="32"/>
          <w:lang w:eastAsia="zh-CN"/>
        </w:rPr>
        <w:t xml:space="preserve">In LBT for </w:t>
      </w:r>
      <w:r>
        <w:rPr>
          <w:rFonts w:cs="Times"/>
          <w:b/>
          <w:bCs/>
          <w:szCs w:val="20"/>
        </w:rPr>
        <w:t>multi</w:t>
      </w:r>
      <w:r w:rsidRPr="00413E37">
        <w:rPr>
          <w:rFonts w:cs="Times"/>
          <w:b/>
          <w:bCs/>
          <w:szCs w:val="20"/>
        </w:rPr>
        <w:t xml:space="preserve"> carrier transmission</w:t>
      </w:r>
      <w:r w:rsidRPr="00272FEA">
        <w:rPr>
          <w:rFonts w:cs="Times"/>
          <w:b/>
          <w:szCs w:val="20"/>
        </w:rPr>
        <w:t xml:space="preserve"> gNB/UE </w:t>
      </w:r>
      <w:r>
        <w:rPr>
          <w:rFonts w:cs="Times"/>
          <w:b/>
          <w:szCs w:val="20"/>
        </w:rPr>
        <w:t>support:</w:t>
      </w:r>
    </w:p>
    <w:p w14:paraId="45E72F45" w14:textId="77777777" w:rsidR="003977EB" w:rsidRPr="003977EB" w:rsidRDefault="003977EB" w:rsidP="003977EB">
      <w:pPr>
        <w:pStyle w:val="ListParagraph"/>
        <w:numPr>
          <w:ilvl w:val="0"/>
          <w:numId w:val="4"/>
        </w:numPr>
        <w:overflowPunct w:val="0"/>
        <w:spacing w:after="0" w:line="252" w:lineRule="auto"/>
        <w:rPr>
          <w:rFonts w:cs="Times"/>
          <w:b/>
          <w:bCs/>
          <w:szCs w:val="20"/>
        </w:rPr>
      </w:pPr>
      <w:r w:rsidRPr="003977EB">
        <w:rPr>
          <w:rFonts w:cs="Times"/>
          <w:b/>
          <w:bCs/>
          <w:szCs w:val="20"/>
        </w:rPr>
        <w:t>gNB/UE performs multiple LBT, one for each channel bandwidth separately,</w:t>
      </w:r>
    </w:p>
    <w:p w14:paraId="3F7F0067" w14:textId="443FEB77" w:rsidR="003977EB" w:rsidRPr="003977EB" w:rsidRDefault="003977EB" w:rsidP="00D420D3">
      <w:pPr>
        <w:pStyle w:val="ListParagraph"/>
        <w:numPr>
          <w:ilvl w:val="0"/>
          <w:numId w:val="4"/>
        </w:numPr>
        <w:overflowPunct w:val="0"/>
        <w:spacing w:after="0" w:line="252" w:lineRule="auto"/>
        <w:rPr>
          <w:rFonts w:cs="Times"/>
          <w:b/>
          <w:szCs w:val="20"/>
        </w:rPr>
      </w:pPr>
      <w:r w:rsidRPr="003977EB">
        <w:rPr>
          <w:rFonts w:cs="Times"/>
          <w:b/>
          <w:bCs/>
          <w:szCs w:val="20"/>
        </w:rPr>
        <w:t>gNB/UE performs single LBT over all CCs</w:t>
      </w:r>
      <w:r>
        <w:rPr>
          <w:rFonts w:cs="Times"/>
          <w:szCs w:val="20"/>
        </w:rPr>
        <w:t>.</w:t>
      </w:r>
    </w:p>
    <w:p w14:paraId="1155D371" w14:textId="77777777" w:rsidR="005812D3" w:rsidRDefault="005812D3" w:rsidP="00497DC1">
      <w:pPr>
        <w:rPr>
          <w:b/>
          <w:bCs/>
        </w:rPr>
      </w:pPr>
    </w:p>
    <w:p w14:paraId="0EF269BD" w14:textId="1F7BB31A" w:rsidR="00497DC1" w:rsidRPr="001566A2" w:rsidRDefault="00497DC1" w:rsidP="00497DC1">
      <w:pPr>
        <w:rPr>
          <w:b/>
          <w:bCs/>
        </w:rPr>
      </w:pPr>
      <w:r w:rsidRPr="001566A2">
        <w:rPr>
          <w:b/>
          <w:bCs/>
        </w:rPr>
        <w:t xml:space="preserve">Proposal </w:t>
      </w:r>
      <w:r w:rsidR="003977EB">
        <w:rPr>
          <w:b/>
          <w:bCs/>
        </w:rPr>
        <w:t>3</w:t>
      </w:r>
      <w:r w:rsidRPr="001566A2">
        <w:rPr>
          <w:b/>
          <w:bCs/>
        </w:rPr>
        <w:t>: For the CCA check procedure</w:t>
      </w:r>
      <w:r>
        <w:rPr>
          <w:b/>
          <w:bCs/>
        </w:rPr>
        <w:t>,</w:t>
      </w:r>
      <w:r w:rsidRPr="001566A2">
        <w:rPr>
          <w:b/>
          <w:bCs/>
        </w:rPr>
        <w:t xml:space="preserve"> the </w:t>
      </w:r>
      <w:r>
        <w:rPr>
          <w:b/>
          <w:bCs/>
        </w:rPr>
        <w:t xml:space="preserve">COT </w:t>
      </w:r>
      <w:r w:rsidRPr="001566A2">
        <w:rPr>
          <w:b/>
          <w:bCs/>
        </w:rPr>
        <w:t xml:space="preserve">initiating device may use </w:t>
      </w:r>
      <w:r>
        <w:rPr>
          <w:b/>
          <w:bCs/>
        </w:rPr>
        <w:t>one</w:t>
      </w:r>
      <w:r w:rsidRPr="001566A2">
        <w:rPr>
          <w:b/>
          <w:bCs/>
        </w:rPr>
        <w:t xml:space="preserve"> or multiple spatial domains </w:t>
      </w:r>
      <w:r>
        <w:rPr>
          <w:b/>
          <w:bCs/>
        </w:rPr>
        <w:t xml:space="preserve">receive </w:t>
      </w:r>
      <w:r w:rsidRPr="001566A2">
        <w:rPr>
          <w:b/>
          <w:bCs/>
        </w:rPr>
        <w:t xml:space="preserve">filters. </w:t>
      </w:r>
      <w:r>
        <w:rPr>
          <w:b/>
          <w:bCs/>
        </w:rPr>
        <w:t>For each</w:t>
      </w:r>
      <w:r w:rsidRPr="001566A2">
        <w:rPr>
          <w:b/>
          <w:bCs/>
        </w:rPr>
        <w:t xml:space="preserve"> </w:t>
      </w:r>
      <w:r>
        <w:rPr>
          <w:b/>
          <w:bCs/>
        </w:rPr>
        <w:t xml:space="preserve">transmission during the COT, there should be associated </w:t>
      </w:r>
      <w:r w:rsidRPr="001566A2">
        <w:rPr>
          <w:b/>
          <w:bCs/>
        </w:rPr>
        <w:t xml:space="preserve">one </w:t>
      </w:r>
      <w:r>
        <w:rPr>
          <w:b/>
          <w:bCs/>
        </w:rPr>
        <w:t xml:space="preserve">or multiple </w:t>
      </w:r>
      <w:r w:rsidRPr="001566A2">
        <w:rPr>
          <w:b/>
          <w:bCs/>
        </w:rPr>
        <w:t xml:space="preserve">spatial domains </w:t>
      </w:r>
      <w:r>
        <w:rPr>
          <w:b/>
          <w:bCs/>
        </w:rPr>
        <w:t xml:space="preserve">receive </w:t>
      </w:r>
      <w:r w:rsidRPr="001566A2">
        <w:rPr>
          <w:b/>
          <w:bCs/>
        </w:rPr>
        <w:t>filter</w:t>
      </w:r>
      <w:r>
        <w:rPr>
          <w:b/>
          <w:bCs/>
        </w:rPr>
        <w:t>s used in</w:t>
      </w:r>
      <w:r w:rsidRPr="001566A2">
        <w:rPr>
          <w:b/>
          <w:bCs/>
        </w:rPr>
        <w:t xml:space="preserve"> the CCA check procedure</w:t>
      </w:r>
      <w:r>
        <w:rPr>
          <w:b/>
          <w:bCs/>
        </w:rPr>
        <w:t>.</w:t>
      </w:r>
    </w:p>
    <w:p w14:paraId="4E4EFB8B" w14:textId="77777777" w:rsidR="00BC2D8A" w:rsidRDefault="00BC2D8A" w:rsidP="00497DC1">
      <w:pPr>
        <w:rPr>
          <w:b/>
          <w:bCs/>
          <w:lang w:eastAsia="x-none"/>
        </w:rPr>
      </w:pPr>
    </w:p>
    <w:p w14:paraId="5BD7CBE8" w14:textId="7F83CD1A" w:rsidR="00497DC1" w:rsidRPr="00D24944" w:rsidRDefault="00497DC1" w:rsidP="00497DC1">
      <w:pPr>
        <w:rPr>
          <w:b/>
          <w:bCs/>
          <w:sz w:val="20"/>
          <w:lang w:eastAsia="ko-KR"/>
        </w:rPr>
      </w:pPr>
      <w:r w:rsidRPr="00D24944">
        <w:rPr>
          <w:b/>
          <w:bCs/>
          <w:lang w:eastAsia="x-none"/>
        </w:rPr>
        <w:t>Proposal</w:t>
      </w:r>
      <w:r>
        <w:rPr>
          <w:b/>
          <w:bCs/>
          <w:lang w:eastAsia="x-none"/>
        </w:rPr>
        <w:t xml:space="preserve"> </w:t>
      </w:r>
      <w:r w:rsidR="003977EB">
        <w:rPr>
          <w:b/>
          <w:bCs/>
          <w:lang w:eastAsia="x-none"/>
        </w:rPr>
        <w:t>4</w:t>
      </w:r>
      <w:r w:rsidRPr="00D24944">
        <w:rPr>
          <w:b/>
          <w:bCs/>
          <w:lang w:eastAsia="x-none"/>
        </w:rPr>
        <w:t xml:space="preserve">: </w:t>
      </w:r>
      <w:r w:rsidRPr="00D24944">
        <w:rPr>
          <w:b/>
          <w:bCs/>
          <w:lang w:eastAsia="ko-KR"/>
        </w:rPr>
        <w:t xml:space="preserve">Consider the use of </w:t>
      </w:r>
      <w:r>
        <w:rPr>
          <w:b/>
          <w:bCs/>
          <w:lang w:eastAsia="ko-KR"/>
        </w:rPr>
        <w:t>composite transmit angular power profile (APP) of an intended set of transmit beams to design sensing beam that “covers” that intended set.</w:t>
      </w:r>
    </w:p>
    <w:p w14:paraId="00B66105" w14:textId="19FB4AB0" w:rsidR="00497DC1" w:rsidRDefault="00497DC1" w:rsidP="00C75BF7">
      <w:pPr>
        <w:pStyle w:val="ListParagraph"/>
        <w:numPr>
          <w:ilvl w:val="0"/>
          <w:numId w:val="9"/>
        </w:numPr>
        <w:kinsoku w:val="0"/>
        <w:overflowPunct w:val="0"/>
        <w:adjustRightInd w:val="0"/>
        <w:snapToGrid w:val="0"/>
        <w:spacing w:after="60" w:line="240" w:lineRule="auto"/>
        <w:ind w:left="360"/>
        <w:contextualSpacing w:val="0"/>
        <w:rPr>
          <w:b/>
          <w:bCs/>
          <w:lang w:eastAsia="ko-KR"/>
        </w:rPr>
      </w:pPr>
      <w:r>
        <w:rPr>
          <w:b/>
          <w:bCs/>
          <w:lang w:eastAsia="ko-KR"/>
        </w:rPr>
        <w:t>Prominent</w:t>
      </w:r>
      <w:r w:rsidRPr="00D24944">
        <w:rPr>
          <w:b/>
          <w:bCs/>
          <w:lang w:eastAsia="ko-KR"/>
        </w:rPr>
        <w:t xml:space="preserve"> directions of intended transmission</w:t>
      </w:r>
      <w:r>
        <w:rPr>
          <w:b/>
          <w:bCs/>
          <w:lang w:eastAsia="ko-KR"/>
        </w:rPr>
        <w:t>, i.e.,</w:t>
      </w:r>
      <w:r w:rsidRPr="00D24944">
        <w:rPr>
          <w:b/>
          <w:bCs/>
          <w:lang w:eastAsia="ko-KR"/>
        </w:rPr>
        <w:t xml:space="preserve"> </w:t>
      </w:r>
      <w:r>
        <w:rPr>
          <w:b/>
          <w:bCs/>
          <w:lang w:eastAsia="ko-KR"/>
        </w:rPr>
        <w:t xml:space="preserve">those for which composite transmit APP is with a fraction of the peak APP, should have relatively large sensing gain. </w:t>
      </w:r>
      <w:r w:rsidRPr="00D24944">
        <w:rPr>
          <w:b/>
          <w:bCs/>
          <w:lang w:eastAsia="ko-KR"/>
        </w:rPr>
        <w:t xml:space="preserve">  </w:t>
      </w:r>
    </w:p>
    <w:p w14:paraId="586CF76F" w14:textId="6C70ECA0" w:rsidR="00B91A78" w:rsidRDefault="00B91A78" w:rsidP="00C75BF7">
      <w:pPr>
        <w:pStyle w:val="ListParagraph"/>
        <w:numPr>
          <w:ilvl w:val="0"/>
          <w:numId w:val="9"/>
        </w:numPr>
        <w:kinsoku w:val="0"/>
        <w:overflowPunct w:val="0"/>
        <w:adjustRightInd w:val="0"/>
        <w:snapToGrid w:val="0"/>
        <w:spacing w:after="60" w:line="240" w:lineRule="auto"/>
        <w:ind w:left="360"/>
        <w:contextualSpacing w:val="0"/>
        <w:rPr>
          <w:b/>
          <w:bCs/>
          <w:lang w:eastAsia="ko-KR"/>
        </w:rPr>
      </w:pPr>
      <w:r w:rsidRPr="00635AA3">
        <w:rPr>
          <w:b/>
          <w:bCs/>
          <w:szCs w:val="20"/>
          <w:lang w:eastAsia="zh-CN"/>
        </w:rPr>
        <w:t xml:space="preserve">For EDT determination, define Pout as the maximum EIRP over </w:t>
      </w:r>
      <w:r>
        <w:rPr>
          <w:b/>
          <w:bCs/>
          <w:szCs w:val="20"/>
          <w:lang w:eastAsia="zh-CN"/>
        </w:rPr>
        <w:t xml:space="preserve">that </w:t>
      </w:r>
      <w:r w:rsidRPr="00635AA3">
        <w:rPr>
          <w:b/>
          <w:bCs/>
          <w:szCs w:val="20"/>
          <w:lang w:eastAsia="zh-CN"/>
        </w:rPr>
        <w:t>intended set of transmit beams</w:t>
      </w:r>
      <w:r w:rsidR="009D0F81">
        <w:rPr>
          <w:b/>
          <w:bCs/>
          <w:szCs w:val="20"/>
          <w:lang w:eastAsia="zh-CN"/>
        </w:rPr>
        <w:t>.</w:t>
      </w:r>
    </w:p>
    <w:p w14:paraId="6FB4B935" w14:textId="2DC581F4" w:rsidR="00497DC1" w:rsidRDefault="00497DC1" w:rsidP="00C75BF7">
      <w:pPr>
        <w:pStyle w:val="ListParagraph"/>
        <w:numPr>
          <w:ilvl w:val="0"/>
          <w:numId w:val="9"/>
        </w:numPr>
        <w:kinsoku w:val="0"/>
        <w:overflowPunct w:val="0"/>
        <w:adjustRightInd w:val="0"/>
        <w:snapToGrid w:val="0"/>
        <w:spacing w:after="60" w:line="240" w:lineRule="auto"/>
        <w:ind w:left="360"/>
        <w:contextualSpacing w:val="0"/>
        <w:rPr>
          <w:b/>
          <w:bCs/>
          <w:lang w:eastAsia="ko-KR"/>
        </w:rPr>
      </w:pPr>
      <w:r>
        <w:rPr>
          <w:b/>
          <w:bCs/>
          <w:lang w:eastAsia="ko-KR"/>
        </w:rPr>
        <w:t xml:space="preserve">Appropriate EDT incorporates shortfall (if any) in the sensing gain over prominent directions. </w:t>
      </w:r>
    </w:p>
    <w:p w14:paraId="0D174503" w14:textId="5DD862AD" w:rsidR="00935FDD" w:rsidRPr="009F7008" w:rsidRDefault="00935FDD" w:rsidP="00935FDD">
      <w:pPr>
        <w:pStyle w:val="ListParagraph"/>
        <w:numPr>
          <w:ilvl w:val="0"/>
          <w:numId w:val="9"/>
        </w:numPr>
        <w:kinsoku w:val="0"/>
        <w:overflowPunct w:val="0"/>
        <w:adjustRightInd w:val="0"/>
        <w:snapToGrid w:val="0"/>
        <w:spacing w:after="60" w:line="240" w:lineRule="auto"/>
        <w:ind w:left="360"/>
        <w:contextualSpacing w:val="0"/>
        <w:rPr>
          <w:b/>
          <w:bCs/>
          <w:lang w:eastAsia="ko-KR"/>
        </w:rPr>
      </w:pPr>
      <w:r>
        <w:rPr>
          <w:b/>
          <w:bCs/>
          <w:lang w:eastAsia="ko-KR"/>
        </w:rPr>
        <w:t xml:space="preserve">Enable augmented sensing to avoid blind spots without excessive exposed nodes. </w:t>
      </w:r>
    </w:p>
    <w:p w14:paraId="05C9C5F0" w14:textId="77777777" w:rsidR="00BC2D8A" w:rsidRDefault="00BC2D8A" w:rsidP="00497DC1">
      <w:pPr>
        <w:rPr>
          <w:b/>
          <w:bCs/>
        </w:rPr>
      </w:pPr>
    </w:p>
    <w:p w14:paraId="1173B465" w14:textId="4FB793AC" w:rsidR="00497DC1" w:rsidRDefault="00497DC1" w:rsidP="00497DC1">
      <w:pPr>
        <w:rPr>
          <w:rFonts w:cs="Times"/>
          <w:b/>
          <w:bCs/>
          <w:szCs w:val="20"/>
        </w:rPr>
      </w:pPr>
      <w:r w:rsidRPr="000E1895">
        <w:rPr>
          <w:b/>
          <w:bCs/>
        </w:rPr>
        <w:t xml:space="preserve">Proposal </w:t>
      </w:r>
      <w:r w:rsidR="003977EB">
        <w:rPr>
          <w:b/>
          <w:bCs/>
        </w:rPr>
        <w:t>5</w:t>
      </w:r>
      <w:r w:rsidRPr="000E1895">
        <w:rPr>
          <w:b/>
          <w:bCs/>
        </w:rPr>
        <w:t xml:space="preserve">: </w:t>
      </w:r>
      <w:r w:rsidRPr="000E1895">
        <w:rPr>
          <w:rFonts w:cs="Times"/>
          <w:b/>
          <w:bCs/>
          <w:szCs w:val="20"/>
        </w:rPr>
        <w:t>Introduce Cat 2 LBT for 60GHz unlicensed band operation</w:t>
      </w:r>
      <w:r>
        <w:rPr>
          <w:rFonts w:cs="Times"/>
          <w:b/>
          <w:bCs/>
          <w:szCs w:val="20"/>
        </w:rPr>
        <w:t>.</w:t>
      </w:r>
    </w:p>
    <w:p w14:paraId="2FE751B6" w14:textId="77777777" w:rsidR="00BC2D8A" w:rsidRDefault="00BC2D8A" w:rsidP="00497DC1">
      <w:pPr>
        <w:rPr>
          <w:b/>
          <w:bCs/>
        </w:rPr>
      </w:pPr>
    </w:p>
    <w:p w14:paraId="2597B5A3" w14:textId="75C7B2CF" w:rsidR="00497DC1" w:rsidRPr="004A432C" w:rsidRDefault="00497DC1" w:rsidP="00497DC1">
      <w:pPr>
        <w:rPr>
          <w:b/>
          <w:bCs/>
        </w:rPr>
      </w:pPr>
      <w:r w:rsidRPr="004A432C">
        <w:rPr>
          <w:b/>
          <w:bCs/>
        </w:rPr>
        <w:t xml:space="preserve">Proposal </w:t>
      </w:r>
      <w:r w:rsidR="003977EB">
        <w:rPr>
          <w:b/>
          <w:bCs/>
        </w:rPr>
        <w:t>6</w:t>
      </w:r>
      <w:r w:rsidRPr="004A432C">
        <w:rPr>
          <w:b/>
          <w:bCs/>
        </w:rPr>
        <w:t xml:space="preserve">: Define a maximum gap Y, such that a later transmission can share the COT without LBT only if the later transmission starts within Y from the end of the earlier transmission. If the </w:t>
      </w:r>
      <w:r w:rsidRPr="004A432C">
        <w:rPr>
          <w:b/>
          <w:bCs/>
        </w:rPr>
        <w:lastRenderedPageBreak/>
        <w:t>later transmission starts after Y from the end of the earlier transmission, a one-shot LBT is needed to share the COT</w:t>
      </w:r>
      <w:r w:rsidR="00281706">
        <w:rPr>
          <w:b/>
          <w:bCs/>
        </w:rPr>
        <w:t>:</w:t>
      </w:r>
    </w:p>
    <w:p w14:paraId="481FEC1B" w14:textId="77777777" w:rsidR="00497DC1" w:rsidRPr="00857E89" w:rsidRDefault="00497DC1" w:rsidP="00C75BF7">
      <w:pPr>
        <w:pStyle w:val="ListParagraph"/>
        <w:numPr>
          <w:ilvl w:val="0"/>
          <w:numId w:val="6"/>
        </w:numPr>
        <w:rPr>
          <w:b/>
          <w:bCs/>
        </w:rPr>
      </w:pPr>
      <w:r>
        <w:rPr>
          <w:b/>
          <w:bCs/>
        </w:rPr>
        <w:t xml:space="preserve">Where </w:t>
      </w:r>
      <w:r w:rsidRPr="00857E89">
        <w:rPr>
          <w:b/>
          <w:bCs/>
        </w:rPr>
        <w:t>Y</w:t>
      </w:r>
      <w:r>
        <w:rPr>
          <w:b/>
          <w:bCs/>
        </w:rPr>
        <w:t xml:space="preserve"> (for all SCS)</w:t>
      </w:r>
      <w:r w:rsidRPr="00857E89">
        <w:rPr>
          <w:b/>
          <w:bCs/>
        </w:rPr>
        <w:t xml:space="preserve"> may be</w:t>
      </w:r>
      <w:r>
        <w:rPr>
          <w:b/>
          <w:bCs/>
        </w:rPr>
        <w:t xml:space="preserve"> the time duration of</w:t>
      </w:r>
      <w:r w:rsidRPr="00857E89">
        <w:rPr>
          <w:b/>
          <w:bCs/>
        </w:rPr>
        <w:t xml:space="preserve"> 3 symbols (@120 kHz SCS</w:t>
      </w:r>
      <w:r>
        <w:rPr>
          <w:b/>
          <w:bCs/>
        </w:rPr>
        <w:t xml:space="preserve">  </w:t>
      </w:r>
    </w:p>
    <w:p w14:paraId="3BE7D16C" w14:textId="4E6CC7C9" w:rsidR="00BC2D8A" w:rsidRPr="00BC2D8A" w:rsidRDefault="00497DC1" w:rsidP="00497DC1">
      <w:pPr>
        <w:pStyle w:val="ListParagraph"/>
        <w:numPr>
          <w:ilvl w:val="0"/>
          <w:numId w:val="6"/>
        </w:numPr>
        <w:rPr>
          <w:b/>
          <w:bCs/>
        </w:rPr>
      </w:pPr>
      <w:r>
        <w:rPr>
          <w:b/>
          <w:bCs/>
        </w:rPr>
        <w:t xml:space="preserve">Where </w:t>
      </w:r>
      <w:r w:rsidRPr="00857E89">
        <w:rPr>
          <w:b/>
          <w:bCs/>
        </w:rPr>
        <w:t>One-shot LBT duration</w:t>
      </w:r>
      <w:r>
        <w:rPr>
          <w:b/>
          <w:bCs/>
        </w:rPr>
        <w:t xml:space="preserve"> (for all SCS)</w:t>
      </w:r>
      <w:r w:rsidRPr="00857E89">
        <w:rPr>
          <w:b/>
          <w:bCs/>
        </w:rPr>
        <w:t xml:space="preserve">: </w:t>
      </w:r>
      <w:r>
        <w:rPr>
          <w:b/>
          <w:bCs/>
        </w:rPr>
        <w:t xml:space="preserve">the time duration of </w:t>
      </w:r>
      <w:r w:rsidRPr="00857E89">
        <w:rPr>
          <w:b/>
          <w:bCs/>
        </w:rPr>
        <w:t>1 symbol @ 120kHz SCS</w:t>
      </w:r>
    </w:p>
    <w:p w14:paraId="39205BBD" w14:textId="77777777" w:rsidR="00BC2D8A" w:rsidRDefault="00BC2D8A" w:rsidP="00497DC1">
      <w:pPr>
        <w:rPr>
          <w:b/>
          <w:bCs/>
        </w:rPr>
      </w:pPr>
    </w:p>
    <w:p w14:paraId="763ACD5D" w14:textId="7061D08D" w:rsidR="00497DC1" w:rsidRPr="0087409C" w:rsidRDefault="00497DC1" w:rsidP="00497DC1">
      <w:pPr>
        <w:rPr>
          <w:b/>
          <w:bCs/>
        </w:rPr>
      </w:pPr>
      <w:r w:rsidRPr="004D5B77">
        <w:rPr>
          <w:b/>
          <w:bCs/>
        </w:rPr>
        <w:t xml:space="preserve">Proposal </w:t>
      </w:r>
      <w:r w:rsidR="003977EB">
        <w:rPr>
          <w:b/>
          <w:bCs/>
        </w:rPr>
        <w:t>7</w:t>
      </w:r>
      <w:r w:rsidRPr="004D5B77">
        <w:rPr>
          <w:b/>
          <w:bCs/>
        </w:rPr>
        <w:t xml:space="preserve">:   </w:t>
      </w:r>
      <w:r w:rsidR="00DF122F">
        <w:rPr>
          <w:b/>
          <w:bCs/>
        </w:rPr>
        <w:t>When i</w:t>
      </w:r>
      <w:r w:rsidR="00DF122F" w:rsidRPr="002E4F7F">
        <w:rPr>
          <w:b/>
          <w:bCs/>
        </w:rPr>
        <w:t>ndependent per-beam LBT sensing at the start of COT is performed for beams used in the COT</w:t>
      </w:r>
      <w:r w:rsidR="00DF122F">
        <w:rPr>
          <w:b/>
          <w:bCs/>
        </w:rPr>
        <w:t>,</w:t>
      </w:r>
      <w:r w:rsidR="00DF122F" w:rsidRPr="002E4F7F">
        <w:rPr>
          <w:b/>
          <w:bCs/>
        </w:rPr>
        <w:t xml:space="preserve"> </w:t>
      </w:r>
      <w:r w:rsidR="00DF122F">
        <w:rPr>
          <w:b/>
          <w:bCs/>
        </w:rPr>
        <w:t xml:space="preserve">an </w:t>
      </w:r>
      <w:r w:rsidR="00DF122F" w:rsidRPr="002E4F7F">
        <w:rPr>
          <w:b/>
          <w:bCs/>
        </w:rPr>
        <w:t>additional requirement on Cat 2 LBT before beam switch</w:t>
      </w:r>
      <w:r w:rsidR="00DF122F">
        <w:rPr>
          <w:b/>
          <w:bCs/>
        </w:rPr>
        <w:t xml:space="preserve"> during the COT should be specified.</w:t>
      </w:r>
    </w:p>
    <w:p w14:paraId="6A0FABB2" w14:textId="77777777" w:rsidR="00497DC1" w:rsidRDefault="00497DC1" w:rsidP="00D420D3">
      <w:pPr>
        <w:rPr>
          <w:b/>
          <w:bCs/>
        </w:rPr>
      </w:pPr>
    </w:p>
    <w:p w14:paraId="4B7C6025" w14:textId="2A49D9D5" w:rsidR="00497DC1" w:rsidRDefault="00497DC1" w:rsidP="00497DC1">
      <w:pPr>
        <w:rPr>
          <w:rFonts w:cs="Times"/>
          <w:b/>
          <w:bCs/>
          <w:color w:val="000000"/>
          <w:szCs w:val="20"/>
        </w:rPr>
      </w:pPr>
      <w:r w:rsidRPr="00802E95">
        <w:rPr>
          <w:rFonts w:cs="Times"/>
          <w:b/>
          <w:bCs/>
          <w:color w:val="000000"/>
          <w:szCs w:val="20"/>
        </w:rPr>
        <w:t xml:space="preserve">Proposal </w:t>
      </w:r>
      <w:r w:rsidR="003977EB">
        <w:rPr>
          <w:rFonts w:cs="Times"/>
          <w:b/>
          <w:bCs/>
          <w:color w:val="000000"/>
          <w:szCs w:val="20"/>
        </w:rPr>
        <w:t>8</w:t>
      </w:r>
      <w:r w:rsidRPr="00802E95">
        <w:rPr>
          <w:rFonts w:cs="Times"/>
          <w:b/>
          <w:bCs/>
          <w:color w:val="000000"/>
          <w:szCs w:val="20"/>
        </w:rPr>
        <w:t>: For receiver assisted LBT, support NR CSI-IM based reporting for the clear channel assessment at the receiver.</w:t>
      </w:r>
    </w:p>
    <w:p w14:paraId="6227FE3A" w14:textId="77777777" w:rsidR="00BC2D8A" w:rsidRDefault="00BC2D8A" w:rsidP="00497DC1">
      <w:pPr>
        <w:rPr>
          <w:rFonts w:cs="Times"/>
          <w:b/>
          <w:bCs/>
          <w:color w:val="000000"/>
          <w:szCs w:val="20"/>
        </w:rPr>
      </w:pPr>
    </w:p>
    <w:p w14:paraId="6288359F" w14:textId="3D8841E2" w:rsidR="00497DC1" w:rsidRDefault="00497DC1" w:rsidP="00497DC1">
      <w:pPr>
        <w:rPr>
          <w:rFonts w:cs="Times"/>
          <w:b/>
          <w:bCs/>
          <w:color w:val="000000"/>
          <w:szCs w:val="20"/>
        </w:rPr>
      </w:pPr>
      <w:r w:rsidRPr="009D036E">
        <w:rPr>
          <w:rFonts w:cs="Times"/>
          <w:b/>
          <w:bCs/>
          <w:color w:val="000000"/>
          <w:szCs w:val="20"/>
        </w:rPr>
        <w:t>Proposal</w:t>
      </w:r>
      <w:r>
        <w:rPr>
          <w:rFonts w:cs="Times"/>
          <w:b/>
          <w:bCs/>
          <w:color w:val="000000"/>
          <w:szCs w:val="20"/>
        </w:rPr>
        <w:t xml:space="preserve"> </w:t>
      </w:r>
      <w:r w:rsidR="003977EB">
        <w:rPr>
          <w:rFonts w:cs="Times"/>
          <w:b/>
          <w:bCs/>
          <w:color w:val="000000"/>
          <w:szCs w:val="20"/>
        </w:rPr>
        <w:t>9</w:t>
      </w:r>
      <w:r w:rsidRPr="009D036E">
        <w:rPr>
          <w:rFonts w:cs="Times"/>
          <w:b/>
          <w:bCs/>
          <w:color w:val="000000"/>
          <w:szCs w:val="20"/>
        </w:rPr>
        <w:t>: For</w:t>
      </w:r>
      <w:r>
        <w:rPr>
          <w:rFonts w:cs="Times"/>
          <w:b/>
          <w:bCs/>
          <w:color w:val="000000"/>
          <w:szCs w:val="20"/>
        </w:rPr>
        <w:t xml:space="preserve"> receiver assisted LBT, the receiver shall report the resource availability prior to the transmission. The RSSI measurement definition may be extended to assess the resource availabilit</w:t>
      </w:r>
      <w:r w:rsidR="003977EB">
        <w:rPr>
          <w:rFonts w:cs="Times"/>
          <w:b/>
          <w:bCs/>
          <w:color w:val="000000"/>
          <w:szCs w:val="20"/>
        </w:rPr>
        <w:t>y</w:t>
      </w:r>
      <w:r>
        <w:rPr>
          <w:rFonts w:cs="Times"/>
          <w:b/>
          <w:bCs/>
          <w:color w:val="000000"/>
          <w:szCs w:val="20"/>
        </w:rPr>
        <w:t>, where the resources, type of measurement (for instance Cat2 LBT) shall be provided by the transmitter.</w:t>
      </w:r>
    </w:p>
    <w:p w14:paraId="40AFF231" w14:textId="77777777" w:rsidR="00BC2D8A" w:rsidRDefault="00BC2D8A" w:rsidP="00497DC1">
      <w:pPr>
        <w:autoSpaceDE/>
        <w:autoSpaceDN/>
        <w:adjustRightInd/>
        <w:spacing w:after="0"/>
        <w:jc w:val="left"/>
        <w:rPr>
          <w:rFonts w:eastAsia="Times New Roman"/>
          <w:b/>
          <w:bCs/>
          <w:szCs w:val="20"/>
        </w:rPr>
      </w:pPr>
    </w:p>
    <w:p w14:paraId="5B2581FA" w14:textId="64D95066" w:rsidR="00497DC1" w:rsidRPr="005E3848" w:rsidRDefault="00497DC1" w:rsidP="00497DC1">
      <w:pPr>
        <w:autoSpaceDE/>
        <w:autoSpaceDN/>
        <w:adjustRightInd/>
        <w:spacing w:after="0"/>
        <w:jc w:val="left"/>
        <w:rPr>
          <w:rFonts w:eastAsia="Times New Roman"/>
          <w:b/>
          <w:bCs/>
          <w:szCs w:val="20"/>
        </w:rPr>
      </w:pPr>
      <w:r w:rsidRPr="005E3848">
        <w:rPr>
          <w:rFonts w:eastAsia="Times New Roman"/>
          <w:b/>
          <w:bCs/>
          <w:szCs w:val="20"/>
        </w:rPr>
        <w:t xml:space="preserve">Proposal </w:t>
      </w:r>
      <w:r w:rsidR="003977EB">
        <w:rPr>
          <w:rFonts w:eastAsia="Times New Roman"/>
          <w:b/>
          <w:bCs/>
          <w:szCs w:val="20"/>
        </w:rPr>
        <w:t>10</w:t>
      </w:r>
      <w:r w:rsidRPr="005E3848">
        <w:rPr>
          <w:rFonts w:eastAsia="Times New Roman"/>
          <w:b/>
          <w:bCs/>
          <w:szCs w:val="20"/>
        </w:rPr>
        <w:t xml:space="preserve">: For regions where LBT is not mandatory, </w:t>
      </w:r>
      <w:r w:rsidR="00DA65D7">
        <w:rPr>
          <w:rFonts w:eastAsia="Times New Roman"/>
          <w:b/>
          <w:bCs/>
          <w:szCs w:val="20"/>
        </w:rPr>
        <w:t xml:space="preserve">a </w:t>
      </w:r>
      <w:r w:rsidRPr="005E3848">
        <w:rPr>
          <w:rFonts w:eastAsia="Times New Roman"/>
          <w:b/>
          <w:bCs/>
          <w:szCs w:val="20"/>
        </w:rPr>
        <w:t xml:space="preserve">no-LBT mode can be </w:t>
      </w:r>
      <w:r w:rsidR="00DA65D7">
        <w:rPr>
          <w:rFonts w:eastAsia="Times New Roman"/>
          <w:b/>
          <w:bCs/>
          <w:szCs w:val="20"/>
        </w:rPr>
        <w:t>defined</w:t>
      </w:r>
      <w:r w:rsidR="00DA65D7" w:rsidRPr="005E3848">
        <w:rPr>
          <w:rFonts w:eastAsia="Times New Roman"/>
          <w:b/>
          <w:bCs/>
          <w:szCs w:val="20"/>
        </w:rPr>
        <w:t xml:space="preserve"> </w:t>
      </w:r>
      <w:r w:rsidRPr="005E3848">
        <w:rPr>
          <w:rFonts w:eastAsia="Times New Roman"/>
          <w:b/>
          <w:bCs/>
          <w:szCs w:val="20"/>
        </w:rPr>
        <w:t xml:space="preserve">and switching between LBT mode and no-LBT mode can be supported. </w:t>
      </w:r>
      <w:r>
        <w:rPr>
          <w:rFonts w:eastAsia="Times New Roman"/>
          <w:b/>
          <w:bCs/>
          <w:szCs w:val="20"/>
        </w:rPr>
        <w:t xml:space="preserve"> </w:t>
      </w:r>
    </w:p>
    <w:p w14:paraId="48F8432A" w14:textId="77777777" w:rsidR="00497DC1" w:rsidRDefault="00497DC1" w:rsidP="00497DC1">
      <w:pPr>
        <w:autoSpaceDE/>
        <w:autoSpaceDN/>
        <w:adjustRightInd/>
        <w:spacing w:after="0"/>
        <w:jc w:val="left"/>
        <w:rPr>
          <w:rFonts w:eastAsia="Times New Roman"/>
          <w:b/>
          <w:bCs/>
          <w:szCs w:val="20"/>
        </w:rPr>
      </w:pPr>
    </w:p>
    <w:p w14:paraId="773578F2" w14:textId="7099278F" w:rsidR="00497DC1" w:rsidRPr="005E3848" w:rsidRDefault="00497DC1" w:rsidP="00497DC1">
      <w:pPr>
        <w:autoSpaceDE/>
        <w:autoSpaceDN/>
        <w:adjustRightInd/>
        <w:spacing w:after="0"/>
        <w:jc w:val="left"/>
        <w:rPr>
          <w:rFonts w:eastAsia="Times New Roman"/>
          <w:b/>
          <w:bCs/>
          <w:szCs w:val="20"/>
        </w:rPr>
      </w:pPr>
      <w:r w:rsidRPr="005E3848">
        <w:rPr>
          <w:rFonts w:eastAsia="Times New Roman"/>
          <w:b/>
          <w:bCs/>
          <w:szCs w:val="20"/>
        </w:rPr>
        <w:t xml:space="preserve">Proposal </w:t>
      </w:r>
      <w:r>
        <w:rPr>
          <w:rFonts w:eastAsia="Times New Roman"/>
          <w:b/>
          <w:bCs/>
          <w:szCs w:val="20"/>
        </w:rPr>
        <w:t>1</w:t>
      </w:r>
      <w:r w:rsidR="003977EB">
        <w:rPr>
          <w:rFonts w:eastAsia="Times New Roman"/>
          <w:b/>
          <w:bCs/>
          <w:szCs w:val="20"/>
        </w:rPr>
        <w:t>1</w:t>
      </w:r>
      <w:r w:rsidRPr="005E3848">
        <w:rPr>
          <w:rFonts w:eastAsia="Times New Roman"/>
          <w:b/>
          <w:bCs/>
          <w:szCs w:val="20"/>
        </w:rPr>
        <w:t>: For indication of LBT mode and no-LBT mode, cell specific (common for all U</w:t>
      </w:r>
      <w:r>
        <w:rPr>
          <w:rFonts w:eastAsia="Times New Roman"/>
          <w:b/>
          <w:bCs/>
          <w:szCs w:val="20"/>
        </w:rPr>
        <w:t>E</w:t>
      </w:r>
      <w:r w:rsidRPr="005E3848">
        <w:rPr>
          <w:rFonts w:eastAsia="Times New Roman"/>
          <w:b/>
          <w:bCs/>
          <w:szCs w:val="20"/>
        </w:rPr>
        <w:t xml:space="preserve">s in a cell) indication as part of system information and dedicated RRC signaling should be supported. </w:t>
      </w:r>
    </w:p>
    <w:p w14:paraId="596DE22F" w14:textId="77777777" w:rsidR="00497DC1" w:rsidRPr="005E3848" w:rsidRDefault="00497DC1" w:rsidP="00497DC1">
      <w:pPr>
        <w:ind w:left="425"/>
        <w:rPr>
          <w:rFonts w:eastAsia="Times New Roman"/>
          <w:b/>
          <w:bCs/>
          <w:szCs w:val="24"/>
          <w:lang w:eastAsia="zh-CN"/>
        </w:rPr>
      </w:pPr>
      <w:r w:rsidRPr="005E3848">
        <w:rPr>
          <w:rFonts w:eastAsia="Times New Roman"/>
          <w:b/>
          <w:bCs/>
          <w:szCs w:val="20"/>
        </w:rPr>
        <w:t>•</w:t>
      </w:r>
      <w:r>
        <w:rPr>
          <w:rFonts w:eastAsia="Times New Roman"/>
          <w:b/>
          <w:bCs/>
          <w:szCs w:val="20"/>
        </w:rPr>
        <w:t xml:space="preserve"> FFS:</w:t>
      </w:r>
      <w:r w:rsidRPr="005E3848">
        <w:rPr>
          <w:rFonts w:eastAsia="Times New Roman"/>
          <w:b/>
          <w:bCs/>
          <w:szCs w:val="20"/>
        </w:rPr>
        <w:t xml:space="preserve"> </w:t>
      </w:r>
      <w:r>
        <w:rPr>
          <w:rFonts w:eastAsia="Times New Roman"/>
          <w:b/>
          <w:bCs/>
          <w:szCs w:val="20"/>
        </w:rPr>
        <w:t xml:space="preserve">Supporting </w:t>
      </w:r>
      <w:r w:rsidRPr="005E3848">
        <w:rPr>
          <w:rFonts w:eastAsia="Times New Roman"/>
          <w:b/>
          <w:bCs/>
          <w:szCs w:val="20"/>
        </w:rPr>
        <w:t>UE specific (</w:t>
      </w:r>
      <w:r>
        <w:rPr>
          <w:rFonts w:eastAsia="Times New Roman"/>
          <w:b/>
          <w:bCs/>
          <w:szCs w:val="20"/>
        </w:rPr>
        <w:t>i.e.,</w:t>
      </w:r>
      <w:r w:rsidRPr="005E3848">
        <w:rPr>
          <w:rFonts w:eastAsia="Times New Roman"/>
          <w:b/>
          <w:bCs/>
          <w:szCs w:val="20"/>
        </w:rPr>
        <w:t xml:space="preserve"> different for different U</w:t>
      </w:r>
      <w:r>
        <w:rPr>
          <w:rFonts w:eastAsia="Times New Roman"/>
          <w:b/>
          <w:bCs/>
          <w:szCs w:val="20"/>
        </w:rPr>
        <w:t>E</w:t>
      </w:r>
      <w:r w:rsidRPr="005E3848">
        <w:rPr>
          <w:rFonts w:eastAsia="Times New Roman"/>
          <w:b/>
          <w:bCs/>
          <w:szCs w:val="20"/>
        </w:rPr>
        <w:t xml:space="preserve">s in a cell) indication </w:t>
      </w:r>
      <w:r>
        <w:rPr>
          <w:rFonts w:eastAsia="Times New Roman"/>
          <w:b/>
          <w:bCs/>
          <w:szCs w:val="20"/>
        </w:rPr>
        <w:t>via</w:t>
      </w:r>
      <w:r w:rsidRPr="005E3848">
        <w:rPr>
          <w:rFonts w:eastAsia="Times New Roman"/>
          <w:b/>
          <w:bCs/>
          <w:szCs w:val="20"/>
        </w:rPr>
        <w:t xml:space="preserve"> dedicated RRC signaling</w:t>
      </w:r>
      <w:r w:rsidRPr="005E3848">
        <w:rPr>
          <w:b/>
          <w:bCs/>
        </w:rPr>
        <w:t>.</w:t>
      </w:r>
    </w:p>
    <w:p w14:paraId="3039A11C" w14:textId="77777777" w:rsidR="00BC2D8A" w:rsidRDefault="00BC2D8A" w:rsidP="00A52714">
      <w:pPr>
        <w:rPr>
          <w:b/>
          <w:bCs/>
          <w:lang w:eastAsia="ko-KR"/>
        </w:rPr>
      </w:pPr>
    </w:p>
    <w:p w14:paraId="46236EF0" w14:textId="2391DA55" w:rsidR="00E22E57" w:rsidRDefault="00A52714" w:rsidP="00D420D3">
      <w:pPr>
        <w:rPr>
          <w:b/>
          <w:bCs/>
          <w:lang w:eastAsia="ko-KR"/>
        </w:rPr>
      </w:pPr>
      <w:r w:rsidRPr="005E3848">
        <w:rPr>
          <w:b/>
          <w:bCs/>
          <w:lang w:eastAsia="ko-KR"/>
        </w:rPr>
        <w:t xml:space="preserve">Proposal </w:t>
      </w:r>
      <w:r>
        <w:rPr>
          <w:b/>
          <w:bCs/>
          <w:lang w:eastAsia="ko-KR"/>
        </w:rPr>
        <w:t>1</w:t>
      </w:r>
      <w:r w:rsidR="003977EB">
        <w:rPr>
          <w:b/>
          <w:bCs/>
          <w:lang w:eastAsia="ko-KR"/>
        </w:rPr>
        <w:t>2</w:t>
      </w:r>
      <w:r w:rsidRPr="005E3848">
        <w:rPr>
          <w:b/>
          <w:bCs/>
          <w:lang w:eastAsia="ko-KR"/>
        </w:rPr>
        <w:t xml:space="preserve">:  In deployments </w:t>
      </w:r>
      <w:r w:rsidR="00DA65D7">
        <w:rPr>
          <w:b/>
          <w:bCs/>
          <w:lang w:eastAsia="ko-KR"/>
        </w:rPr>
        <w:t xml:space="preserve">without LBT </w:t>
      </w:r>
      <w:r w:rsidRPr="005E3848">
        <w:rPr>
          <w:b/>
          <w:bCs/>
          <w:lang w:eastAsia="ko-KR"/>
        </w:rPr>
        <w:t>consider specification of channel vacation policies accounting for disparity among co-existing devices.</w:t>
      </w:r>
    </w:p>
    <w:p w14:paraId="2BE15E34" w14:textId="77777777" w:rsidR="00BC2D8A" w:rsidRPr="00BC2D8A" w:rsidRDefault="00BC2D8A" w:rsidP="00D420D3">
      <w:pPr>
        <w:rPr>
          <w:b/>
          <w:bCs/>
          <w:lang w:eastAsia="ko-KR"/>
        </w:rPr>
      </w:pPr>
    </w:p>
    <w:p w14:paraId="7219A6A7" w14:textId="0D377FAD" w:rsidR="00221757" w:rsidRPr="00221757" w:rsidRDefault="00D420D3" w:rsidP="00221757">
      <w:pPr>
        <w:keepNext/>
        <w:numPr>
          <w:ilvl w:val="0"/>
          <w:numId w:val="2"/>
        </w:numPr>
        <w:pBdr>
          <w:top w:val="single" w:sz="12" w:space="1" w:color="auto"/>
        </w:pBdr>
        <w:spacing w:before="120"/>
        <w:outlineLvl w:val="0"/>
        <w:rPr>
          <w:rFonts w:ascii="Arial" w:hAnsi="Arial"/>
          <w:b/>
          <w:bCs/>
          <w:sz w:val="28"/>
          <w:szCs w:val="28"/>
        </w:rPr>
      </w:pPr>
      <w:bookmarkStart w:id="18" w:name="_Ref124589665"/>
      <w:bookmarkStart w:id="19" w:name="_Ref71620620"/>
      <w:bookmarkStart w:id="20" w:name="_Ref124671424"/>
      <w:r w:rsidRPr="00D420D3">
        <w:rPr>
          <w:rFonts w:ascii="Arial" w:hAnsi="Arial"/>
          <w:b/>
          <w:bCs/>
          <w:sz w:val="28"/>
          <w:szCs w:val="28"/>
        </w:rPr>
        <w:t xml:space="preserve">References  </w:t>
      </w:r>
    </w:p>
    <w:p w14:paraId="7E6DE18E" w14:textId="77777777" w:rsidR="00D420D3" w:rsidRPr="00D420D3" w:rsidRDefault="00D420D3" w:rsidP="00C75BF7">
      <w:pPr>
        <w:numPr>
          <w:ilvl w:val="0"/>
          <w:numId w:val="8"/>
        </w:numPr>
        <w:autoSpaceDE/>
        <w:autoSpaceDN/>
        <w:adjustRightInd/>
        <w:snapToGrid/>
        <w:rPr>
          <w:rFonts w:eastAsia="Malgun Gothic" w:cs="Batang"/>
          <w:color w:val="000000" w:themeColor="text1"/>
          <w:lang w:eastAsia="ko-KR"/>
        </w:rPr>
      </w:pPr>
      <w:bookmarkStart w:id="21" w:name="_Ref58598481"/>
      <w:r w:rsidRPr="00D420D3">
        <w:rPr>
          <w:rFonts w:eastAsia="Malgun Gothic" w:cs="Batang"/>
          <w:color w:val="000000" w:themeColor="text1"/>
          <w:lang w:eastAsia="ko-KR"/>
        </w:rPr>
        <w:t>RP-202925, Revised WID: Extending current NR operation to 71 GHz, CMCC, RAN#90e</w:t>
      </w:r>
      <w:bookmarkEnd w:id="21"/>
      <w:r w:rsidRPr="00D420D3">
        <w:rPr>
          <w:rFonts w:eastAsia="Malgun Gothic" w:cs="Batang"/>
          <w:color w:val="000000" w:themeColor="text1"/>
          <w:lang w:eastAsia="ko-KR"/>
        </w:rPr>
        <w:t>, 2020.</w:t>
      </w:r>
    </w:p>
    <w:p w14:paraId="5872F919" w14:textId="77777777" w:rsidR="00D420D3" w:rsidRPr="00D420D3" w:rsidRDefault="00D420D3" w:rsidP="00C75BF7">
      <w:pPr>
        <w:numPr>
          <w:ilvl w:val="0"/>
          <w:numId w:val="8"/>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Chairman's Notes RAN1#104-e v017</w:t>
      </w:r>
    </w:p>
    <w:p w14:paraId="4DCB1F4E" w14:textId="77777777" w:rsidR="00D420D3" w:rsidRPr="00D420D3" w:rsidRDefault="00D420D3" w:rsidP="00C75BF7">
      <w:pPr>
        <w:numPr>
          <w:ilvl w:val="0"/>
          <w:numId w:val="8"/>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ETSI EN 302 567 Multiple-Gigabit/s radio equipment operating in the 60 GHz band; Harmonised Standard for access to radio spectrum</w:t>
      </w:r>
    </w:p>
    <w:p w14:paraId="047CCA68" w14:textId="77777777" w:rsidR="00D420D3" w:rsidRPr="00D420D3" w:rsidRDefault="00D420D3" w:rsidP="00C75BF7">
      <w:pPr>
        <w:numPr>
          <w:ilvl w:val="0"/>
          <w:numId w:val="8"/>
        </w:numPr>
        <w:autoSpaceDE/>
        <w:autoSpaceDN/>
        <w:adjustRightInd/>
        <w:snapToGrid/>
        <w:spacing w:after="180" w:line="336" w:lineRule="auto"/>
        <w:rPr>
          <w:rFonts w:eastAsia="Malgun Gothic" w:cs="Batang"/>
          <w:szCs w:val="20"/>
          <w:lang w:val="en-GB"/>
        </w:rPr>
      </w:pPr>
      <w:r w:rsidRPr="00D420D3">
        <w:rPr>
          <w:rFonts w:eastAsia="Malgun Gothic" w:cs="Batang"/>
          <w:color w:val="000000" w:themeColor="text1"/>
          <w:lang w:eastAsia="ko-KR"/>
        </w:rPr>
        <w:t>TS 38.106 User Equipment (UE) radio access capabilities (Release 16)</w:t>
      </w:r>
    </w:p>
    <w:p w14:paraId="426DADCE" w14:textId="0ACEDA2C" w:rsidR="00D420D3" w:rsidRDefault="00D420D3" w:rsidP="00C75BF7">
      <w:pPr>
        <w:numPr>
          <w:ilvl w:val="0"/>
          <w:numId w:val="8"/>
        </w:numPr>
        <w:autoSpaceDE/>
        <w:autoSpaceDN/>
        <w:adjustRightInd/>
        <w:snapToGrid/>
        <w:spacing w:after="180" w:line="336" w:lineRule="auto"/>
        <w:rPr>
          <w:rFonts w:eastAsia="Malgun Gothic" w:cs="Batang"/>
          <w:szCs w:val="20"/>
          <w:lang w:val="en-GB"/>
        </w:rPr>
      </w:pPr>
      <w:r w:rsidRPr="00D420D3">
        <w:rPr>
          <w:rFonts w:eastAsia="Malgun Gothic" w:cs="Batang"/>
          <w:szCs w:val="20"/>
          <w:lang w:val="en-GB"/>
        </w:rPr>
        <w:t>TS 38.101-2 User Equipment (UE) radio transmission and reception; Part 2: Range 2 Standalone (Release 17)</w:t>
      </w:r>
    </w:p>
    <w:p w14:paraId="615EE5C2" w14:textId="77777777" w:rsidR="00115592" w:rsidRPr="00BD2307" w:rsidRDefault="00115592" w:rsidP="00115592">
      <w:pPr>
        <w:pStyle w:val="References"/>
        <w:numPr>
          <w:ilvl w:val="0"/>
          <w:numId w:val="8"/>
        </w:numPr>
        <w:rPr>
          <w:sz w:val="22"/>
          <w:szCs w:val="22"/>
        </w:rPr>
      </w:pPr>
      <w:r w:rsidRPr="00AD2440">
        <w:rPr>
          <w:sz w:val="22"/>
          <w:szCs w:val="22"/>
        </w:rPr>
        <w:t xml:space="preserve">D. Zhang et.al., “Characterizing Interference Mitigation Techniques in Dense 60 GHz mmWave WLANs”, ICCCN 2018. </w:t>
      </w:r>
    </w:p>
    <w:p w14:paraId="3C94907E" w14:textId="77777777" w:rsidR="00115592" w:rsidRPr="00D420D3" w:rsidRDefault="00115592" w:rsidP="00115592">
      <w:pPr>
        <w:autoSpaceDE/>
        <w:autoSpaceDN/>
        <w:adjustRightInd/>
        <w:snapToGrid/>
        <w:spacing w:after="180" w:line="336" w:lineRule="auto"/>
        <w:ind w:left="360"/>
        <w:rPr>
          <w:rFonts w:eastAsia="Malgun Gothic" w:cs="Batang"/>
          <w:szCs w:val="20"/>
          <w:lang w:val="en-GB"/>
        </w:rPr>
      </w:pPr>
    </w:p>
    <w:bookmarkEnd w:id="18"/>
    <w:bookmarkEnd w:id="19"/>
    <w:bookmarkEnd w:id="20"/>
    <w:p w14:paraId="59D8752A" w14:textId="77777777" w:rsidR="00F93125" w:rsidRPr="00452399" w:rsidRDefault="00F93125" w:rsidP="00A3575A">
      <w:pPr>
        <w:rPr>
          <w:rFonts w:eastAsia="DengXian" w:cs="Times"/>
          <w:bCs/>
          <w:kern w:val="32"/>
          <w:lang w:eastAsia="zh-CN"/>
        </w:rPr>
      </w:pPr>
    </w:p>
    <w:sectPr w:rsidR="00F93125" w:rsidRPr="0045239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6F8ED" w14:textId="77777777" w:rsidR="00BA2E1D" w:rsidRDefault="00BA2E1D">
      <w:r>
        <w:separator/>
      </w:r>
    </w:p>
  </w:endnote>
  <w:endnote w:type="continuationSeparator" w:id="0">
    <w:p w14:paraId="30645FA5" w14:textId="77777777" w:rsidR="00BA2E1D" w:rsidRDefault="00BA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2A4F7" w14:textId="77777777" w:rsidR="00BA2E1D" w:rsidRDefault="00BA2E1D">
      <w:r>
        <w:separator/>
      </w:r>
    </w:p>
  </w:footnote>
  <w:footnote w:type="continuationSeparator" w:id="0">
    <w:p w14:paraId="22225C39" w14:textId="77777777" w:rsidR="00BA2E1D" w:rsidRDefault="00BA2E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9551C99"/>
    <w:multiLevelType w:val="hybridMultilevel"/>
    <w:tmpl w:val="98E2A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8"/>
  </w:num>
  <w:num w:numId="5">
    <w:abstractNumId w:val="10"/>
  </w:num>
  <w:num w:numId="6">
    <w:abstractNumId w:val="9"/>
  </w:num>
  <w:num w:numId="7">
    <w:abstractNumId w:val="6"/>
  </w:num>
  <w:num w:numId="8">
    <w:abstractNumId w:val="0"/>
  </w:num>
  <w:num w:numId="9">
    <w:abstractNumId w:val="2"/>
  </w:num>
  <w:num w:numId="10">
    <w:abstractNumId w:val="5"/>
  </w:num>
  <w:num w:numId="11">
    <w:abstractNumId w:val="2"/>
  </w:num>
  <w:num w:numId="1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201A7"/>
    <w:rsid w:val="0002030C"/>
    <w:rsid w:val="000224D1"/>
    <w:rsid w:val="000227D0"/>
    <w:rsid w:val="00022A52"/>
    <w:rsid w:val="00023388"/>
    <w:rsid w:val="00023425"/>
    <w:rsid w:val="00023685"/>
    <w:rsid w:val="00023E05"/>
    <w:rsid w:val="000241BE"/>
    <w:rsid w:val="000242F2"/>
    <w:rsid w:val="000247FA"/>
    <w:rsid w:val="000267C3"/>
    <w:rsid w:val="00026875"/>
    <w:rsid w:val="00026C44"/>
    <w:rsid w:val="00026D4B"/>
    <w:rsid w:val="00026E5D"/>
    <w:rsid w:val="000275C6"/>
    <w:rsid w:val="00027AD6"/>
    <w:rsid w:val="00027C82"/>
    <w:rsid w:val="0003024C"/>
    <w:rsid w:val="00030533"/>
    <w:rsid w:val="0003083D"/>
    <w:rsid w:val="00030DE7"/>
    <w:rsid w:val="00031ADB"/>
    <w:rsid w:val="00032056"/>
    <w:rsid w:val="000328CA"/>
    <w:rsid w:val="00032D78"/>
    <w:rsid w:val="00032E40"/>
    <w:rsid w:val="0003376B"/>
    <w:rsid w:val="00034676"/>
    <w:rsid w:val="000346E6"/>
    <w:rsid w:val="000352B3"/>
    <w:rsid w:val="00036660"/>
    <w:rsid w:val="000371DD"/>
    <w:rsid w:val="00037C6A"/>
    <w:rsid w:val="00040171"/>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5DA3"/>
    <w:rsid w:val="000565C8"/>
    <w:rsid w:val="000567AD"/>
    <w:rsid w:val="00056A21"/>
    <w:rsid w:val="00057DC8"/>
    <w:rsid w:val="00060AB2"/>
    <w:rsid w:val="000612E1"/>
    <w:rsid w:val="000614FE"/>
    <w:rsid w:val="0006295E"/>
    <w:rsid w:val="00062FD6"/>
    <w:rsid w:val="00063C08"/>
    <w:rsid w:val="00064B54"/>
    <w:rsid w:val="00065D38"/>
    <w:rsid w:val="000661FE"/>
    <w:rsid w:val="00066595"/>
    <w:rsid w:val="0006694E"/>
    <w:rsid w:val="00067DD1"/>
    <w:rsid w:val="00067E85"/>
    <w:rsid w:val="000702E6"/>
    <w:rsid w:val="00070447"/>
    <w:rsid w:val="000706E7"/>
    <w:rsid w:val="00070C73"/>
    <w:rsid w:val="00070EF8"/>
    <w:rsid w:val="00070EF9"/>
    <w:rsid w:val="00070F3B"/>
    <w:rsid w:val="00070FB9"/>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2E4"/>
    <w:rsid w:val="00076541"/>
    <w:rsid w:val="0007676D"/>
    <w:rsid w:val="00076E44"/>
    <w:rsid w:val="000772F4"/>
    <w:rsid w:val="00077508"/>
    <w:rsid w:val="000776EB"/>
    <w:rsid w:val="0007783F"/>
    <w:rsid w:val="00080FB1"/>
    <w:rsid w:val="00081899"/>
    <w:rsid w:val="000823B0"/>
    <w:rsid w:val="00082F83"/>
    <w:rsid w:val="000831FC"/>
    <w:rsid w:val="0008335B"/>
    <w:rsid w:val="00083379"/>
    <w:rsid w:val="00083587"/>
    <w:rsid w:val="00083838"/>
    <w:rsid w:val="00083B6A"/>
    <w:rsid w:val="000858D7"/>
    <w:rsid w:val="00085E04"/>
    <w:rsid w:val="00086763"/>
    <w:rsid w:val="00086800"/>
    <w:rsid w:val="00086AA0"/>
    <w:rsid w:val="00087913"/>
    <w:rsid w:val="00090220"/>
    <w:rsid w:val="000902DC"/>
    <w:rsid w:val="00090860"/>
    <w:rsid w:val="00090946"/>
    <w:rsid w:val="000911AE"/>
    <w:rsid w:val="000926BE"/>
    <w:rsid w:val="00092DF7"/>
    <w:rsid w:val="00093697"/>
    <w:rsid w:val="00093D42"/>
    <w:rsid w:val="00093DD0"/>
    <w:rsid w:val="00093F3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B4"/>
    <w:rsid w:val="000A2CC7"/>
    <w:rsid w:val="000A2EC0"/>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C98"/>
    <w:rsid w:val="000B1FE1"/>
    <w:rsid w:val="000B2985"/>
    <w:rsid w:val="000B2C88"/>
    <w:rsid w:val="000B3342"/>
    <w:rsid w:val="000B3905"/>
    <w:rsid w:val="000B3A59"/>
    <w:rsid w:val="000B3B37"/>
    <w:rsid w:val="000B4D45"/>
    <w:rsid w:val="000B51E6"/>
    <w:rsid w:val="000B51FA"/>
    <w:rsid w:val="000B522D"/>
    <w:rsid w:val="000B56AB"/>
    <w:rsid w:val="000B5905"/>
    <w:rsid w:val="000B5975"/>
    <w:rsid w:val="000B5990"/>
    <w:rsid w:val="000B5F3C"/>
    <w:rsid w:val="000B60DB"/>
    <w:rsid w:val="000B6245"/>
    <w:rsid w:val="000B6E2C"/>
    <w:rsid w:val="000B7286"/>
    <w:rsid w:val="000B749B"/>
    <w:rsid w:val="000B7620"/>
    <w:rsid w:val="000B76C5"/>
    <w:rsid w:val="000B76F1"/>
    <w:rsid w:val="000B7893"/>
    <w:rsid w:val="000B7A10"/>
    <w:rsid w:val="000B7BD0"/>
    <w:rsid w:val="000C055B"/>
    <w:rsid w:val="000C0A4B"/>
    <w:rsid w:val="000C115D"/>
    <w:rsid w:val="000C13AE"/>
    <w:rsid w:val="000C1535"/>
    <w:rsid w:val="000C1652"/>
    <w:rsid w:val="000C1F4B"/>
    <w:rsid w:val="000C252B"/>
    <w:rsid w:val="000C2B61"/>
    <w:rsid w:val="000C2FBD"/>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20EA"/>
    <w:rsid w:val="000D22CC"/>
    <w:rsid w:val="000D2938"/>
    <w:rsid w:val="000D31C8"/>
    <w:rsid w:val="000D3561"/>
    <w:rsid w:val="000D35D6"/>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770"/>
    <w:rsid w:val="000E18DF"/>
    <w:rsid w:val="000E1B5C"/>
    <w:rsid w:val="000E2BD7"/>
    <w:rsid w:val="000E2FD1"/>
    <w:rsid w:val="000E3123"/>
    <w:rsid w:val="000E4761"/>
    <w:rsid w:val="000E48AF"/>
    <w:rsid w:val="000E541C"/>
    <w:rsid w:val="000E59A0"/>
    <w:rsid w:val="000E7403"/>
    <w:rsid w:val="000E7A84"/>
    <w:rsid w:val="000F15BC"/>
    <w:rsid w:val="000F180A"/>
    <w:rsid w:val="000F1C92"/>
    <w:rsid w:val="000F1E81"/>
    <w:rsid w:val="000F2D25"/>
    <w:rsid w:val="000F2EEE"/>
    <w:rsid w:val="000F3238"/>
    <w:rsid w:val="000F3697"/>
    <w:rsid w:val="000F3EFA"/>
    <w:rsid w:val="000F407D"/>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A3"/>
    <w:rsid w:val="001129B5"/>
    <w:rsid w:val="00112AD7"/>
    <w:rsid w:val="00112B9A"/>
    <w:rsid w:val="00112BAD"/>
    <w:rsid w:val="00112BE6"/>
    <w:rsid w:val="00112FE5"/>
    <w:rsid w:val="00113C24"/>
    <w:rsid w:val="00113F1D"/>
    <w:rsid w:val="001141E3"/>
    <w:rsid w:val="001144DF"/>
    <w:rsid w:val="00114B18"/>
    <w:rsid w:val="00114BF1"/>
    <w:rsid w:val="001152B9"/>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B13"/>
    <w:rsid w:val="00121162"/>
    <w:rsid w:val="0012241D"/>
    <w:rsid w:val="001233BB"/>
    <w:rsid w:val="00124258"/>
    <w:rsid w:val="0012449B"/>
    <w:rsid w:val="00124875"/>
    <w:rsid w:val="00124D84"/>
    <w:rsid w:val="00124D97"/>
    <w:rsid w:val="001250DD"/>
    <w:rsid w:val="00125733"/>
    <w:rsid w:val="001263AA"/>
    <w:rsid w:val="00126619"/>
    <w:rsid w:val="001273F3"/>
    <w:rsid w:val="00130779"/>
    <w:rsid w:val="001307A1"/>
    <w:rsid w:val="00130F5A"/>
    <w:rsid w:val="001314A8"/>
    <w:rsid w:val="0013160D"/>
    <w:rsid w:val="001321D3"/>
    <w:rsid w:val="00132FAA"/>
    <w:rsid w:val="00133599"/>
    <w:rsid w:val="001338A3"/>
    <w:rsid w:val="00133BF7"/>
    <w:rsid w:val="00134184"/>
    <w:rsid w:val="00134B88"/>
    <w:rsid w:val="001359F9"/>
    <w:rsid w:val="00135A01"/>
    <w:rsid w:val="00136A23"/>
    <w:rsid w:val="00136B99"/>
    <w:rsid w:val="0014063E"/>
    <w:rsid w:val="0014087D"/>
    <w:rsid w:val="00140F74"/>
    <w:rsid w:val="00141191"/>
    <w:rsid w:val="0014159C"/>
    <w:rsid w:val="00141C30"/>
    <w:rsid w:val="00141CB7"/>
    <w:rsid w:val="00142665"/>
    <w:rsid w:val="00142932"/>
    <w:rsid w:val="00143123"/>
    <w:rsid w:val="0014384A"/>
    <w:rsid w:val="0014450F"/>
    <w:rsid w:val="00144D8F"/>
    <w:rsid w:val="00144DCF"/>
    <w:rsid w:val="00145C74"/>
    <w:rsid w:val="001462E9"/>
    <w:rsid w:val="00146B4B"/>
    <w:rsid w:val="00146C4D"/>
    <w:rsid w:val="00146E32"/>
    <w:rsid w:val="0015005A"/>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B13"/>
    <w:rsid w:val="00160C09"/>
    <w:rsid w:val="00161111"/>
    <w:rsid w:val="001618DC"/>
    <w:rsid w:val="00161FE4"/>
    <w:rsid w:val="00162064"/>
    <w:rsid w:val="0016271E"/>
    <w:rsid w:val="00162D7A"/>
    <w:rsid w:val="001633C3"/>
    <w:rsid w:val="00164DAB"/>
    <w:rsid w:val="00164EDC"/>
    <w:rsid w:val="0016541D"/>
    <w:rsid w:val="00165A24"/>
    <w:rsid w:val="00165BBB"/>
    <w:rsid w:val="00165C6A"/>
    <w:rsid w:val="00165C72"/>
    <w:rsid w:val="00165FEB"/>
    <w:rsid w:val="0016613F"/>
    <w:rsid w:val="00166215"/>
    <w:rsid w:val="00166487"/>
    <w:rsid w:val="00166591"/>
    <w:rsid w:val="001666C4"/>
    <w:rsid w:val="00166734"/>
    <w:rsid w:val="00166BBC"/>
    <w:rsid w:val="001670B2"/>
    <w:rsid w:val="00167146"/>
    <w:rsid w:val="00167662"/>
    <w:rsid w:val="00167A37"/>
    <w:rsid w:val="00167C3C"/>
    <w:rsid w:val="00170E24"/>
    <w:rsid w:val="00171143"/>
    <w:rsid w:val="00172864"/>
    <w:rsid w:val="00172B82"/>
    <w:rsid w:val="00172EFA"/>
    <w:rsid w:val="001732C5"/>
    <w:rsid w:val="00173608"/>
    <w:rsid w:val="001745EC"/>
    <w:rsid w:val="001747B7"/>
    <w:rsid w:val="00174B63"/>
    <w:rsid w:val="00175446"/>
    <w:rsid w:val="00175C30"/>
    <w:rsid w:val="001762F8"/>
    <w:rsid w:val="00176C95"/>
    <w:rsid w:val="00177069"/>
    <w:rsid w:val="0017709D"/>
    <w:rsid w:val="001775EF"/>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27"/>
    <w:rsid w:val="001A7CB3"/>
    <w:rsid w:val="001B0525"/>
    <w:rsid w:val="001B06C2"/>
    <w:rsid w:val="001B098A"/>
    <w:rsid w:val="001B0C7F"/>
    <w:rsid w:val="001B1F69"/>
    <w:rsid w:val="001B22F1"/>
    <w:rsid w:val="001B2439"/>
    <w:rsid w:val="001B27A5"/>
    <w:rsid w:val="001B31DB"/>
    <w:rsid w:val="001B3964"/>
    <w:rsid w:val="001B3C08"/>
    <w:rsid w:val="001B4452"/>
    <w:rsid w:val="001B463A"/>
    <w:rsid w:val="001B466C"/>
    <w:rsid w:val="001B4F34"/>
    <w:rsid w:val="001B52EC"/>
    <w:rsid w:val="001B5488"/>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50F9"/>
    <w:rsid w:val="001C542A"/>
    <w:rsid w:val="001C5D4F"/>
    <w:rsid w:val="001C64C0"/>
    <w:rsid w:val="001C656D"/>
    <w:rsid w:val="001C69DA"/>
    <w:rsid w:val="001C6F06"/>
    <w:rsid w:val="001C6FDE"/>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2EA9"/>
    <w:rsid w:val="001E36E4"/>
    <w:rsid w:val="001E379D"/>
    <w:rsid w:val="001E3A3C"/>
    <w:rsid w:val="001E462D"/>
    <w:rsid w:val="001E5291"/>
    <w:rsid w:val="001E5570"/>
    <w:rsid w:val="001E5C23"/>
    <w:rsid w:val="001E6354"/>
    <w:rsid w:val="001E678D"/>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6C51"/>
    <w:rsid w:val="001F7121"/>
    <w:rsid w:val="001F7534"/>
    <w:rsid w:val="001F7688"/>
    <w:rsid w:val="002009BC"/>
    <w:rsid w:val="00200D2C"/>
    <w:rsid w:val="002019D8"/>
    <w:rsid w:val="00201EC7"/>
    <w:rsid w:val="00201F59"/>
    <w:rsid w:val="00203165"/>
    <w:rsid w:val="0020349A"/>
    <w:rsid w:val="002034B4"/>
    <w:rsid w:val="00204032"/>
    <w:rsid w:val="002048C2"/>
    <w:rsid w:val="00204AFE"/>
    <w:rsid w:val="00204BAD"/>
    <w:rsid w:val="00204D60"/>
    <w:rsid w:val="00204EB8"/>
    <w:rsid w:val="00205627"/>
    <w:rsid w:val="002056D0"/>
    <w:rsid w:val="00205A0F"/>
    <w:rsid w:val="00205E70"/>
    <w:rsid w:val="002061A9"/>
    <w:rsid w:val="00207118"/>
    <w:rsid w:val="002077F8"/>
    <w:rsid w:val="00207A66"/>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5E90"/>
    <w:rsid w:val="002164D8"/>
    <w:rsid w:val="00216C8D"/>
    <w:rsid w:val="00217F96"/>
    <w:rsid w:val="00220894"/>
    <w:rsid w:val="0022095C"/>
    <w:rsid w:val="00221757"/>
    <w:rsid w:val="00221772"/>
    <w:rsid w:val="00221B61"/>
    <w:rsid w:val="00223C8B"/>
    <w:rsid w:val="00224952"/>
    <w:rsid w:val="00224DD2"/>
    <w:rsid w:val="0022565B"/>
    <w:rsid w:val="00225905"/>
    <w:rsid w:val="00225A6A"/>
    <w:rsid w:val="00225AC7"/>
    <w:rsid w:val="00225ACC"/>
    <w:rsid w:val="0022780F"/>
    <w:rsid w:val="00227DBD"/>
    <w:rsid w:val="00230156"/>
    <w:rsid w:val="00231C25"/>
    <w:rsid w:val="00231C6F"/>
    <w:rsid w:val="0023244C"/>
    <w:rsid w:val="002329C4"/>
    <w:rsid w:val="00232A90"/>
    <w:rsid w:val="00232B3B"/>
    <w:rsid w:val="00232B82"/>
    <w:rsid w:val="002330ED"/>
    <w:rsid w:val="00233A2C"/>
    <w:rsid w:val="00234151"/>
    <w:rsid w:val="00234F8C"/>
    <w:rsid w:val="0023535E"/>
    <w:rsid w:val="00235542"/>
    <w:rsid w:val="00235DAD"/>
    <w:rsid w:val="00235E55"/>
    <w:rsid w:val="002369B0"/>
    <w:rsid w:val="00236AD8"/>
    <w:rsid w:val="00236B3F"/>
    <w:rsid w:val="00237081"/>
    <w:rsid w:val="0023749A"/>
    <w:rsid w:val="00237852"/>
    <w:rsid w:val="00237DBD"/>
    <w:rsid w:val="00237E50"/>
    <w:rsid w:val="002401EA"/>
    <w:rsid w:val="002401F5"/>
    <w:rsid w:val="002407C9"/>
    <w:rsid w:val="00240E54"/>
    <w:rsid w:val="002419CC"/>
    <w:rsid w:val="00241CFB"/>
    <w:rsid w:val="00242380"/>
    <w:rsid w:val="002427E1"/>
    <w:rsid w:val="00242805"/>
    <w:rsid w:val="0024342B"/>
    <w:rsid w:val="00244C2D"/>
    <w:rsid w:val="002451C5"/>
    <w:rsid w:val="00245884"/>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65BF"/>
    <w:rsid w:val="00257BF4"/>
    <w:rsid w:val="00260003"/>
    <w:rsid w:val="00260236"/>
    <w:rsid w:val="0026035D"/>
    <w:rsid w:val="002606D6"/>
    <w:rsid w:val="00260AA1"/>
    <w:rsid w:val="00260F70"/>
    <w:rsid w:val="00261C98"/>
    <w:rsid w:val="0026248E"/>
    <w:rsid w:val="00262914"/>
    <w:rsid w:val="00263F38"/>
    <w:rsid w:val="002643C2"/>
    <w:rsid w:val="002647BF"/>
    <w:rsid w:val="002647D5"/>
    <w:rsid w:val="00265032"/>
    <w:rsid w:val="002651FB"/>
    <w:rsid w:val="0026538C"/>
    <w:rsid w:val="002653A9"/>
    <w:rsid w:val="0026558C"/>
    <w:rsid w:val="00265674"/>
    <w:rsid w:val="00265781"/>
    <w:rsid w:val="00265933"/>
    <w:rsid w:val="00266B13"/>
    <w:rsid w:val="00266B23"/>
    <w:rsid w:val="00270728"/>
    <w:rsid w:val="00270D42"/>
    <w:rsid w:val="00270FA0"/>
    <w:rsid w:val="002714D5"/>
    <w:rsid w:val="0027195D"/>
    <w:rsid w:val="002724CE"/>
    <w:rsid w:val="00272B03"/>
    <w:rsid w:val="00272FEA"/>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F4B"/>
    <w:rsid w:val="002A0348"/>
    <w:rsid w:val="002A06C2"/>
    <w:rsid w:val="002A0749"/>
    <w:rsid w:val="002A0E29"/>
    <w:rsid w:val="002A105F"/>
    <w:rsid w:val="002A1E92"/>
    <w:rsid w:val="002A1E9C"/>
    <w:rsid w:val="002A204D"/>
    <w:rsid w:val="002A23E8"/>
    <w:rsid w:val="002A2616"/>
    <w:rsid w:val="002A26E1"/>
    <w:rsid w:val="002A2C30"/>
    <w:rsid w:val="002A335E"/>
    <w:rsid w:val="002A368A"/>
    <w:rsid w:val="002A4065"/>
    <w:rsid w:val="002A4194"/>
    <w:rsid w:val="002A4B4D"/>
    <w:rsid w:val="002A4E11"/>
    <w:rsid w:val="002A5080"/>
    <w:rsid w:val="002A5619"/>
    <w:rsid w:val="002A59F0"/>
    <w:rsid w:val="002A5C58"/>
    <w:rsid w:val="002A5ECA"/>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DCA"/>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20F2"/>
    <w:rsid w:val="002C22FD"/>
    <w:rsid w:val="002C30EA"/>
    <w:rsid w:val="002C38B2"/>
    <w:rsid w:val="002C3AB3"/>
    <w:rsid w:val="002C3DC2"/>
    <w:rsid w:val="002C3F54"/>
    <w:rsid w:val="002C3F9C"/>
    <w:rsid w:val="002C4C12"/>
    <w:rsid w:val="002C4EE0"/>
    <w:rsid w:val="002C51A7"/>
    <w:rsid w:val="002C5AFA"/>
    <w:rsid w:val="002C6469"/>
    <w:rsid w:val="002C73E3"/>
    <w:rsid w:val="002C7DF5"/>
    <w:rsid w:val="002D0439"/>
    <w:rsid w:val="002D11B7"/>
    <w:rsid w:val="002D26B4"/>
    <w:rsid w:val="002D2D24"/>
    <w:rsid w:val="002D3055"/>
    <w:rsid w:val="002D361F"/>
    <w:rsid w:val="002D3AF5"/>
    <w:rsid w:val="002D3BBC"/>
    <w:rsid w:val="002D3C29"/>
    <w:rsid w:val="002D4171"/>
    <w:rsid w:val="002D438A"/>
    <w:rsid w:val="002D5152"/>
    <w:rsid w:val="002D53C8"/>
    <w:rsid w:val="002D56E4"/>
    <w:rsid w:val="002D5738"/>
    <w:rsid w:val="002D5C97"/>
    <w:rsid w:val="002D5E53"/>
    <w:rsid w:val="002D6010"/>
    <w:rsid w:val="002D63F9"/>
    <w:rsid w:val="002D7215"/>
    <w:rsid w:val="002D72CC"/>
    <w:rsid w:val="002E0038"/>
    <w:rsid w:val="002E0319"/>
    <w:rsid w:val="002E057F"/>
    <w:rsid w:val="002E101C"/>
    <w:rsid w:val="002E1093"/>
    <w:rsid w:val="002E179B"/>
    <w:rsid w:val="002E1897"/>
    <w:rsid w:val="002E1C9E"/>
    <w:rsid w:val="002E1D9F"/>
    <w:rsid w:val="002E215A"/>
    <w:rsid w:val="002E257B"/>
    <w:rsid w:val="002E3C65"/>
    <w:rsid w:val="002E3F5B"/>
    <w:rsid w:val="002E4362"/>
    <w:rsid w:val="002E47BD"/>
    <w:rsid w:val="002E5670"/>
    <w:rsid w:val="002E5B07"/>
    <w:rsid w:val="002E63D9"/>
    <w:rsid w:val="002E640E"/>
    <w:rsid w:val="002E739D"/>
    <w:rsid w:val="002E750A"/>
    <w:rsid w:val="002E76D0"/>
    <w:rsid w:val="002F0C28"/>
    <w:rsid w:val="002F13A9"/>
    <w:rsid w:val="002F281C"/>
    <w:rsid w:val="002F2999"/>
    <w:rsid w:val="002F3CDE"/>
    <w:rsid w:val="002F4AFB"/>
    <w:rsid w:val="002F559A"/>
    <w:rsid w:val="002F5DD6"/>
    <w:rsid w:val="002F5FEA"/>
    <w:rsid w:val="002F6008"/>
    <w:rsid w:val="002F63E7"/>
    <w:rsid w:val="002F6806"/>
    <w:rsid w:val="002F7BE3"/>
    <w:rsid w:val="002F7E6A"/>
    <w:rsid w:val="00300165"/>
    <w:rsid w:val="00300445"/>
    <w:rsid w:val="003008C7"/>
    <w:rsid w:val="00300978"/>
    <w:rsid w:val="00300F00"/>
    <w:rsid w:val="003010CF"/>
    <w:rsid w:val="00303175"/>
    <w:rsid w:val="00303440"/>
    <w:rsid w:val="00304BB3"/>
    <w:rsid w:val="00304D9B"/>
    <w:rsid w:val="00304E7F"/>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DFF"/>
    <w:rsid w:val="003178DA"/>
    <w:rsid w:val="00317DB8"/>
    <w:rsid w:val="00317E6F"/>
    <w:rsid w:val="00320085"/>
    <w:rsid w:val="00320618"/>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8F1"/>
    <w:rsid w:val="0032554C"/>
    <w:rsid w:val="00326907"/>
    <w:rsid w:val="00326957"/>
    <w:rsid w:val="00326AE2"/>
    <w:rsid w:val="00326E13"/>
    <w:rsid w:val="00327792"/>
    <w:rsid w:val="00330951"/>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40F94"/>
    <w:rsid w:val="00341749"/>
    <w:rsid w:val="00341F43"/>
    <w:rsid w:val="0034226D"/>
    <w:rsid w:val="00342972"/>
    <w:rsid w:val="00342FDD"/>
    <w:rsid w:val="00343108"/>
    <w:rsid w:val="00343118"/>
    <w:rsid w:val="00343A69"/>
    <w:rsid w:val="00343DB9"/>
    <w:rsid w:val="0034429B"/>
    <w:rsid w:val="003442D8"/>
    <w:rsid w:val="00344866"/>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2480"/>
    <w:rsid w:val="0035275F"/>
    <w:rsid w:val="00352BBC"/>
    <w:rsid w:val="00352DE4"/>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348"/>
    <w:rsid w:val="003616C7"/>
    <w:rsid w:val="00362369"/>
    <w:rsid w:val="00362371"/>
    <w:rsid w:val="00362569"/>
    <w:rsid w:val="00363519"/>
    <w:rsid w:val="00363627"/>
    <w:rsid w:val="003636CD"/>
    <w:rsid w:val="00363ABF"/>
    <w:rsid w:val="00364230"/>
    <w:rsid w:val="0036487C"/>
    <w:rsid w:val="00365411"/>
    <w:rsid w:val="003655E9"/>
    <w:rsid w:val="00365FA2"/>
    <w:rsid w:val="003664B0"/>
    <w:rsid w:val="0036695D"/>
    <w:rsid w:val="00366C69"/>
    <w:rsid w:val="00367441"/>
    <w:rsid w:val="00367B1D"/>
    <w:rsid w:val="003707F6"/>
    <w:rsid w:val="00370E4F"/>
    <w:rsid w:val="00371215"/>
    <w:rsid w:val="00371CB1"/>
    <w:rsid w:val="00372630"/>
    <w:rsid w:val="00372CA6"/>
    <w:rsid w:val="00372F0D"/>
    <w:rsid w:val="00373D35"/>
    <w:rsid w:val="00373E84"/>
    <w:rsid w:val="00373FC6"/>
    <w:rsid w:val="00374059"/>
    <w:rsid w:val="003748F7"/>
    <w:rsid w:val="00374F16"/>
    <w:rsid w:val="0037535B"/>
    <w:rsid w:val="00375394"/>
    <w:rsid w:val="0037552D"/>
    <w:rsid w:val="003756DB"/>
    <w:rsid w:val="00375AD7"/>
    <w:rsid w:val="00376991"/>
    <w:rsid w:val="003770BB"/>
    <w:rsid w:val="0037771A"/>
    <w:rsid w:val="003802DC"/>
    <w:rsid w:val="0038045A"/>
    <w:rsid w:val="003804BE"/>
    <w:rsid w:val="003807F0"/>
    <w:rsid w:val="00380C2D"/>
    <w:rsid w:val="00380E4E"/>
    <w:rsid w:val="00380FBF"/>
    <w:rsid w:val="00381156"/>
    <w:rsid w:val="00381391"/>
    <w:rsid w:val="003820E9"/>
    <w:rsid w:val="003829F2"/>
    <w:rsid w:val="00382A43"/>
    <w:rsid w:val="00382D60"/>
    <w:rsid w:val="00382F29"/>
    <w:rsid w:val="00383C8D"/>
    <w:rsid w:val="00383EAD"/>
    <w:rsid w:val="00384281"/>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9F6"/>
    <w:rsid w:val="0039218D"/>
    <w:rsid w:val="003923D5"/>
    <w:rsid w:val="00392B93"/>
    <w:rsid w:val="00393F5A"/>
    <w:rsid w:val="003940CE"/>
    <w:rsid w:val="00394739"/>
    <w:rsid w:val="003949A9"/>
    <w:rsid w:val="00395721"/>
    <w:rsid w:val="00395826"/>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7702"/>
    <w:rsid w:val="003A7834"/>
    <w:rsid w:val="003B0A4C"/>
    <w:rsid w:val="003B0B5B"/>
    <w:rsid w:val="003B0CE2"/>
    <w:rsid w:val="003B0D8E"/>
    <w:rsid w:val="003B0E79"/>
    <w:rsid w:val="003B19A2"/>
    <w:rsid w:val="003B31B1"/>
    <w:rsid w:val="003B3575"/>
    <w:rsid w:val="003B38D1"/>
    <w:rsid w:val="003B50BC"/>
    <w:rsid w:val="003B5B02"/>
    <w:rsid w:val="003B5D97"/>
    <w:rsid w:val="003B63A4"/>
    <w:rsid w:val="003B68FE"/>
    <w:rsid w:val="003B6D7D"/>
    <w:rsid w:val="003B7673"/>
    <w:rsid w:val="003B7D7E"/>
    <w:rsid w:val="003C012D"/>
    <w:rsid w:val="003C04B9"/>
    <w:rsid w:val="003C1012"/>
    <w:rsid w:val="003C11C9"/>
    <w:rsid w:val="003C1229"/>
    <w:rsid w:val="003C149B"/>
    <w:rsid w:val="003C1C18"/>
    <w:rsid w:val="003C1FD4"/>
    <w:rsid w:val="003C213D"/>
    <w:rsid w:val="003C25AD"/>
    <w:rsid w:val="003C291D"/>
    <w:rsid w:val="003C2D21"/>
    <w:rsid w:val="003C3ED5"/>
    <w:rsid w:val="003C4135"/>
    <w:rsid w:val="003C4503"/>
    <w:rsid w:val="003C56F7"/>
    <w:rsid w:val="003C5E6B"/>
    <w:rsid w:val="003C5ED6"/>
    <w:rsid w:val="003C60F6"/>
    <w:rsid w:val="003C645E"/>
    <w:rsid w:val="003C652F"/>
    <w:rsid w:val="003C6B81"/>
    <w:rsid w:val="003C7AD7"/>
    <w:rsid w:val="003D0931"/>
    <w:rsid w:val="003D0992"/>
    <w:rsid w:val="003D0FC3"/>
    <w:rsid w:val="003D1902"/>
    <w:rsid w:val="003D2C1D"/>
    <w:rsid w:val="003D2C34"/>
    <w:rsid w:val="003D31B9"/>
    <w:rsid w:val="003D3538"/>
    <w:rsid w:val="003D3568"/>
    <w:rsid w:val="003D3923"/>
    <w:rsid w:val="003D3DDD"/>
    <w:rsid w:val="003D4022"/>
    <w:rsid w:val="003D46F1"/>
    <w:rsid w:val="003D4797"/>
    <w:rsid w:val="003D48A0"/>
    <w:rsid w:val="003D5C32"/>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6FA"/>
    <w:rsid w:val="003E5DBA"/>
    <w:rsid w:val="003E6316"/>
    <w:rsid w:val="003E6884"/>
    <w:rsid w:val="003E6AC5"/>
    <w:rsid w:val="003E6DF4"/>
    <w:rsid w:val="003F0096"/>
    <w:rsid w:val="003F00E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D4E"/>
    <w:rsid w:val="003F4271"/>
    <w:rsid w:val="003F477E"/>
    <w:rsid w:val="003F4950"/>
    <w:rsid w:val="003F6CD2"/>
    <w:rsid w:val="003F77A6"/>
    <w:rsid w:val="003F788D"/>
    <w:rsid w:val="003F7936"/>
    <w:rsid w:val="004008FE"/>
    <w:rsid w:val="0040126E"/>
    <w:rsid w:val="004020D4"/>
    <w:rsid w:val="004021B6"/>
    <w:rsid w:val="0040274F"/>
    <w:rsid w:val="004039EC"/>
    <w:rsid w:val="00403A22"/>
    <w:rsid w:val="00403F08"/>
    <w:rsid w:val="00403F9A"/>
    <w:rsid w:val="004047C4"/>
    <w:rsid w:val="0040523D"/>
    <w:rsid w:val="0040570B"/>
    <w:rsid w:val="00405EDB"/>
    <w:rsid w:val="00405FB1"/>
    <w:rsid w:val="00406460"/>
    <w:rsid w:val="00407AE3"/>
    <w:rsid w:val="00407D0B"/>
    <w:rsid w:val="004105F6"/>
    <w:rsid w:val="004106E4"/>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C65"/>
    <w:rsid w:val="0041570E"/>
    <w:rsid w:val="00415ACB"/>
    <w:rsid w:val="00415D76"/>
    <w:rsid w:val="00416665"/>
    <w:rsid w:val="00416A67"/>
    <w:rsid w:val="00416ACB"/>
    <w:rsid w:val="00417F5D"/>
    <w:rsid w:val="00417F6C"/>
    <w:rsid w:val="0042051C"/>
    <w:rsid w:val="00421DCF"/>
    <w:rsid w:val="00421F52"/>
    <w:rsid w:val="00422341"/>
    <w:rsid w:val="004226CC"/>
    <w:rsid w:val="00423392"/>
    <w:rsid w:val="00423641"/>
    <w:rsid w:val="004237F1"/>
    <w:rsid w:val="00423DA5"/>
    <w:rsid w:val="00423EEC"/>
    <w:rsid w:val="00424D43"/>
    <w:rsid w:val="00425F27"/>
    <w:rsid w:val="00426266"/>
    <w:rsid w:val="00426FFB"/>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F4"/>
    <w:rsid w:val="004344C7"/>
    <w:rsid w:val="00434E32"/>
    <w:rsid w:val="00435274"/>
    <w:rsid w:val="004352AD"/>
    <w:rsid w:val="0043545D"/>
    <w:rsid w:val="0043547E"/>
    <w:rsid w:val="00435FE2"/>
    <w:rsid w:val="00436E2F"/>
    <w:rsid w:val="00436EAB"/>
    <w:rsid w:val="0043715A"/>
    <w:rsid w:val="004376CE"/>
    <w:rsid w:val="004379C7"/>
    <w:rsid w:val="00437B27"/>
    <w:rsid w:val="004413B0"/>
    <w:rsid w:val="0044188A"/>
    <w:rsid w:val="0044222C"/>
    <w:rsid w:val="004423FF"/>
    <w:rsid w:val="00442E51"/>
    <w:rsid w:val="004431CF"/>
    <w:rsid w:val="004434F4"/>
    <w:rsid w:val="004439ED"/>
    <w:rsid w:val="00443D0E"/>
    <w:rsid w:val="004443D4"/>
    <w:rsid w:val="00445E81"/>
    <w:rsid w:val="004461D9"/>
    <w:rsid w:val="00446AC6"/>
    <w:rsid w:val="0044759B"/>
    <w:rsid w:val="00447F54"/>
    <w:rsid w:val="0045037E"/>
    <w:rsid w:val="00450B7E"/>
    <w:rsid w:val="00450E41"/>
    <w:rsid w:val="00450E95"/>
    <w:rsid w:val="00450F20"/>
    <w:rsid w:val="004510D2"/>
    <w:rsid w:val="0045134F"/>
    <w:rsid w:val="0045136B"/>
    <w:rsid w:val="00451375"/>
    <w:rsid w:val="00451C7E"/>
    <w:rsid w:val="00452399"/>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60B6D"/>
    <w:rsid w:val="00460BBD"/>
    <w:rsid w:val="00460CC3"/>
    <w:rsid w:val="00460E86"/>
    <w:rsid w:val="004621CE"/>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B57"/>
    <w:rsid w:val="00467488"/>
    <w:rsid w:val="0047083E"/>
    <w:rsid w:val="00470B8A"/>
    <w:rsid w:val="00470EB5"/>
    <w:rsid w:val="00471030"/>
    <w:rsid w:val="00472419"/>
    <w:rsid w:val="0047286B"/>
    <w:rsid w:val="00472E27"/>
    <w:rsid w:val="00472E55"/>
    <w:rsid w:val="00473356"/>
    <w:rsid w:val="00473DD5"/>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B9"/>
    <w:rsid w:val="004808EF"/>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879"/>
    <w:rsid w:val="00487B59"/>
    <w:rsid w:val="00487C12"/>
    <w:rsid w:val="00490589"/>
    <w:rsid w:val="004909C7"/>
    <w:rsid w:val="0049162F"/>
    <w:rsid w:val="00491DD9"/>
    <w:rsid w:val="004920B8"/>
    <w:rsid w:val="00492554"/>
    <w:rsid w:val="0049257F"/>
    <w:rsid w:val="00492D44"/>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329"/>
    <w:rsid w:val="004A3874"/>
    <w:rsid w:val="004A3BF1"/>
    <w:rsid w:val="004A3E42"/>
    <w:rsid w:val="004A4045"/>
    <w:rsid w:val="004A436E"/>
    <w:rsid w:val="004A448F"/>
    <w:rsid w:val="004A4715"/>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976"/>
    <w:rsid w:val="004B1C92"/>
    <w:rsid w:val="004B257F"/>
    <w:rsid w:val="004B3422"/>
    <w:rsid w:val="004B44D6"/>
    <w:rsid w:val="004B49E6"/>
    <w:rsid w:val="004B4D69"/>
    <w:rsid w:val="004B4DE4"/>
    <w:rsid w:val="004B52FB"/>
    <w:rsid w:val="004B6A5A"/>
    <w:rsid w:val="004B6C16"/>
    <w:rsid w:val="004B6DFA"/>
    <w:rsid w:val="004B7103"/>
    <w:rsid w:val="004B7E99"/>
    <w:rsid w:val="004C01A8"/>
    <w:rsid w:val="004C1840"/>
    <w:rsid w:val="004C24C9"/>
    <w:rsid w:val="004C252E"/>
    <w:rsid w:val="004C2B04"/>
    <w:rsid w:val="004C31B6"/>
    <w:rsid w:val="004C4A34"/>
    <w:rsid w:val="004C4D39"/>
    <w:rsid w:val="004C5319"/>
    <w:rsid w:val="004C5395"/>
    <w:rsid w:val="004C55F2"/>
    <w:rsid w:val="004C5743"/>
    <w:rsid w:val="004C61F0"/>
    <w:rsid w:val="004C621F"/>
    <w:rsid w:val="004C6C17"/>
    <w:rsid w:val="004C71E2"/>
    <w:rsid w:val="004C73E6"/>
    <w:rsid w:val="004C7948"/>
    <w:rsid w:val="004C7BB8"/>
    <w:rsid w:val="004C7C60"/>
    <w:rsid w:val="004D0331"/>
    <w:rsid w:val="004D0C61"/>
    <w:rsid w:val="004D0D1E"/>
    <w:rsid w:val="004D0DFE"/>
    <w:rsid w:val="004D15C9"/>
    <w:rsid w:val="004D1D91"/>
    <w:rsid w:val="004D1D9E"/>
    <w:rsid w:val="004D1EE8"/>
    <w:rsid w:val="004D22C3"/>
    <w:rsid w:val="004D2A26"/>
    <w:rsid w:val="004D2D7B"/>
    <w:rsid w:val="004D2E1A"/>
    <w:rsid w:val="004D40AE"/>
    <w:rsid w:val="004D41C6"/>
    <w:rsid w:val="004D4924"/>
    <w:rsid w:val="004D4D31"/>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4060"/>
    <w:rsid w:val="004E409A"/>
    <w:rsid w:val="004E4456"/>
    <w:rsid w:val="004E5534"/>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1F"/>
    <w:rsid w:val="00502B72"/>
    <w:rsid w:val="00502D50"/>
    <w:rsid w:val="00502FB1"/>
    <w:rsid w:val="005035D7"/>
    <w:rsid w:val="0050376D"/>
    <w:rsid w:val="00504009"/>
    <w:rsid w:val="005047A7"/>
    <w:rsid w:val="00504BC1"/>
    <w:rsid w:val="00505134"/>
    <w:rsid w:val="005056C9"/>
    <w:rsid w:val="00505C04"/>
    <w:rsid w:val="005062B1"/>
    <w:rsid w:val="00506853"/>
    <w:rsid w:val="005076EC"/>
    <w:rsid w:val="005109C3"/>
    <w:rsid w:val="005118E5"/>
    <w:rsid w:val="00511F15"/>
    <w:rsid w:val="0051318C"/>
    <w:rsid w:val="00513CC8"/>
    <w:rsid w:val="005142CD"/>
    <w:rsid w:val="005143C9"/>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D8A"/>
    <w:rsid w:val="00537DAB"/>
    <w:rsid w:val="0054046C"/>
    <w:rsid w:val="00540BBB"/>
    <w:rsid w:val="005411F6"/>
    <w:rsid w:val="00541B25"/>
    <w:rsid w:val="005420A3"/>
    <w:rsid w:val="0054285F"/>
    <w:rsid w:val="00543424"/>
    <w:rsid w:val="0054343A"/>
    <w:rsid w:val="005437F3"/>
    <w:rsid w:val="00543974"/>
    <w:rsid w:val="00543EBF"/>
    <w:rsid w:val="00544939"/>
    <w:rsid w:val="00544ABA"/>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768"/>
    <w:rsid w:val="00552935"/>
    <w:rsid w:val="00552A30"/>
    <w:rsid w:val="00552EF2"/>
    <w:rsid w:val="00553127"/>
    <w:rsid w:val="005537D5"/>
    <w:rsid w:val="00553D25"/>
    <w:rsid w:val="0055407C"/>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5C0"/>
    <w:rsid w:val="00560D23"/>
    <w:rsid w:val="005615D8"/>
    <w:rsid w:val="005618E7"/>
    <w:rsid w:val="00561B5E"/>
    <w:rsid w:val="00561C06"/>
    <w:rsid w:val="00562152"/>
    <w:rsid w:val="005626D6"/>
    <w:rsid w:val="0056279A"/>
    <w:rsid w:val="005638D4"/>
    <w:rsid w:val="005643CA"/>
    <w:rsid w:val="005656ED"/>
    <w:rsid w:val="00565C9E"/>
    <w:rsid w:val="005660DC"/>
    <w:rsid w:val="0056653E"/>
    <w:rsid w:val="00566544"/>
    <w:rsid w:val="00566608"/>
    <w:rsid w:val="00566733"/>
    <w:rsid w:val="00566C83"/>
    <w:rsid w:val="005700FE"/>
    <w:rsid w:val="00570E24"/>
    <w:rsid w:val="00570FF8"/>
    <w:rsid w:val="00571BF7"/>
    <w:rsid w:val="00572760"/>
    <w:rsid w:val="00572B31"/>
    <w:rsid w:val="00572C0B"/>
    <w:rsid w:val="00572C1C"/>
    <w:rsid w:val="0057320B"/>
    <w:rsid w:val="005743DE"/>
    <w:rsid w:val="00574F3F"/>
    <w:rsid w:val="0057562C"/>
    <w:rsid w:val="005759F6"/>
    <w:rsid w:val="00575A18"/>
    <w:rsid w:val="00575E3E"/>
    <w:rsid w:val="00575FE7"/>
    <w:rsid w:val="005763B2"/>
    <w:rsid w:val="005765F5"/>
    <w:rsid w:val="00576D6C"/>
    <w:rsid w:val="0057748A"/>
    <w:rsid w:val="0057790E"/>
    <w:rsid w:val="00577A2E"/>
    <w:rsid w:val="00580A2B"/>
    <w:rsid w:val="00580BFC"/>
    <w:rsid w:val="00580E48"/>
    <w:rsid w:val="00580F0A"/>
    <w:rsid w:val="00581246"/>
    <w:rsid w:val="005812D3"/>
    <w:rsid w:val="00581648"/>
    <w:rsid w:val="00582252"/>
    <w:rsid w:val="00582C3A"/>
    <w:rsid w:val="00582E1A"/>
    <w:rsid w:val="00583147"/>
    <w:rsid w:val="00584384"/>
    <w:rsid w:val="00584416"/>
    <w:rsid w:val="00584642"/>
    <w:rsid w:val="00584874"/>
    <w:rsid w:val="00584B39"/>
    <w:rsid w:val="00585028"/>
    <w:rsid w:val="00585253"/>
    <w:rsid w:val="0058542E"/>
    <w:rsid w:val="005854D1"/>
    <w:rsid w:val="005856A2"/>
    <w:rsid w:val="0058590B"/>
    <w:rsid w:val="00585AAB"/>
    <w:rsid w:val="00585F5B"/>
    <w:rsid w:val="0058620A"/>
    <w:rsid w:val="00586303"/>
    <w:rsid w:val="00586CFE"/>
    <w:rsid w:val="00586F12"/>
    <w:rsid w:val="00587FC0"/>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BF0"/>
    <w:rsid w:val="005A1E6B"/>
    <w:rsid w:val="005A269F"/>
    <w:rsid w:val="005A305E"/>
    <w:rsid w:val="005A30BB"/>
    <w:rsid w:val="005A35B2"/>
    <w:rsid w:val="005A3887"/>
    <w:rsid w:val="005A3E23"/>
    <w:rsid w:val="005A57EA"/>
    <w:rsid w:val="005A5E23"/>
    <w:rsid w:val="005A6410"/>
    <w:rsid w:val="005A73D6"/>
    <w:rsid w:val="005B0542"/>
    <w:rsid w:val="005B124C"/>
    <w:rsid w:val="005B1C65"/>
    <w:rsid w:val="005B1FD1"/>
    <w:rsid w:val="005B2225"/>
    <w:rsid w:val="005B2799"/>
    <w:rsid w:val="005B2B77"/>
    <w:rsid w:val="005B3330"/>
    <w:rsid w:val="005B39F0"/>
    <w:rsid w:val="005B3D4A"/>
    <w:rsid w:val="005B4D87"/>
    <w:rsid w:val="005B519B"/>
    <w:rsid w:val="005B54CD"/>
    <w:rsid w:val="005B5E27"/>
    <w:rsid w:val="005B6111"/>
    <w:rsid w:val="005B741F"/>
    <w:rsid w:val="005B774F"/>
    <w:rsid w:val="005B77D9"/>
    <w:rsid w:val="005B7DD1"/>
    <w:rsid w:val="005C00A0"/>
    <w:rsid w:val="005C086C"/>
    <w:rsid w:val="005C0A1E"/>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CC"/>
    <w:rsid w:val="005E371E"/>
    <w:rsid w:val="005E3848"/>
    <w:rsid w:val="005E4140"/>
    <w:rsid w:val="005E53F9"/>
    <w:rsid w:val="005E5E9E"/>
    <w:rsid w:val="005E7614"/>
    <w:rsid w:val="005E775D"/>
    <w:rsid w:val="005F0551"/>
    <w:rsid w:val="005F0710"/>
    <w:rsid w:val="005F0A43"/>
    <w:rsid w:val="005F0E91"/>
    <w:rsid w:val="005F1498"/>
    <w:rsid w:val="005F25A0"/>
    <w:rsid w:val="005F27BF"/>
    <w:rsid w:val="005F2CBE"/>
    <w:rsid w:val="005F3D1F"/>
    <w:rsid w:val="005F4171"/>
    <w:rsid w:val="005F46D6"/>
    <w:rsid w:val="005F4DD6"/>
    <w:rsid w:val="005F50D8"/>
    <w:rsid w:val="005F53A1"/>
    <w:rsid w:val="005F5879"/>
    <w:rsid w:val="005F5BE4"/>
    <w:rsid w:val="005F62CA"/>
    <w:rsid w:val="005F6B77"/>
    <w:rsid w:val="005F7487"/>
    <w:rsid w:val="005F7625"/>
    <w:rsid w:val="00600256"/>
    <w:rsid w:val="006002C7"/>
    <w:rsid w:val="00600F95"/>
    <w:rsid w:val="00601725"/>
    <w:rsid w:val="00601839"/>
    <w:rsid w:val="0060218E"/>
    <w:rsid w:val="00602759"/>
    <w:rsid w:val="0060277A"/>
    <w:rsid w:val="00602788"/>
    <w:rsid w:val="00602B7C"/>
    <w:rsid w:val="00603312"/>
    <w:rsid w:val="006038C9"/>
    <w:rsid w:val="006046BF"/>
    <w:rsid w:val="00604DC7"/>
    <w:rsid w:val="00604E47"/>
    <w:rsid w:val="00604F22"/>
    <w:rsid w:val="00605441"/>
    <w:rsid w:val="006068A8"/>
    <w:rsid w:val="00606970"/>
    <w:rsid w:val="00606A20"/>
    <w:rsid w:val="006072C6"/>
    <w:rsid w:val="00607A2E"/>
    <w:rsid w:val="00607AA4"/>
    <w:rsid w:val="00607D8D"/>
    <w:rsid w:val="00607F2E"/>
    <w:rsid w:val="00610D72"/>
    <w:rsid w:val="006118DD"/>
    <w:rsid w:val="006130F7"/>
    <w:rsid w:val="00613875"/>
    <w:rsid w:val="00613AF8"/>
    <w:rsid w:val="00613D8E"/>
    <w:rsid w:val="006142E0"/>
    <w:rsid w:val="0061444B"/>
    <w:rsid w:val="00616003"/>
    <w:rsid w:val="00616112"/>
    <w:rsid w:val="00617066"/>
    <w:rsid w:val="00617234"/>
    <w:rsid w:val="00617332"/>
    <w:rsid w:val="006173CF"/>
    <w:rsid w:val="006175A0"/>
    <w:rsid w:val="00617CF5"/>
    <w:rsid w:val="00620035"/>
    <w:rsid w:val="0062053D"/>
    <w:rsid w:val="006205CA"/>
    <w:rsid w:val="00620E71"/>
    <w:rsid w:val="00621455"/>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2303"/>
    <w:rsid w:val="00632A52"/>
    <w:rsid w:val="006330E3"/>
    <w:rsid w:val="00634163"/>
    <w:rsid w:val="00634ACF"/>
    <w:rsid w:val="00634EC5"/>
    <w:rsid w:val="00635035"/>
    <w:rsid w:val="0063580D"/>
    <w:rsid w:val="00635CAE"/>
    <w:rsid w:val="00637240"/>
    <w:rsid w:val="006374AA"/>
    <w:rsid w:val="00641457"/>
    <w:rsid w:val="00642A06"/>
    <w:rsid w:val="00642FD5"/>
    <w:rsid w:val="00643607"/>
    <w:rsid w:val="00643660"/>
    <w:rsid w:val="00644135"/>
    <w:rsid w:val="006447DC"/>
    <w:rsid w:val="00644BC1"/>
    <w:rsid w:val="00644C95"/>
    <w:rsid w:val="006450EE"/>
    <w:rsid w:val="00645361"/>
    <w:rsid w:val="00645817"/>
    <w:rsid w:val="00645E00"/>
    <w:rsid w:val="0064658A"/>
    <w:rsid w:val="00646711"/>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65F"/>
    <w:rsid w:val="0065589D"/>
    <w:rsid w:val="00655B63"/>
    <w:rsid w:val="00656F60"/>
    <w:rsid w:val="006571F6"/>
    <w:rsid w:val="006613F4"/>
    <w:rsid w:val="006618CC"/>
    <w:rsid w:val="00661ACB"/>
    <w:rsid w:val="00661E09"/>
    <w:rsid w:val="00662111"/>
    <w:rsid w:val="00662118"/>
    <w:rsid w:val="00662E2F"/>
    <w:rsid w:val="00663040"/>
    <w:rsid w:val="006638AD"/>
    <w:rsid w:val="00664B27"/>
    <w:rsid w:val="0066535B"/>
    <w:rsid w:val="00666340"/>
    <w:rsid w:val="00666487"/>
    <w:rsid w:val="00666626"/>
    <w:rsid w:val="00666690"/>
    <w:rsid w:val="00666BC8"/>
    <w:rsid w:val="0066732C"/>
    <w:rsid w:val="006679F5"/>
    <w:rsid w:val="00667B77"/>
    <w:rsid w:val="00667D81"/>
    <w:rsid w:val="00670011"/>
    <w:rsid w:val="0067013A"/>
    <w:rsid w:val="00670666"/>
    <w:rsid w:val="006706F5"/>
    <w:rsid w:val="00670F07"/>
    <w:rsid w:val="006716DA"/>
    <w:rsid w:val="00672893"/>
    <w:rsid w:val="006728ED"/>
    <w:rsid w:val="00672E94"/>
    <w:rsid w:val="006732B1"/>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21A"/>
    <w:rsid w:val="00677443"/>
    <w:rsid w:val="0067769A"/>
    <w:rsid w:val="00677B6A"/>
    <w:rsid w:val="00677BFC"/>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92C"/>
    <w:rsid w:val="00685D50"/>
    <w:rsid w:val="00685FD4"/>
    <w:rsid w:val="006860A2"/>
    <w:rsid w:val="00686612"/>
    <w:rsid w:val="0068661E"/>
    <w:rsid w:val="006874F0"/>
    <w:rsid w:val="00690A49"/>
    <w:rsid w:val="00690B11"/>
    <w:rsid w:val="00690BB6"/>
    <w:rsid w:val="0069135B"/>
    <w:rsid w:val="00691610"/>
    <w:rsid w:val="00691B30"/>
    <w:rsid w:val="00692012"/>
    <w:rsid w:val="00692CA4"/>
    <w:rsid w:val="00693E1F"/>
    <w:rsid w:val="00693ECB"/>
    <w:rsid w:val="00694097"/>
    <w:rsid w:val="0069433B"/>
    <w:rsid w:val="00694482"/>
    <w:rsid w:val="00694797"/>
    <w:rsid w:val="00694F2D"/>
    <w:rsid w:val="00695246"/>
    <w:rsid w:val="00695257"/>
    <w:rsid w:val="0069548C"/>
    <w:rsid w:val="00695887"/>
    <w:rsid w:val="00695C40"/>
    <w:rsid w:val="00695F6D"/>
    <w:rsid w:val="00697733"/>
    <w:rsid w:val="006A02C5"/>
    <w:rsid w:val="006A1535"/>
    <w:rsid w:val="006A254E"/>
    <w:rsid w:val="006A285F"/>
    <w:rsid w:val="006A2C30"/>
    <w:rsid w:val="006A301C"/>
    <w:rsid w:val="006A307F"/>
    <w:rsid w:val="006A3E2B"/>
    <w:rsid w:val="006A3FF2"/>
    <w:rsid w:val="006A6262"/>
    <w:rsid w:val="006A6E17"/>
    <w:rsid w:val="006A6F9A"/>
    <w:rsid w:val="006A775D"/>
    <w:rsid w:val="006A7B1B"/>
    <w:rsid w:val="006A7CB6"/>
    <w:rsid w:val="006B0E78"/>
    <w:rsid w:val="006B11FC"/>
    <w:rsid w:val="006B120D"/>
    <w:rsid w:val="006B172C"/>
    <w:rsid w:val="006B17E7"/>
    <w:rsid w:val="006B19E8"/>
    <w:rsid w:val="006B1A8A"/>
    <w:rsid w:val="006B1FD5"/>
    <w:rsid w:val="006B24D6"/>
    <w:rsid w:val="006B254C"/>
    <w:rsid w:val="006B2CF2"/>
    <w:rsid w:val="006B2F57"/>
    <w:rsid w:val="006B3484"/>
    <w:rsid w:val="006B36D9"/>
    <w:rsid w:val="006B3B9C"/>
    <w:rsid w:val="006B475C"/>
    <w:rsid w:val="006B4EF8"/>
    <w:rsid w:val="006B506C"/>
    <w:rsid w:val="006B555A"/>
    <w:rsid w:val="006B5BD6"/>
    <w:rsid w:val="006B600A"/>
    <w:rsid w:val="006B62DC"/>
    <w:rsid w:val="006B6635"/>
    <w:rsid w:val="006B6D3E"/>
    <w:rsid w:val="006B7466"/>
    <w:rsid w:val="006B7A69"/>
    <w:rsid w:val="006B7D22"/>
    <w:rsid w:val="006B7D2C"/>
    <w:rsid w:val="006C0957"/>
    <w:rsid w:val="006C0FB9"/>
    <w:rsid w:val="006C1019"/>
    <w:rsid w:val="006C2006"/>
    <w:rsid w:val="006C2BB5"/>
    <w:rsid w:val="006C2BEE"/>
    <w:rsid w:val="006C2C71"/>
    <w:rsid w:val="006C3338"/>
    <w:rsid w:val="006C38A3"/>
    <w:rsid w:val="006C3AD8"/>
    <w:rsid w:val="006C4516"/>
    <w:rsid w:val="006C455E"/>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75E3"/>
    <w:rsid w:val="006E799D"/>
    <w:rsid w:val="006E7CCE"/>
    <w:rsid w:val="006F0593"/>
    <w:rsid w:val="006F1064"/>
    <w:rsid w:val="006F1B76"/>
    <w:rsid w:val="006F1DBB"/>
    <w:rsid w:val="006F1EB7"/>
    <w:rsid w:val="006F1FFC"/>
    <w:rsid w:val="006F21CC"/>
    <w:rsid w:val="006F41CA"/>
    <w:rsid w:val="006F45DF"/>
    <w:rsid w:val="006F49EF"/>
    <w:rsid w:val="006F4BE0"/>
    <w:rsid w:val="006F525F"/>
    <w:rsid w:val="006F52E5"/>
    <w:rsid w:val="006F52FF"/>
    <w:rsid w:val="006F54E1"/>
    <w:rsid w:val="006F56B5"/>
    <w:rsid w:val="006F58C9"/>
    <w:rsid w:val="006F6066"/>
    <w:rsid w:val="006F615E"/>
    <w:rsid w:val="006F6850"/>
    <w:rsid w:val="006F6930"/>
    <w:rsid w:val="006F6CAF"/>
    <w:rsid w:val="006F6E37"/>
    <w:rsid w:val="006F707E"/>
    <w:rsid w:val="006F765B"/>
    <w:rsid w:val="007001DC"/>
    <w:rsid w:val="00700380"/>
    <w:rsid w:val="007003AF"/>
    <w:rsid w:val="007003D1"/>
    <w:rsid w:val="007015D6"/>
    <w:rsid w:val="007025CB"/>
    <w:rsid w:val="007034AA"/>
    <w:rsid w:val="007038CC"/>
    <w:rsid w:val="00703C5D"/>
    <w:rsid w:val="00703C9D"/>
    <w:rsid w:val="00704436"/>
    <w:rsid w:val="0070490C"/>
    <w:rsid w:val="007054F5"/>
    <w:rsid w:val="00705C38"/>
    <w:rsid w:val="00705E56"/>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432E"/>
    <w:rsid w:val="00724388"/>
    <w:rsid w:val="0072530E"/>
    <w:rsid w:val="00725C99"/>
    <w:rsid w:val="00726036"/>
    <w:rsid w:val="00726279"/>
    <w:rsid w:val="00726547"/>
    <w:rsid w:val="007266CE"/>
    <w:rsid w:val="0072692D"/>
    <w:rsid w:val="00726A9B"/>
    <w:rsid w:val="00726D75"/>
    <w:rsid w:val="00727530"/>
    <w:rsid w:val="0072757A"/>
    <w:rsid w:val="007275F1"/>
    <w:rsid w:val="00727EAC"/>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074"/>
    <w:rsid w:val="00740106"/>
    <w:rsid w:val="00740359"/>
    <w:rsid w:val="0074076A"/>
    <w:rsid w:val="0074165B"/>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B1F"/>
    <w:rsid w:val="00747F48"/>
    <w:rsid w:val="00747F4C"/>
    <w:rsid w:val="00750721"/>
    <w:rsid w:val="00751091"/>
    <w:rsid w:val="00751B83"/>
    <w:rsid w:val="00751ED7"/>
    <w:rsid w:val="0075268B"/>
    <w:rsid w:val="00753191"/>
    <w:rsid w:val="00753550"/>
    <w:rsid w:val="007538B2"/>
    <w:rsid w:val="00754359"/>
    <w:rsid w:val="00754411"/>
    <w:rsid w:val="00754BD9"/>
    <w:rsid w:val="00754E7A"/>
    <w:rsid w:val="0075540C"/>
    <w:rsid w:val="00755DB1"/>
    <w:rsid w:val="00756376"/>
    <w:rsid w:val="007574FC"/>
    <w:rsid w:val="007603F1"/>
    <w:rsid w:val="00760780"/>
    <w:rsid w:val="00760975"/>
    <w:rsid w:val="00761A5B"/>
    <w:rsid w:val="00761FDA"/>
    <w:rsid w:val="007621FF"/>
    <w:rsid w:val="007634E3"/>
    <w:rsid w:val="00763513"/>
    <w:rsid w:val="00764194"/>
    <w:rsid w:val="0076443E"/>
    <w:rsid w:val="00765406"/>
    <w:rsid w:val="00765E21"/>
    <w:rsid w:val="00765ED3"/>
    <w:rsid w:val="00766160"/>
    <w:rsid w:val="0076681D"/>
    <w:rsid w:val="00766A65"/>
    <w:rsid w:val="00766B6C"/>
    <w:rsid w:val="00766EB8"/>
    <w:rsid w:val="007670BB"/>
    <w:rsid w:val="007671F5"/>
    <w:rsid w:val="007676B8"/>
    <w:rsid w:val="00770039"/>
    <w:rsid w:val="00771197"/>
    <w:rsid w:val="0077175C"/>
    <w:rsid w:val="00771870"/>
    <w:rsid w:val="00771BF9"/>
    <w:rsid w:val="00771C4F"/>
    <w:rsid w:val="00772F8A"/>
    <w:rsid w:val="0077305E"/>
    <w:rsid w:val="00773641"/>
    <w:rsid w:val="007739C6"/>
    <w:rsid w:val="00773DB7"/>
    <w:rsid w:val="00774889"/>
    <w:rsid w:val="00774FF5"/>
    <w:rsid w:val="007750B3"/>
    <w:rsid w:val="00775F76"/>
    <w:rsid w:val="00776AEA"/>
    <w:rsid w:val="007770BD"/>
    <w:rsid w:val="00777BA0"/>
    <w:rsid w:val="00777E92"/>
    <w:rsid w:val="007803BD"/>
    <w:rsid w:val="00780507"/>
    <w:rsid w:val="007808B9"/>
    <w:rsid w:val="007811DC"/>
    <w:rsid w:val="007814EF"/>
    <w:rsid w:val="00781C62"/>
    <w:rsid w:val="00782064"/>
    <w:rsid w:val="007820A7"/>
    <w:rsid w:val="007820FA"/>
    <w:rsid w:val="00782371"/>
    <w:rsid w:val="0078285F"/>
    <w:rsid w:val="00782972"/>
    <w:rsid w:val="00783207"/>
    <w:rsid w:val="0078346F"/>
    <w:rsid w:val="00783E1D"/>
    <w:rsid w:val="007846A9"/>
    <w:rsid w:val="0078483B"/>
    <w:rsid w:val="00784C52"/>
    <w:rsid w:val="00784EED"/>
    <w:rsid w:val="007851E8"/>
    <w:rsid w:val="00785900"/>
    <w:rsid w:val="00785D3A"/>
    <w:rsid w:val="0078677E"/>
    <w:rsid w:val="00786810"/>
    <w:rsid w:val="00786958"/>
    <w:rsid w:val="00786A97"/>
    <w:rsid w:val="00786DD3"/>
    <w:rsid w:val="00786E71"/>
    <w:rsid w:val="007908F8"/>
    <w:rsid w:val="0079162F"/>
    <w:rsid w:val="00793117"/>
    <w:rsid w:val="00794924"/>
    <w:rsid w:val="0079506E"/>
    <w:rsid w:val="007963FD"/>
    <w:rsid w:val="00797A9F"/>
    <w:rsid w:val="007A0BC2"/>
    <w:rsid w:val="007A1F44"/>
    <w:rsid w:val="007A2115"/>
    <w:rsid w:val="007A23D8"/>
    <w:rsid w:val="007A23FF"/>
    <w:rsid w:val="007A25D6"/>
    <w:rsid w:val="007A295B"/>
    <w:rsid w:val="007A3424"/>
    <w:rsid w:val="007A3534"/>
    <w:rsid w:val="007A35EF"/>
    <w:rsid w:val="007A43A2"/>
    <w:rsid w:val="007A43E9"/>
    <w:rsid w:val="007A4D04"/>
    <w:rsid w:val="007A59F6"/>
    <w:rsid w:val="007A783B"/>
    <w:rsid w:val="007A7A96"/>
    <w:rsid w:val="007B03AF"/>
    <w:rsid w:val="007B0D96"/>
    <w:rsid w:val="007B1543"/>
    <w:rsid w:val="007B185C"/>
    <w:rsid w:val="007B1AC0"/>
    <w:rsid w:val="007B1B9F"/>
    <w:rsid w:val="007B21AC"/>
    <w:rsid w:val="007B25A8"/>
    <w:rsid w:val="007B25AA"/>
    <w:rsid w:val="007B270A"/>
    <w:rsid w:val="007B2D3B"/>
    <w:rsid w:val="007B5018"/>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69D"/>
    <w:rsid w:val="007C68DA"/>
    <w:rsid w:val="007C70BF"/>
    <w:rsid w:val="007C723C"/>
    <w:rsid w:val="007C7275"/>
    <w:rsid w:val="007C749A"/>
    <w:rsid w:val="007C7BB9"/>
    <w:rsid w:val="007D01D9"/>
    <w:rsid w:val="007D0BB4"/>
    <w:rsid w:val="007D1C9B"/>
    <w:rsid w:val="007D229A"/>
    <w:rsid w:val="007D2509"/>
    <w:rsid w:val="007D2F44"/>
    <w:rsid w:val="007D2F4D"/>
    <w:rsid w:val="007D3C97"/>
    <w:rsid w:val="007D4178"/>
    <w:rsid w:val="007D4D33"/>
    <w:rsid w:val="007D5403"/>
    <w:rsid w:val="007D5C21"/>
    <w:rsid w:val="007D694F"/>
    <w:rsid w:val="007D6B47"/>
    <w:rsid w:val="007D7175"/>
    <w:rsid w:val="007D7ADE"/>
    <w:rsid w:val="007E02A5"/>
    <w:rsid w:val="007E1369"/>
    <w:rsid w:val="007E1A1B"/>
    <w:rsid w:val="007E1A88"/>
    <w:rsid w:val="007E27EB"/>
    <w:rsid w:val="007E2F3D"/>
    <w:rsid w:val="007E3B71"/>
    <w:rsid w:val="007E4450"/>
    <w:rsid w:val="007E4782"/>
    <w:rsid w:val="007E4C88"/>
    <w:rsid w:val="007E4D00"/>
    <w:rsid w:val="007E52BF"/>
    <w:rsid w:val="007E585E"/>
    <w:rsid w:val="007E5FD9"/>
    <w:rsid w:val="007E635F"/>
    <w:rsid w:val="007E67B0"/>
    <w:rsid w:val="007E6E00"/>
    <w:rsid w:val="007E79B4"/>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41EE"/>
    <w:rsid w:val="0080439D"/>
    <w:rsid w:val="00804541"/>
    <w:rsid w:val="00804B92"/>
    <w:rsid w:val="00804DA1"/>
    <w:rsid w:val="00804E21"/>
    <w:rsid w:val="00804E7A"/>
    <w:rsid w:val="00805092"/>
    <w:rsid w:val="00805561"/>
    <w:rsid w:val="00805F15"/>
    <w:rsid w:val="00806AAF"/>
    <w:rsid w:val="008070AC"/>
    <w:rsid w:val="008074A5"/>
    <w:rsid w:val="008074C6"/>
    <w:rsid w:val="0080777F"/>
    <w:rsid w:val="00807D99"/>
    <w:rsid w:val="008101FD"/>
    <w:rsid w:val="00810D8D"/>
    <w:rsid w:val="00810F95"/>
    <w:rsid w:val="00811835"/>
    <w:rsid w:val="00811EE5"/>
    <w:rsid w:val="0081278C"/>
    <w:rsid w:val="008128B1"/>
    <w:rsid w:val="00812D47"/>
    <w:rsid w:val="00812FCD"/>
    <w:rsid w:val="00813FD5"/>
    <w:rsid w:val="0081452D"/>
    <w:rsid w:val="00814E3E"/>
    <w:rsid w:val="00814F60"/>
    <w:rsid w:val="00815646"/>
    <w:rsid w:val="008156F8"/>
    <w:rsid w:val="0081581D"/>
    <w:rsid w:val="00816C98"/>
    <w:rsid w:val="00816D57"/>
    <w:rsid w:val="00816E9B"/>
    <w:rsid w:val="00816FCB"/>
    <w:rsid w:val="0081726C"/>
    <w:rsid w:val="008172BE"/>
    <w:rsid w:val="0081734F"/>
    <w:rsid w:val="0081773A"/>
    <w:rsid w:val="00817B71"/>
    <w:rsid w:val="00817FED"/>
    <w:rsid w:val="00820244"/>
    <w:rsid w:val="008205E8"/>
    <w:rsid w:val="00820C37"/>
    <w:rsid w:val="00820DCE"/>
    <w:rsid w:val="0082102D"/>
    <w:rsid w:val="00821099"/>
    <w:rsid w:val="00821FFA"/>
    <w:rsid w:val="008221B3"/>
    <w:rsid w:val="0082232D"/>
    <w:rsid w:val="0082248E"/>
    <w:rsid w:val="008224EA"/>
    <w:rsid w:val="008228D4"/>
    <w:rsid w:val="00822944"/>
    <w:rsid w:val="00822E2E"/>
    <w:rsid w:val="00822EB6"/>
    <w:rsid w:val="00823FB6"/>
    <w:rsid w:val="00824462"/>
    <w:rsid w:val="00824B6F"/>
    <w:rsid w:val="00824E0E"/>
    <w:rsid w:val="00824FDF"/>
    <w:rsid w:val="00825125"/>
    <w:rsid w:val="00825749"/>
    <w:rsid w:val="008257CC"/>
    <w:rsid w:val="00825F5C"/>
    <w:rsid w:val="00826345"/>
    <w:rsid w:val="00826609"/>
    <w:rsid w:val="008274BF"/>
    <w:rsid w:val="00830CE9"/>
    <w:rsid w:val="00830DC3"/>
    <w:rsid w:val="00831555"/>
    <w:rsid w:val="00831F52"/>
    <w:rsid w:val="00832154"/>
    <w:rsid w:val="00832E20"/>
    <w:rsid w:val="00832F5C"/>
    <w:rsid w:val="00834046"/>
    <w:rsid w:val="00834489"/>
    <w:rsid w:val="00834DE6"/>
    <w:rsid w:val="00834ECD"/>
    <w:rsid w:val="008359E0"/>
    <w:rsid w:val="00835C4C"/>
    <w:rsid w:val="0083689A"/>
    <w:rsid w:val="008376F6"/>
    <w:rsid w:val="00837B2C"/>
    <w:rsid w:val="00837D5B"/>
    <w:rsid w:val="00840607"/>
    <w:rsid w:val="00840A16"/>
    <w:rsid w:val="00841CD2"/>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74A7"/>
    <w:rsid w:val="008506B6"/>
    <w:rsid w:val="00850AE0"/>
    <w:rsid w:val="00850EB2"/>
    <w:rsid w:val="0085154B"/>
    <w:rsid w:val="008524D2"/>
    <w:rsid w:val="00852E19"/>
    <w:rsid w:val="00853BE4"/>
    <w:rsid w:val="008551A3"/>
    <w:rsid w:val="00855B38"/>
    <w:rsid w:val="008560CC"/>
    <w:rsid w:val="00856441"/>
    <w:rsid w:val="00856833"/>
    <w:rsid w:val="00856840"/>
    <w:rsid w:val="00857D89"/>
    <w:rsid w:val="0086087C"/>
    <w:rsid w:val="0086099F"/>
    <w:rsid w:val="00860D8E"/>
    <w:rsid w:val="008610F2"/>
    <w:rsid w:val="00861562"/>
    <w:rsid w:val="00861D51"/>
    <w:rsid w:val="00862485"/>
    <w:rsid w:val="0086275E"/>
    <w:rsid w:val="00864384"/>
    <w:rsid w:val="00864440"/>
    <w:rsid w:val="00864D76"/>
    <w:rsid w:val="008650FC"/>
    <w:rsid w:val="00865BAD"/>
    <w:rsid w:val="00866E61"/>
    <w:rsid w:val="00866EB3"/>
    <w:rsid w:val="0086701A"/>
    <w:rsid w:val="00867BD2"/>
    <w:rsid w:val="00867DDF"/>
    <w:rsid w:val="008707F7"/>
    <w:rsid w:val="008712FD"/>
    <w:rsid w:val="008716A1"/>
    <w:rsid w:val="00872AA7"/>
    <w:rsid w:val="00872D3F"/>
    <w:rsid w:val="00872FC7"/>
    <w:rsid w:val="008733AA"/>
    <w:rsid w:val="008733E4"/>
    <w:rsid w:val="00873E92"/>
    <w:rsid w:val="00873F15"/>
    <w:rsid w:val="00874096"/>
    <w:rsid w:val="008756A4"/>
    <w:rsid w:val="00875793"/>
    <w:rsid w:val="00875F73"/>
    <w:rsid w:val="008766AC"/>
    <w:rsid w:val="00876FDA"/>
    <w:rsid w:val="00877049"/>
    <w:rsid w:val="00877423"/>
    <w:rsid w:val="00877F56"/>
    <w:rsid w:val="00880389"/>
    <w:rsid w:val="00880933"/>
    <w:rsid w:val="00880D53"/>
    <w:rsid w:val="00880F30"/>
    <w:rsid w:val="0088179B"/>
    <w:rsid w:val="00882238"/>
    <w:rsid w:val="008833E8"/>
    <w:rsid w:val="008853C7"/>
    <w:rsid w:val="00885457"/>
    <w:rsid w:val="00886333"/>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B6"/>
    <w:rsid w:val="008A2BB1"/>
    <w:rsid w:val="008A2D1A"/>
    <w:rsid w:val="008A3466"/>
    <w:rsid w:val="008A389F"/>
    <w:rsid w:val="008A38A0"/>
    <w:rsid w:val="008A3A9E"/>
    <w:rsid w:val="008A3D02"/>
    <w:rsid w:val="008A3F1E"/>
    <w:rsid w:val="008A4B7C"/>
    <w:rsid w:val="008A4FEB"/>
    <w:rsid w:val="008A583D"/>
    <w:rsid w:val="008A5940"/>
    <w:rsid w:val="008A5A44"/>
    <w:rsid w:val="008A732B"/>
    <w:rsid w:val="008A73B2"/>
    <w:rsid w:val="008A7425"/>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7E"/>
    <w:rsid w:val="008C44D1"/>
    <w:rsid w:val="008C47A0"/>
    <w:rsid w:val="008C4C7E"/>
    <w:rsid w:val="008C5C46"/>
    <w:rsid w:val="008C5DE6"/>
    <w:rsid w:val="008C6184"/>
    <w:rsid w:val="008C6630"/>
    <w:rsid w:val="008C6865"/>
    <w:rsid w:val="008C7008"/>
    <w:rsid w:val="008C785E"/>
    <w:rsid w:val="008C7DD4"/>
    <w:rsid w:val="008C7EAC"/>
    <w:rsid w:val="008D0863"/>
    <w:rsid w:val="008D0AFB"/>
    <w:rsid w:val="008D1511"/>
    <w:rsid w:val="008D17D9"/>
    <w:rsid w:val="008D183A"/>
    <w:rsid w:val="008D1D56"/>
    <w:rsid w:val="008D27E2"/>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5757"/>
    <w:rsid w:val="009159B3"/>
    <w:rsid w:val="00915BC2"/>
    <w:rsid w:val="00915E44"/>
    <w:rsid w:val="00915FC5"/>
    <w:rsid w:val="0091607D"/>
    <w:rsid w:val="00916181"/>
    <w:rsid w:val="00916367"/>
    <w:rsid w:val="00916BEF"/>
    <w:rsid w:val="009204C5"/>
    <w:rsid w:val="009209EA"/>
    <w:rsid w:val="0092180D"/>
    <w:rsid w:val="009218BD"/>
    <w:rsid w:val="00922E6F"/>
    <w:rsid w:val="00922F17"/>
    <w:rsid w:val="009232C9"/>
    <w:rsid w:val="00923608"/>
    <w:rsid w:val="009238E5"/>
    <w:rsid w:val="00923F12"/>
    <w:rsid w:val="00924FF8"/>
    <w:rsid w:val="009258AE"/>
    <w:rsid w:val="00925BA8"/>
    <w:rsid w:val="009265F7"/>
    <w:rsid w:val="00926BD4"/>
    <w:rsid w:val="00926DA7"/>
    <w:rsid w:val="009277E1"/>
    <w:rsid w:val="00927F41"/>
    <w:rsid w:val="00927F8B"/>
    <w:rsid w:val="009303AF"/>
    <w:rsid w:val="009305D2"/>
    <w:rsid w:val="0093094D"/>
    <w:rsid w:val="009309B0"/>
    <w:rsid w:val="009312BE"/>
    <w:rsid w:val="009328C7"/>
    <w:rsid w:val="00932E11"/>
    <w:rsid w:val="009336E1"/>
    <w:rsid w:val="009336EC"/>
    <w:rsid w:val="0093387F"/>
    <w:rsid w:val="00933F56"/>
    <w:rsid w:val="009346EE"/>
    <w:rsid w:val="00934C13"/>
    <w:rsid w:val="0093515C"/>
    <w:rsid w:val="00935228"/>
    <w:rsid w:val="009355A2"/>
    <w:rsid w:val="009359CE"/>
    <w:rsid w:val="00935F9E"/>
    <w:rsid w:val="00935FDD"/>
    <w:rsid w:val="00936D98"/>
    <w:rsid w:val="0093765A"/>
    <w:rsid w:val="00940324"/>
    <w:rsid w:val="00941523"/>
    <w:rsid w:val="009417E4"/>
    <w:rsid w:val="00941CA4"/>
    <w:rsid w:val="00941E1C"/>
    <w:rsid w:val="00942C80"/>
    <w:rsid w:val="00943029"/>
    <w:rsid w:val="00943197"/>
    <w:rsid w:val="00943460"/>
    <w:rsid w:val="00943577"/>
    <w:rsid w:val="009435F2"/>
    <w:rsid w:val="00943AFB"/>
    <w:rsid w:val="009446D2"/>
    <w:rsid w:val="00944856"/>
    <w:rsid w:val="00945180"/>
    <w:rsid w:val="0094570B"/>
    <w:rsid w:val="0094590C"/>
    <w:rsid w:val="00946355"/>
    <w:rsid w:val="009468B7"/>
    <w:rsid w:val="00946918"/>
    <w:rsid w:val="00946ACC"/>
    <w:rsid w:val="00946FA5"/>
    <w:rsid w:val="0094724E"/>
    <w:rsid w:val="00947973"/>
    <w:rsid w:val="00947BE6"/>
    <w:rsid w:val="0095048D"/>
    <w:rsid w:val="00950669"/>
    <w:rsid w:val="00950729"/>
    <w:rsid w:val="00951300"/>
    <w:rsid w:val="00951ADB"/>
    <w:rsid w:val="00952253"/>
    <w:rsid w:val="0095380C"/>
    <w:rsid w:val="009540C0"/>
    <w:rsid w:val="00954353"/>
    <w:rsid w:val="00954B34"/>
    <w:rsid w:val="00955C0A"/>
    <w:rsid w:val="00955C4F"/>
    <w:rsid w:val="00956109"/>
    <w:rsid w:val="009575AA"/>
    <w:rsid w:val="00957945"/>
    <w:rsid w:val="0095798C"/>
    <w:rsid w:val="00960980"/>
    <w:rsid w:val="00960CE7"/>
    <w:rsid w:val="009615DF"/>
    <w:rsid w:val="00961A13"/>
    <w:rsid w:val="00962EB2"/>
    <w:rsid w:val="009633BF"/>
    <w:rsid w:val="00963B86"/>
    <w:rsid w:val="00964777"/>
    <w:rsid w:val="009657F1"/>
    <w:rsid w:val="00965C8A"/>
    <w:rsid w:val="00965FCE"/>
    <w:rsid w:val="0096625D"/>
    <w:rsid w:val="0096648B"/>
    <w:rsid w:val="009664F5"/>
    <w:rsid w:val="00967C4E"/>
    <w:rsid w:val="009705D8"/>
    <w:rsid w:val="009709F8"/>
    <w:rsid w:val="00970BD4"/>
    <w:rsid w:val="0097271B"/>
    <w:rsid w:val="009728F6"/>
    <w:rsid w:val="00972929"/>
    <w:rsid w:val="00972F91"/>
    <w:rsid w:val="0097317C"/>
    <w:rsid w:val="00973827"/>
    <w:rsid w:val="009738B6"/>
    <w:rsid w:val="009739F2"/>
    <w:rsid w:val="00973D63"/>
    <w:rsid w:val="009742D3"/>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1E4"/>
    <w:rsid w:val="0098686E"/>
    <w:rsid w:val="00986E7F"/>
    <w:rsid w:val="00987202"/>
    <w:rsid w:val="00987536"/>
    <w:rsid w:val="00990AD7"/>
    <w:rsid w:val="00990BD5"/>
    <w:rsid w:val="00991341"/>
    <w:rsid w:val="0099196F"/>
    <w:rsid w:val="00991B90"/>
    <w:rsid w:val="00991CD6"/>
    <w:rsid w:val="00992B98"/>
    <w:rsid w:val="0099359F"/>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CCF"/>
    <w:rsid w:val="009A3DB8"/>
    <w:rsid w:val="009A4282"/>
    <w:rsid w:val="009A4869"/>
    <w:rsid w:val="009A5091"/>
    <w:rsid w:val="009A6A6B"/>
    <w:rsid w:val="009A7929"/>
    <w:rsid w:val="009A7DAA"/>
    <w:rsid w:val="009B0270"/>
    <w:rsid w:val="009B03F6"/>
    <w:rsid w:val="009B1EF9"/>
    <w:rsid w:val="009B24E0"/>
    <w:rsid w:val="009B26AC"/>
    <w:rsid w:val="009B2A02"/>
    <w:rsid w:val="009B2CD4"/>
    <w:rsid w:val="009B2D1A"/>
    <w:rsid w:val="009B37E2"/>
    <w:rsid w:val="009B4519"/>
    <w:rsid w:val="009B46F7"/>
    <w:rsid w:val="009B506B"/>
    <w:rsid w:val="009B56EA"/>
    <w:rsid w:val="009B57EF"/>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A06"/>
    <w:rsid w:val="009D1BA4"/>
    <w:rsid w:val="009D20A9"/>
    <w:rsid w:val="009D20C9"/>
    <w:rsid w:val="009D20D1"/>
    <w:rsid w:val="009D22E4"/>
    <w:rsid w:val="009D22F7"/>
    <w:rsid w:val="009D261D"/>
    <w:rsid w:val="009D319C"/>
    <w:rsid w:val="009D4C59"/>
    <w:rsid w:val="009D4CBF"/>
    <w:rsid w:val="009D590D"/>
    <w:rsid w:val="009D5BAB"/>
    <w:rsid w:val="009D5FF6"/>
    <w:rsid w:val="009D6051"/>
    <w:rsid w:val="009D6A0A"/>
    <w:rsid w:val="009D7580"/>
    <w:rsid w:val="009E058F"/>
    <w:rsid w:val="009E0A3B"/>
    <w:rsid w:val="009E0A9E"/>
    <w:rsid w:val="009E0C21"/>
    <w:rsid w:val="009E17D4"/>
    <w:rsid w:val="009E19A2"/>
    <w:rsid w:val="009E23E9"/>
    <w:rsid w:val="009E2B71"/>
    <w:rsid w:val="009E34DE"/>
    <w:rsid w:val="009E3A88"/>
    <w:rsid w:val="009E3AFD"/>
    <w:rsid w:val="009E3CDD"/>
    <w:rsid w:val="009E4A12"/>
    <w:rsid w:val="009E4B16"/>
    <w:rsid w:val="009E4F07"/>
    <w:rsid w:val="009E53EB"/>
    <w:rsid w:val="009E5638"/>
    <w:rsid w:val="009E5C60"/>
    <w:rsid w:val="009E64DB"/>
    <w:rsid w:val="009E6794"/>
    <w:rsid w:val="009E690F"/>
    <w:rsid w:val="009E7189"/>
    <w:rsid w:val="009E71C8"/>
    <w:rsid w:val="009E7620"/>
    <w:rsid w:val="009E79CB"/>
    <w:rsid w:val="009E7C89"/>
    <w:rsid w:val="009E7E46"/>
    <w:rsid w:val="009E7FC1"/>
    <w:rsid w:val="009F01E1"/>
    <w:rsid w:val="009F03C1"/>
    <w:rsid w:val="009F0B4D"/>
    <w:rsid w:val="009F1096"/>
    <w:rsid w:val="009F150E"/>
    <w:rsid w:val="009F185F"/>
    <w:rsid w:val="009F209A"/>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1370"/>
    <w:rsid w:val="00A01373"/>
    <w:rsid w:val="00A01514"/>
    <w:rsid w:val="00A016E5"/>
    <w:rsid w:val="00A01F17"/>
    <w:rsid w:val="00A022A5"/>
    <w:rsid w:val="00A0329F"/>
    <w:rsid w:val="00A037D6"/>
    <w:rsid w:val="00A03A22"/>
    <w:rsid w:val="00A04294"/>
    <w:rsid w:val="00A04634"/>
    <w:rsid w:val="00A0497B"/>
    <w:rsid w:val="00A04D2D"/>
    <w:rsid w:val="00A04D67"/>
    <w:rsid w:val="00A04F88"/>
    <w:rsid w:val="00A0556E"/>
    <w:rsid w:val="00A05672"/>
    <w:rsid w:val="00A05BF6"/>
    <w:rsid w:val="00A06119"/>
    <w:rsid w:val="00A06410"/>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66A"/>
    <w:rsid w:val="00A15FC8"/>
    <w:rsid w:val="00A164A8"/>
    <w:rsid w:val="00A165BF"/>
    <w:rsid w:val="00A16D53"/>
    <w:rsid w:val="00A16E83"/>
    <w:rsid w:val="00A172E8"/>
    <w:rsid w:val="00A17705"/>
    <w:rsid w:val="00A179FF"/>
    <w:rsid w:val="00A217F2"/>
    <w:rsid w:val="00A21A36"/>
    <w:rsid w:val="00A21DF7"/>
    <w:rsid w:val="00A22401"/>
    <w:rsid w:val="00A2275C"/>
    <w:rsid w:val="00A22A44"/>
    <w:rsid w:val="00A22B8D"/>
    <w:rsid w:val="00A22E60"/>
    <w:rsid w:val="00A23C0B"/>
    <w:rsid w:val="00A241F4"/>
    <w:rsid w:val="00A24839"/>
    <w:rsid w:val="00A24B9F"/>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B1F"/>
    <w:rsid w:val="00A33C39"/>
    <w:rsid w:val="00A3432B"/>
    <w:rsid w:val="00A346BA"/>
    <w:rsid w:val="00A34BC4"/>
    <w:rsid w:val="00A34C59"/>
    <w:rsid w:val="00A34C67"/>
    <w:rsid w:val="00A34D62"/>
    <w:rsid w:val="00A34D90"/>
    <w:rsid w:val="00A34E1B"/>
    <w:rsid w:val="00A34E99"/>
    <w:rsid w:val="00A3575A"/>
    <w:rsid w:val="00A3611D"/>
    <w:rsid w:val="00A36339"/>
    <w:rsid w:val="00A366E4"/>
    <w:rsid w:val="00A40C79"/>
    <w:rsid w:val="00A41278"/>
    <w:rsid w:val="00A428FB"/>
    <w:rsid w:val="00A42ABE"/>
    <w:rsid w:val="00A4376F"/>
    <w:rsid w:val="00A43FD0"/>
    <w:rsid w:val="00A44607"/>
    <w:rsid w:val="00A44919"/>
    <w:rsid w:val="00A44C29"/>
    <w:rsid w:val="00A4549F"/>
    <w:rsid w:val="00A45B9B"/>
    <w:rsid w:val="00A45C93"/>
    <w:rsid w:val="00A460BF"/>
    <w:rsid w:val="00A462FE"/>
    <w:rsid w:val="00A46EFA"/>
    <w:rsid w:val="00A4787E"/>
    <w:rsid w:val="00A501C9"/>
    <w:rsid w:val="00A50506"/>
    <w:rsid w:val="00A50F0F"/>
    <w:rsid w:val="00A510AE"/>
    <w:rsid w:val="00A51ABB"/>
    <w:rsid w:val="00A5254C"/>
    <w:rsid w:val="00A52714"/>
    <w:rsid w:val="00A52A3E"/>
    <w:rsid w:val="00A53C82"/>
    <w:rsid w:val="00A53F55"/>
    <w:rsid w:val="00A5405C"/>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911"/>
    <w:rsid w:val="00A65C0A"/>
    <w:rsid w:val="00A6643C"/>
    <w:rsid w:val="00A664E3"/>
    <w:rsid w:val="00A66F8E"/>
    <w:rsid w:val="00A6713B"/>
    <w:rsid w:val="00A67544"/>
    <w:rsid w:val="00A67678"/>
    <w:rsid w:val="00A67B2A"/>
    <w:rsid w:val="00A7000A"/>
    <w:rsid w:val="00A700BF"/>
    <w:rsid w:val="00A7075B"/>
    <w:rsid w:val="00A709FD"/>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053"/>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5F12"/>
    <w:rsid w:val="00A963C7"/>
    <w:rsid w:val="00A96C23"/>
    <w:rsid w:val="00AA07A5"/>
    <w:rsid w:val="00AA080D"/>
    <w:rsid w:val="00AA0A41"/>
    <w:rsid w:val="00AA0AF1"/>
    <w:rsid w:val="00AA0BF5"/>
    <w:rsid w:val="00AA0CAF"/>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76D0"/>
    <w:rsid w:val="00AA7D6C"/>
    <w:rsid w:val="00AA7DA9"/>
    <w:rsid w:val="00AB0543"/>
    <w:rsid w:val="00AB0AC9"/>
    <w:rsid w:val="00AB185A"/>
    <w:rsid w:val="00AB1BA7"/>
    <w:rsid w:val="00AB1E04"/>
    <w:rsid w:val="00AB29CF"/>
    <w:rsid w:val="00AB2CF2"/>
    <w:rsid w:val="00AB3113"/>
    <w:rsid w:val="00AB32D8"/>
    <w:rsid w:val="00AB348A"/>
    <w:rsid w:val="00AB39F4"/>
    <w:rsid w:val="00AB3F38"/>
    <w:rsid w:val="00AB43EC"/>
    <w:rsid w:val="00AB4BF4"/>
    <w:rsid w:val="00AB50FC"/>
    <w:rsid w:val="00AB577C"/>
    <w:rsid w:val="00AB5ADF"/>
    <w:rsid w:val="00AB5E57"/>
    <w:rsid w:val="00AB5FB8"/>
    <w:rsid w:val="00AB725F"/>
    <w:rsid w:val="00AB7E52"/>
    <w:rsid w:val="00AC00EF"/>
    <w:rsid w:val="00AC0705"/>
    <w:rsid w:val="00AC109B"/>
    <w:rsid w:val="00AC1FB0"/>
    <w:rsid w:val="00AC209E"/>
    <w:rsid w:val="00AC2107"/>
    <w:rsid w:val="00AC36A6"/>
    <w:rsid w:val="00AC3B2E"/>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7AB"/>
    <w:rsid w:val="00AD4860"/>
    <w:rsid w:val="00AD4D2A"/>
    <w:rsid w:val="00AD542F"/>
    <w:rsid w:val="00AD5FBE"/>
    <w:rsid w:val="00AD6598"/>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7B3"/>
    <w:rsid w:val="00AE704D"/>
    <w:rsid w:val="00AE7864"/>
    <w:rsid w:val="00AE7933"/>
    <w:rsid w:val="00AE7949"/>
    <w:rsid w:val="00AF0B68"/>
    <w:rsid w:val="00AF1C6C"/>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73C3"/>
    <w:rsid w:val="00AF795C"/>
    <w:rsid w:val="00AF7ADA"/>
    <w:rsid w:val="00B00752"/>
    <w:rsid w:val="00B0193D"/>
    <w:rsid w:val="00B026C1"/>
    <w:rsid w:val="00B02B9C"/>
    <w:rsid w:val="00B02C89"/>
    <w:rsid w:val="00B02D41"/>
    <w:rsid w:val="00B0353B"/>
    <w:rsid w:val="00B040B2"/>
    <w:rsid w:val="00B04184"/>
    <w:rsid w:val="00B04422"/>
    <w:rsid w:val="00B04750"/>
    <w:rsid w:val="00B04D88"/>
    <w:rsid w:val="00B057F2"/>
    <w:rsid w:val="00B06010"/>
    <w:rsid w:val="00B069D8"/>
    <w:rsid w:val="00B07150"/>
    <w:rsid w:val="00B10558"/>
    <w:rsid w:val="00B1087B"/>
    <w:rsid w:val="00B11EEA"/>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231"/>
    <w:rsid w:val="00B2334E"/>
    <w:rsid w:val="00B23AF4"/>
    <w:rsid w:val="00B23C15"/>
    <w:rsid w:val="00B243F2"/>
    <w:rsid w:val="00B25762"/>
    <w:rsid w:val="00B25981"/>
    <w:rsid w:val="00B25B40"/>
    <w:rsid w:val="00B25FDE"/>
    <w:rsid w:val="00B26AB0"/>
    <w:rsid w:val="00B26AD2"/>
    <w:rsid w:val="00B26CA2"/>
    <w:rsid w:val="00B27947"/>
    <w:rsid w:val="00B30920"/>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4264"/>
    <w:rsid w:val="00B44493"/>
    <w:rsid w:val="00B4469B"/>
    <w:rsid w:val="00B44F99"/>
    <w:rsid w:val="00B45679"/>
    <w:rsid w:val="00B45876"/>
    <w:rsid w:val="00B45E08"/>
    <w:rsid w:val="00B46082"/>
    <w:rsid w:val="00B462C6"/>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0006"/>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CA8"/>
    <w:rsid w:val="00B71DC8"/>
    <w:rsid w:val="00B722A4"/>
    <w:rsid w:val="00B7324C"/>
    <w:rsid w:val="00B73600"/>
    <w:rsid w:val="00B736D1"/>
    <w:rsid w:val="00B73A6A"/>
    <w:rsid w:val="00B745C9"/>
    <w:rsid w:val="00B746C6"/>
    <w:rsid w:val="00B74B5B"/>
    <w:rsid w:val="00B7604C"/>
    <w:rsid w:val="00B7652C"/>
    <w:rsid w:val="00B76639"/>
    <w:rsid w:val="00B766BF"/>
    <w:rsid w:val="00B76FA6"/>
    <w:rsid w:val="00B774B7"/>
    <w:rsid w:val="00B8037A"/>
    <w:rsid w:val="00B806B8"/>
    <w:rsid w:val="00B80910"/>
    <w:rsid w:val="00B80B71"/>
    <w:rsid w:val="00B81386"/>
    <w:rsid w:val="00B818F4"/>
    <w:rsid w:val="00B81BC9"/>
    <w:rsid w:val="00B8220F"/>
    <w:rsid w:val="00B8222F"/>
    <w:rsid w:val="00B82615"/>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1A78"/>
    <w:rsid w:val="00B925E3"/>
    <w:rsid w:val="00B92C4A"/>
    <w:rsid w:val="00B92E70"/>
    <w:rsid w:val="00B93204"/>
    <w:rsid w:val="00B94193"/>
    <w:rsid w:val="00B9455D"/>
    <w:rsid w:val="00B94E17"/>
    <w:rsid w:val="00B957FE"/>
    <w:rsid w:val="00B958CD"/>
    <w:rsid w:val="00B95F02"/>
    <w:rsid w:val="00B963AE"/>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5FCB"/>
    <w:rsid w:val="00BB604B"/>
    <w:rsid w:val="00BB6681"/>
    <w:rsid w:val="00BB7C98"/>
    <w:rsid w:val="00BC00EC"/>
    <w:rsid w:val="00BC01DD"/>
    <w:rsid w:val="00BC04E1"/>
    <w:rsid w:val="00BC08C5"/>
    <w:rsid w:val="00BC1149"/>
    <w:rsid w:val="00BC1206"/>
    <w:rsid w:val="00BC12FB"/>
    <w:rsid w:val="00BC13BA"/>
    <w:rsid w:val="00BC160A"/>
    <w:rsid w:val="00BC17FF"/>
    <w:rsid w:val="00BC1C3C"/>
    <w:rsid w:val="00BC2324"/>
    <w:rsid w:val="00BC28A5"/>
    <w:rsid w:val="00BC2D8A"/>
    <w:rsid w:val="00BC307F"/>
    <w:rsid w:val="00BC3159"/>
    <w:rsid w:val="00BC31A1"/>
    <w:rsid w:val="00BC3257"/>
    <w:rsid w:val="00BC39DB"/>
    <w:rsid w:val="00BC3A32"/>
    <w:rsid w:val="00BC3B07"/>
    <w:rsid w:val="00BC3C82"/>
    <w:rsid w:val="00BC4343"/>
    <w:rsid w:val="00BC442C"/>
    <w:rsid w:val="00BC46EF"/>
    <w:rsid w:val="00BC4A0D"/>
    <w:rsid w:val="00BC6BC1"/>
    <w:rsid w:val="00BC6FD6"/>
    <w:rsid w:val="00BC793D"/>
    <w:rsid w:val="00BD008E"/>
    <w:rsid w:val="00BD0444"/>
    <w:rsid w:val="00BD051B"/>
    <w:rsid w:val="00BD055B"/>
    <w:rsid w:val="00BD0F02"/>
    <w:rsid w:val="00BD2F3B"/>
    <w:rsid w:val="00BD3038"/>
    <w:rsid w:val="00BD3372"/>
    <w:rsid w:val="00BD3397"/>
    <w:rsid w:val="00BD4708"/>
    <w:rsid w:val="00BD50AA"/>
    <w:rsid w:val="00BD5135"/>
    <w:rsid w:val="00BD596B"/>
    <w:rsid w:val="00BD5A7A"/>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0B7"/>
    <w:rsid w:val="00BF720C"/>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561"/>
    <w:rsid w:val="00C10594"/>
    <w:rsid w:val="00C106DD"/>
    <w:rsid w:val="00C10C62"/>
    <w:rsid w:val="00C1112B"/>
    <w:rsid w:val="00C11835"/>
    <w:rsid w:val="00C11933"/>
    <w:rsid w:val="00C11A88"/>
    <w:rsid w:val="00C11BED"/>
    <w:rsid w:val="00C11F75"/>
    <w:rsid w:val="00C12012"/>
    <w:rsid w:val="00C12874"/>
    <w:rsid w:val="00C12990"/>
    <w:rsid w:val="00C12BC1"/>
    <w:rsid w:val="00C13BDA"/>
    <w:rsid w:val="00C13D9A"/>
    <w:rsid w:val="00C13FFD"/>
    <w:rsid w:val="00C14632"/>
    <w:rsid w:val="00C147BE"/>
    <w:rsid w:val="00C167DB"/>
    <w:rsid w:val="00C16C30"/>
    <w:rsid w:val="00C17952"/>
    <w:rsid w:val="00C20A00"/>
    <w:rsid w:val="00C20BA6"/>
    <w:rsid w:val="00C21673"/>
    <w:rsid w:val="00C21C7A"/>
    <w:rsid w:val="00C23130"/>
    <w:rsid w:val="00C232CA"/>
    <w:rsid w:val="00C24631"/>
    <w:rsid w:val="00C255A5"/>
    <w:rsid w:val="00C25758"/>
    <w:rsid w:val="00C2584B"/>
    <w:rsid w:val="00C25942"/>
    <w:rsid w:val="00C25D34"/>
    <w:rsid w:val="00C25DD9"/>
    <w:rsid w:val="00C25F3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CCE"/>
    <w:rsid w:val="00C46F7D"/>
    <w:rsid w:val="00C477C0"/>
    <w:rsid w:val="00C479B5"/>
    <w:rsid w:val="00C50242"/>
    <w:rsid w:val="00C5034D"/>
    <w:rsid w:val="00C5050E"/>
    <w:rsid w:val="00C50A27"/>
    <w:rsid w:val="00C50E99"/>
    <w:rsid w:val="00C516E0"/>
    <w:rsid w:val="00C51CAB"/>
    <w:rsid w:val="00C51E83"/>
    <w:rsid w:val="00C52468"/>
    <w:rsid w:val="00C52654"/>
    <w:rsid w:val="00C52744"/>
    <w:rsid w:val="00C52C78"/>
    <w:rsid w:val="00C539D2"/>
    <w:rsid w:val="00C53EB3"/>
    <w:rsid w:val="00C542D4"/>
    <w:rsid w:val="00C54D71"/>
    <w:rsid w:val="00C55178"/>
    <w:rsid w:val="00C55357"/>
    <w:rsid w:val="00C55751"/>
    <w:rsid w:val="00C55E7C"/>
    <w:rsid w:val="00C563F5"/>
    <w:rsid w:val="00C570F7"/>
    <w:rsid w:val="00C574BB"/>
    <w:rsid w:val="00C61C91"/>
    <w:rsid w:val="00C61E91"/>
    <w:rsid w:val="00C62254"/>
    <w:rsid w:val="00C62CD5"/>
    <w:rsid w:val="00C636E6"/>
    <w:rsid w:val="00C639D6"/>
    <w:rsid w:val="00C639E9"/>
    <w:rsid w:val="00C63F8E"/>
    <w:rsid w:val="00C647FB"/>
    <w:rsid w:val="00C65084"/>
    <w:rsid w:val="00C653A6"/>
    <w:rsid w:val="00C654E0"/>
    <w:rsid w:val="00C67719"/>
    <w:rsid w:val="00C67EAB"/>
    <w:rsid w:val="00C70B31"/>
    <w:rsid w:val="00C70DFF"/>
    <w:rsid w:val="00C71805"/>
    <w:rsid w:val="00C72D64"/>
    <w:rsid w:val="00C745E6"/>
    <w:rsid w:val="00C74FEE"/>
    <w:rsid w:val="00C7542E"/>
    <w:rsid w:val="00C75A6B"/>
    <w:rsid w:val="00C75BF7"/>
    <w:rsid w:val="00C763B6"/>
    <w:rsid w:val="00C7644F"/>
    <w:rsid w:val="00C768F6"/>
    <w:rsid w:val="00C76FF3"/>
    <w:rsid w:val="00C80073"/>
    <w:rsid w:val="00C805E7"/>
    <w:rsid w:val="00C80DEA"/>
    <w:rsid w:val="00C80ED7"/>
    <w:rsid w:val="00C81664"/>
    <w:rsid w:val="00C82EAA"/>
    <w:rsid w:val="00C832DC"/>
    <w:rsid w:val="00C8377F"/>
    <w:rsid w:val="00C83D54"/>
    <w:rsid w:val="00C84744"/>
    <w:rsid w:val="00C84D02"/>
    <w:rsid w:val="00C852A9"/>
    <w:rsid w:val="00C8646D"/>
    <w:rsid w:val="00C864DD"/>
    <w:rsid w:val="00C875D5"/>
    <w:rsid w:val="00C876BC"/>
    <w:rsid w:val="00C8788D"/>
    <w:rsid w:val="00C90A87"/>
    <w:rsid w:val="00C91DE3"/>
    <w:rsid w:val="00C92C7F"/>
    <w:rsid w:val="00C9369D"/>
    <w:rsid w:val="00C9383D"/>
    <w:rsid w:val="00C944FA"/>
    <w:rsid w:val="00C95854"/>
    <w:rsid w:val="00C959FD"/>
    <w:rsid w:val="00C95D24"/>
    <w:rsid w:val="00C95EFF"/>
    <w:rsid w:val="00C96AE7"/>
    <w:rsid w:val="00C96E6F"/>
    <w:rsid w:val="00C97872"/>
    <w:rsid w:val="00CA0532"/>
    <w:rsid w:val="00CA0B4C"/>
    <w:rsid w:val="00CA17DE"/>
    <w:rsid w:val="00CA1AD6"/>
    <w:rsid w:val="00CA221D"/>
    <w:rsid w:val="00CA2241"/>
    <w:rsid w:val="00CA2E22"/>
    <w:rsid w:val="00CA3CDD"/>
    <w:rsid w:val="00CA402A"/>
    <w:rsid w:val="00CA403B"/>
    <w:rsid w:val="00CA46C8"/>
    <w:rsid w:val="00CA4DEA"/>
    <w:rsid w:val="00CA505A"/>
    <w:rsid w:val="00CA572A"/>
    <w:rsid w:val="00CA59DD"/>
    <w:rsid w:val="00CA7B32"/>
    <w:rsid w:val="00CB008E"/>
    <w:rsid w:val="00CB01FA"/>
    <w:rsid w:val="00CB0737"/>
    <w:rsid w:val="00CB097A"/>
    <w:rsid w:val="00CB0A1A"/>
    <w:rsid w:val="00CB0E3E"/>
    <w:rsid w:val="00CB1BF3"/>
    <w:rsid w:val="00CB1F76"/>
    <w:rsid w:val="00CB21ED"/>
    <w:rsid w:val="00CB24A2"/>
    <w:rsid w:val="00CB26EC"/>
    <w:rsid w:val="00CB2881"/>
    <w:rsid w:val="00CB2D2A"/>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3A23"/>
    <w:rsid w:val="00CC3BD5"/>
    <w:rsid w:val="00CC3CD6"/>
    <w:rsid w:val="00CC41DC"/>
    <w:rsid w:val="00CC426A"/>
    <w:rsid w:val="00CC4B6E"/>
    <w:rsid w:val="00CC5080"/>
    <w:rsid w:val="00CC50D9"/>
    <w:rsid w:val="00CC59B4"/>
    <w:rsid w:val="00CC5A84"/>
    <w:rsid w:val="00CC67DB"/>
    <w:rsid w:val="00CC70D9"/>
    <w:rsid w:val="00CC737C"/>
    <w:rsid w:val="00CC737E"/>
    <w:rsid w:val="00CD0643"/>
    <w:rsid w:val="00CD087D"/>
    <w:rsid w:val="00CD0F5D"/>
    <w:rsid w:val="00CD1C0B"/>
    <w:rsid w:val="00CD239A"/>
    <w:rsid w:val="00CD3EF2"/>
    <w:rsid w:val="00CD469A"/>
    <w:rsid w:val="00CD48BB"/>
    <w:rsid w:val="00CD5098"/>
    <w:rsid w:val="00CD50B1"/>
    <w:rsid w:val="00CD5512"/>
    <w:rsid w:val="00CD5BCB"/>
    <w:rsid w:val="00CD5D6E"/>
    <w:rsid w:val="00CD69AD"/>
    <w:rsid w:val="00CD6A95"/>
    <w:rsid w:val="00CD6B7C"/>
    <w:rsid w:val="00CD6E3D"/>
    <w:rsid w:val="00CD71AB"/>
    <w:rsid w:val="00CD7766"/>
    <w:rsid w:val="00CD7958"/>
    <w:rsid w:val="00CD7CB1"/>
    <w:rsid w:val="00CE0109"/>
    <w:rsid w:val="00CE1B41"/>
    <w:rsid w:val="00CE1FC5"/>
    <w:rsid w:val="00CE3F4F"/>
    <w:rsid w:val="00CE46E5"/>
    <w:rsid w:val="00CE485A"/>
    <w:rsid w:val="00CE4CF1"/>
    <w:rsid w:val="00CE5279"/>
    <w:rsid w:val="00CE5528"/>
    <w:rsid w:val="00CE5A78"/>
    <w:rsid w:val="00CE5F6A"/>
    <w:rsid w:val="00CE6972"/>
    <w:rsid w:val="00CE7199"/>
    <w:rsid w:val="00CE78AE"/>
    <w:rsid w:val="00CE7E62"/>
    <w:rsid w:val="00CF0916"/>
    <w:rsid w:val="00CF195E"/>
    <w:rsid w:val="00CF19DA"/>
    <w:rsid w:val="00CF1C7F"/>
    <w:rsid w:val="00CF1CC0"/>
    <w:rsid w:val="00CF24F8"/>
    <w:rsid w:val="00CF2653"/>
    <w:rsid w:val="00CF2E6A"/>
    <w:rsid w:val="00CF3CD3"/>
    <w:rsid w:val="00CF3D5A"/>
    <w:rsid w:val="00CF4247"/>
    <w:rsid w:val="00CF5239"/>
    <w:rsid w:val="00CF5263"/>
    <w:rsid w:val="00CF5418"/>
    <w:rsid w:val="00CF58A6"/>
    <w:rsid w:val="00CF5A56"/>
    <w:rsid w:val="00CF5E61"/>
    <w:rsid w:val="00CF5EC1"/>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5FE1"/>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62C"/>
    <w:rsid w:val="00D21A3C"/>
    <w:rsid w:val="00D21E01"/>
    <w:rsid w:val="00D233F1"/>
    <w:rsid w:val="00D241D2"/>
    <w:rsid w:val="00D24765"/>
    <w:rsid w:val="00D24944"/>
    <w:rsid w:val="00D256F8"/>
    <w:rsid w:val="00D259EB"/>
    <w:rsid w:val="00D25AA0"/>
    <w:rsid w:val="00D2685C"/>
    <w:rsid w:val="00D26A3B"/>
    <w:rsid w:val="00D26D2A"/>
    <w:rsid w:val="00D302FD"/>
    <w:rsid w:val="00D3038A"/>
    <w:rsid w:val="00D3098D"/>
    <w:rsid w:val="00D31A02"/>
    <w:rsid w:val="00D32786"/>
    <w:rsid w:val="00D32A09"/>
    <w:rsid w:val="00D32BFA"/>
    <w:rsid w:val="00D3323C"/>
    <w:rsid w:val="00D33456"/>
    <w:rsid w:val="00D3396F"/>
    <w:rsid w:val="00D33D4D"/>
    <w:rsid w:val="00D34A0B"/>
    <w:rsid w:val="00D36234"/>
    <w:rsid w:val="00D36371"/>
    <w:rsid w:val="00D364C2"/>
    <w:rsid w:val="00D36F43"/>
    <w:rsid w:val="00D41005"/>
    <w:rsid w:val="00D41BA4"/>
    <w:rsid w:val="00D41C80"/>
    <w:rsid w:val="00D41CC4"/>
    <w:rsid w:val="00D420D3"/>
    <w:rsid w:val="00D4229C"/>
    <w:rsid w:val="00D42B94"/>
    <w:rsid w:val="00D4351B"/>
    <w:rsid w:val="00D437D8"/>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F94"/>
    <w:rsid w:val="00D5362B"/>
    <w:rsid w:val="00D547F8"/>
    <w:rsid w:val="00D547FE"/>
    <w:rsid w:val="00D54BA0"/>
    <w:rsid w:val="00D55072"/>
    <w:rsid w:val="00D551B5"/>
    <w:rsid w:val="00D561DD"/>
    <w:rsid w:val="00D569FB"/>
    <w:rsid w:val="00D56AF5"/>
    <w:rsid w:val="00D56DB2"/>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78B"/>
    <w:rsid w:val="00D659B1"/>
    <w:rsid w:val="00D65DE2"/>
    <w:rsid w:val="00D665B3"/>
    <w:rsid w:val="00D66D92"/>
    <w:rsid w:val="00D66E18"/>
    <w:rsid w:val="00D6734D"/>
    <w:rsid w:val="00D67733"/>
    <w:rsid w:val="00D677A1"/>
    <w:rsid w:val="00D67823"/>
    <w:rsid w:val="00D679CF"/>
    <w:rsid w:val="00D679D3"/>
    <w:rsid w:val="00D70A36"/>
    <w:rsid w:val="00D71188"/>
    <w:rsid w:val="00D72399"/>
    <w:rsid w:val="00D729F9"/>
    <w:rsid w:val="00D72D1B"/>
    <w:rsid w:val="00D72DE1"/>
    <w:rsid w:val="00D7305E"/>
    <w:rsid w:val="00D73469"/>
    <w:rsid w:val="00D7356F"/>
    <w:rsid w:val="00D73587"/>
    <w:rsid w:val="00D73EBB"/>
    <w:rsid w:val="00D73F90"/>
    <w:rsid w:val="00D74B92"/>
    <w:rsid w:val="00D751FB"/>
    <w:rsid w:val="00D754D6"/>
    <w:rsid w:val="00D75B44"/>
    <w:rsid w:val="00D761AA"/>
    <w:rsid w:val="00D76CC6"/>
    <w:rsid w:val="00D76FAE"/>
    <w:rsid w:val="00D77040"/>
    <w:rsid w:val="00D77144"/>
    <w:rsid w:val="00D777D7"/>
    <w:rsid w:val="00D77948"/>
    <w:rsid w:val="00D807ED"/>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57B8"/>
    <w:rsid w:val="00D85D1F"/>
    <w:rsid w:val="00D8641C"/>
    <w:rsid w:val="00D87175"/>
    <w:rsid w:val="00D87ABF"/>
    <w:rsid w:val="00D87C75"/>
    <w:rsid w:val="00D90CD3"/>
    <w:rsid w:val="00D90E2C"/>
    <w:rsid w:val="00D919E6"/>
    <w:rsid w:val="00D919F0"/>
    <w:rsid w:val="00D91BE1"/>
    <w:rsid w:val="00D91F8B"/>
    <w:rsid w:val="00D91FB4"/>
    <w:rsid w:val="00D92B24"/>
    <w:rsid w:val="00D92BD1"/>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2FF9"/>
    <w:rsid w:val="00DA33B7"/>
    <w:rsid w:val="00DA3E7A"/>
    <w:rsid w:val="00DA3EF7"/>
    <w:rsid w:val="00DA3F5B"/>
    <w:rsid w:val="00DA430C"/>
    <w:rsid w:val="00DA4DE3"/>
    <w:rsid w:val="00DA5471"/>
    <w:rsid w:val="00DA5C40"/>
    <w:rsid w:val="00DA5C9B"/>
    <w:rsid w:val="00DA5CCB"/>
    <w:rsid w:val="00DA615D"/>
    <w:rsid w:val="00DA6598"/>
    <w:rsid w:val="00DA65D7"/>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5D3"/>
    <w:rsid w:val="00DB3B82"/>
    <w:rsid w:val="00DB485D"/>
    <w:rsid w:val="00DB4C6E"/>
    <w:rsid w:val="00DB5293"/>
    <w:rsid w:val="00DB6ED8"/>
    <w:rsid w:val="00DC1301"/>
    <w:rsid w:val="00DC1327"/>
    <w:rsid w:val="00DC1350"/>
    <w:rsid w:val="00DC3237"/>
    <w:rsid w:val="00DC367A"/>
    <w:rsid w:val="00DC36F3"/>
    <w:rsid w:val="00DC3B97"/>
    <w:rsid w:val="00DC41A4"/>
    <w:rsid w:val="00DC4C33"/>
    <w:rsid w:val="00DC4C5D"/>
    <w:rsid w:val="00DC5150"/>
    <w:rsid w:val="00DC52CD"/>
    <w:rsid w:val="00DC5672"/>
    <w:rsid w:val="00DC5726"/>
    <w:rsid w:val="00DC5839"/>
    <w:rsid w:val="00DC5B56"/>
    <w:rsid w:val="00DC60A2"/>
    <w:rsid w:val="00DC6147"/>
    <w:rsid w:val="00DC6600"/>
    <w:rsid w:val="00DC67BD"/>
    <w:rsid w:val="00DC6924"/>
    <w:rsid w:val="00DC708B"/>
    <w:rsid w:val="00DC71F2"/>
    <w:rsid w:val="00DC7770"/>
    <w:rsid w:val="00DC7E52"/>
    <w:rsid w:val="00DD0485"/>
    <w:rsid w:val="00DD1100"/>
    <w:rsid w:val="00DD12C5"/>
    <w:rsid w:val="00DD2025"/>
    <w:rsid w:val="00DD219C"/>
    <w:rsid w:val="00DD21A6"/>
    <w:rsid w:val="00DD22EA"/>
    <w:rsid w:val="00DD23A0"/>
    <w:rsid w:val="00DD24CC"/>
    <w:rsid w:val="00DD38EE"/>
    <w:rsid w:val="00DD3CFD"/>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1AAE"/>
    <w:rsid w:val="00DE20FB"/>
    <w:rsid w:val="00DE219B"/>
    <w:rsid w:val="00DE3407"/>
    <w:rsid w:val="00DE3979"/>
    <w:rsid w:val="00DE4C15"/>
    <w:rsid w:val="00DE52E3"/>
    <w:rsid w:val="00DE5FFE"/>
    <w:rsid w:val="00DE628C"/>
    <w:rsid w:val="00DE70CB"/>
    <w:rsid w:val="00DE784E"/>
    <w:rsid w:val="00DE7C00"/>
    <w:rsid w:val="00DF03E9"/>
    <w:rsid w:val="00DF03ED"/>
    <w:rsid w:val="00DF04EE"/>
    <w:rsid w:val="00DF0BF4"/>
    <w:rsid w:val="00DF0E41"/>
    <w:rsid w:val="00DF10B2"/>
    <w:rsid w:val="00DF122F"/>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14DE"/>
    <w:rsid w:val="00E11B1E"/>
    <w:rsid w:val="00E11CE7"/>
    <w:rsid w:val="00E11FF9"/>
    <w:rsid w:val="00E128E9"/>
    <w:rsid w:val="00E142BE"/>
    <w:rsid w:val="00E14A7E"/>
    <w:rsid w:val="00E151E1"/>
    <w:rsid w:val="00E152B5"/>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B5C"/>
    <w:rsid w:val="00E25934"/>
    <w:rsid w:val="00E25F89"/>
    <w:rsid w:val="00E26009"/>
    <w:rsid w:val="00E26083"/>
    <w:rsid w:val="00E26387"/>
    <w:rsid w:val="00E272F7"/>
    <w:rsid w:val="00E274C4"/>
    <w:rsid w:val="00E2753A"/>
    <w:rsid w:val="00E27CC0"/>
    <w:rsid w:val="00E3016C"/>
    <w:rsid w:val="00E30808"/>
    <w:rsid w:val="00E3117A"/>
    <w:rsid w:val="00E311C3"/>
    <w:rsid w:val="00E32D62"/>
    <w:rsid w:val="00E339DC"/>
    <w:rsid w:val="00E33E15"/>
    <w:rsid w:val="00E353A4"/>
    <w:rsid w:val="00E361B8"/>
    <w:rsid w:val="00E36A1B"/>
    <w:rsid w:val="00E36C9D"/>
    <w:rsid w:val="00E37459"/>
    <w:rsid w:val="00E37DDE"/>
    <w:rsid w:val="00E40949"/>
    <w:rsid w:val="00E40C38"/>
    <w:rsid w:val="00E42428"/>
    <w:rsid w:val="00E42801"/>
    <w:rsid w:val="00E429ED"/>
    <w:rsid w:val="00E42F67"/>
    <w:rsid w:val="00E43F37"/>
    <w:rsid w:val="00E441E6"/>
    <w:rsid w:val="00E44575"/>
    <w:rsid w:val="00E44B7D"/>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4BEE"/>
    <w:rsid w:val="00E55307"/>
    <w:rsid w:val="00E5611C"/>
    <w:rsid w:val="00E57050"/>
    <w:rsid w:val="00E5733D"/>
    <w:rsid w:val="00E57613"/>
    <w:rsid w:val="00E57EAC"/>
    <w:rsid w:val="00E604EF"/>
    <w:rsid w:val="00E616BF"/>
    <w:rsid w:val="00E61960"/>
    <w:rsid w:val="00E61CC0"/>
    <w:rsid w:val="00E6277B"/>
    <w:rsid w:val="00E62EA7"/>
    <w:rsid w:val="00E63278"/>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BC9"/>
    <w:rsid w:val="00E72BDF"/>
    <w:rsid w:val="00E72C01"/>
    <w:rsid w:val="00E7401B"/>
    <w:rsid w:val="00E74069"/>
    <w:rsid w:val="00E741AC"/>
    <w:rsid w:val="00E747AA"/>
    <w:rsid w:val="00E74F75"/>
    <w:rsid w:val="00E75174"/>
    <w:rsid w:val="00E753B5"/>
    <w:rsid w:val="00E7576C"/>
    <w:rsid w:val="00E75EBA"/>
    <w:rsid w:val="00E763B4"/>
    <w:rsid w:val="00E7651D"/>
    <w:rsid w:val="00E77433"/>
    <w:rsid w:val="00E77530"/>
    <w:rsid w:val="00E77848"/>
    <w:rsid w:val="00E778BC"/>
    <w:rsid w:val="00E779B3"/>
    <w:rsid w:val="00E80355"/>
    <w:rsid w:val="00E804D2"/>
    <w:rsid w:val="00E80514"/>
    <w:rsid w:val="00E80E5B"/>
    <w:rsid w:val="00E81579"/>
    <w:rsid w:val="00E816C5"/>
    <w:rsid w:val="00E81CA5"/>
    <w:rsid w:val="00E81CE0"/>
    <w:rsid w:val="00E81E7C"/>
    <w:rsid w:val="00E82087"/>
    <w:rsid w:val="00E8224D"/>
    <w:rsid w:val="00E82391"/>
    <w:rsid w:val="00E823B0"/>
    <w:rsid w:val="00E8337B"/>
    <w:rsid w:val="00E838A0"/>
    <w:rsid w:val="00E83ECD"/>
    <w:rsid w:val="00E840F5"/>
    <w:rsid w:val="00E84275"/>
    <w:rsid w:val="00E84459"/>
    <w:rsid w:val="00E844D8"/>
    <w:rsid w:val="00E8519F"/>
    <w:rsid w:val="00E85387"/>
    <w:rsid w:val="00E85CC3"/>
    <w:rsid w:val="00E8644A"/>
    <w:rsid w:val="00E870A9"/>
    <w:rsid w:val="00E90279"/>
    <w:rsid w:val="00E902DB"/>
    <w:rsid w:val="00E90635"/>
    <w:rsid w:val="00E909A1"/>
    <w:rsid w:val="00E90BFF"/>
    <w:rsid w:val="00E91F04"/>
    <w:rsid w:val="00E91F35"/>
    <w:rsid w:val="00E9259E"/>
    <w:rsid w:val="00E93024"/>
    <w:rsid w:val="00E93177"/>
    <w:rsid w:val="00E95BA6"/>
    <w:rsid w:val="00E974F8"/>
    <w:rsid w:val="00E97648"/>
    <w:rsid w:val="00EA07E9"/>
    <w:rsid w:val="00EA0E4A"/>
    <w:rsid w:val="00EA1A54"/>
    <w:rsid w:val="00EA2226"/>
    <w:rsid w:val="00EA2483"/>
    <w:rsid w:val="00EA26FC"/>
    <w:rsid w:val="00EA2948"/>
    <w:rsid w:val="00EA2CD9"/>
    <w:rsid w:val="00EA3B5A"/>
    <w:rsid w:val="00EA3E8D"/>
    <w:rsid w:val="00EA4100"/>
    <w:rsid w:val="00EA410E"/>
    <w:rsid w:val="00EA463E"/>
    <w:rsid w:val="00EA4FD1"/>
    <w:rsid w:val="00EA53C2"/>
    <w:rsid w:val="00EA5695"/>
    <w:rsid w:val="00EA5B0A"/>
    <w:rsid w:val="00EA5B4B"/>
    <w:rsid w:val="00EA65AD"/>
    <w:rsid w:val="00EA7487"/>
    <w:rsid w:val="00EA7FCF"/>
    <w:rsid w:val="00EB0CA3"/>
    <w:rsid w:val="00EB104F"/>
    <w:rsid w:val="00EB15F2"/>
    <w:rsid w:val="00EB1B27"/>
    <w:rsid w:val="00EB1DA8"/>
    <w:rsid w:val="00EB28C3"/>
    <w:rsid w:val="00EB2974"/>
    <w:rsid w:val="00EB2A69"/>
    <w:rsid w:val="00EB2D2E"/>
    <w:rsid w:val="00EB326C"/>
    <w:rsid w:val="00EB4B75"/>
    <w:rsid w:val="00EB4CFF"/>
    <w:rsid w:val="00EB53A6"/>
    <w:rsid w:val="00EB5476"/>
    <w:rsid w:val="00EB57C0"/>
    <w:rsid w:val="00EB5FB6"/>
    <w:rsid w:val="00EB5FF6"/>
    <w:rsid w:val="00EB626C"/>
    <w:rsid w:val="00EB6ABF"/>
    <w:rsid w:val="00EB70B0"/>
    <w:rsid w:val="00EB74F4"/>
    <w:rsid w:val="00EB7633"/>
    <w:rsid w:val="00EB7648"/>
    <w:rsid w:val="00EB7736"/>
    <w:rsid w:val="00EB7808"/>
    <w:rsid w:val="00EB7C8C"/>
    <w:rsid w:val="00EC05FD"/>
    <w:rsid w:val="00EC1DCD"/>
    <w:rsid w:val="00EC2710"/>
    <w:rsid w:val="00EC2BF5"/>
    <w:rsid w:val="00EC2E2D"/>
    <w:rsid w:val="00EC363A"/>
    <w:rsid w:val="00EC370B"/>
    <w:rsid w:val="00EC391D"/>
    <w:rsid w:val="00EC462B"/>
    <w:rsid w:val="00EC4723"/>
    <w:rsid w:val="00EC56B8"/>
    <w:rsid w:val="00EC56E0"/>
    <w:rsid w:val="00EC6057"/>
    <w:rsid w:val="00EC6847"/>
    <w:rsid w:val="00EC6EB4"/>
    <w:rsid w:val="00EC7789"/>
    <w:rsid w:val="00EC77F2"/>
    <w:rsid w:val="00EC7DB6"/>
    <w:rsid w:val="00ED0052"/>
    <w:rsid w:val="00ED0C5C"/>
    <w:rsid w:val="00ED10C2"/>
    <w:rsid w:val="00ED162F"/>
    <w:rsid w:val="00ED1738"/>
    <w:rsid w:val="00ED2AE0"/>
    <w:rsid w:val="00ED2E52"/>
    <w:rsid w:val="00ED3024"/>
    <w:rsid w:val="00ED31DB"/>
    <w:rsid w:val="00ED3715"/>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1F07"/>
    <w:rsid w:val="00EE32CE"/>
    <w:rsid w:val="00EE3A4A"/>
    <w:rsid w:val="00EE3C42"/>
    <w:rsid w:val="00EE3D4F"/>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21EB"/>
    <w:rsid w:val="00F133A1"/>
    <w:rsid w:val="00F135EE"/>
    <w:rsid w:val="00F13ECD"/>
    <w:rsid w:val="00F14D13"/>
    <w:rsid w:val="00F155CE"/>
    <w:rsid w:val="00F159EC"/>
    <w:rsid w:val="00F16702"/>
    <w:rsid w:val="00F16750"/>
    <w:rsid w:val="00F16BF2"/>
    <w:rsid w:val="00F17EAE"/>
    <w:rsid w:val="00F17F6E"/>
    <w:rsid w:val="00F2117B"/>
    <w:rsid w:val="00F211FD"/>
    <w:rsid w:val="00F2135D"/>
    <w:rsid w:val="00F218D4"/>
    <w:rsid w:val="00F21E9A"/>
    <w:rsid w:val="00F2250A"/>
    <w:rsid w:val="00F22738"/>
    <w:rsid w:val="00F22840"/>
    <w:rsid w:val="00F230DF"/>
    <w:rsid w:val="00F23DAF"/>
    <w:rsid w:val="00F245A3"/>
    <w:rsid w:val="00F24788"/>
    <w:rsid w:val="00F24DA7"/>
    <w:rsid w:val="00F256ED"/>
    <w:rsid w:val="00F25A20"/>
    <w:rsid w:val="00F260B0"/>
    <w:rsid w:val="00F26252"/>
    <w:rsid w:val="00F2640F"/>
    <w:rsid w:val="00F2789D"/>
    <w:rsid w:val="00F27C34"/>
    <w:rsid w:val="00F27E46"/>
    <w:rsid w:val="00F301C2"/>
    <w:rsid w:val="00F302E1"/>
    <w:rsid w:val="00F3065B"/>
    <w:rsid w:val="00F3125E"/>
    <w:rsid w:val="00F31536"/>
    <w:rsid w:val="00F31B22"/>
    <w:rsid w:val="00F31B49"/>
    <w:rsid w:val="00F31B94"/>
    <w:rsid w:val="00F322CD"/>
    <w:rsid w:val="00F322FA"/>
    <w:rsid w:val="00F3284D"/>
    <w:rsid w:val="00F3287D"/>
    <w:rsid w:val="00F3288D"/>
    <w:rsid w:val="00F3291F"/>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33BD"/>
    <w:rsid w:val="00F43B95"/>
    <w:rsid w:val="00F43D00"/>
    <w:rsid w:val="00F4412C"/>
    <w:rsid w:val="00F444ED"/>
    <w:rsid w:val="00F4463F"/>
    <w:rsid w:val="00F44856"/>
    <w:rsid w:val="00F44971"/>
    <w:rsid w:val="00F44B2E"/>
    <w:rsid w:val="00F44EC5"/>
    <w:rsid w:val="00F4566B"/>
    <w:rsid w:val="00F45EDF"/>
    <w:rsid w:val="00F466C1"/>
    <w:rsid w:val="00F46874"/>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DCF"/>
    <w:rsid w:val="00F57034"/>
    <w:rsid w:val="00F57B1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665C"/>
    <w:rsid w:val="00F66920"/>
    <w:rsid w:val="00F673EE"/>
    <w:rsid w:val="00F676DE"/>
    <w:rsid w:val="00F6783E"/>
    <w:rsid w:val="00F67B53"/>
    <w:rsid w:val="00F70822"/>
    <w:rsid w:val="00F70DBE"/>
    <w:rsid w:val="00F70EF3"/>
    <w:rsid w:val="00F71124"/>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1C99"/>
    <w:rsid w:val="00FA26BA"/>
    <w:rsid w:val="00FA277E"/>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0F54"/>
    <w:rsid w:val="00FB1527"/>
    <w:rsid w:val="00FB1E67"/>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223F"/>
    <w:rsid w:val="00FC2742"/>
    <w:rsid w:val="00FC2E01"/>
    <w:rsid w:val="00FC4436"/>
    <w:rsid w:val="00FC4668"/>
    <w:rsid w:val="00FC4729"/>
    <w:rsid w:val="00FC4A8C"/>
    <w:rsid w:val="00FC4B5F"/>
    <w:rsid w:val="00FC53DB"/>
    <w:rsid w:val="00FC5ED5"/>
    <w:rsid w:val="00FC5FC2"/>
    <w:rsid w:val="00FC6177"/>
    <w:rsid w:val="00FC6223"/>
    <w:rsid w:val="00FC6288"/>
    <w:rsid w:val="00FC63D1"/>
    <w:rsid w:val="00FC6D47"/>
    <w:rsid w:val="00FC7528"/>
    <w:rsid w:val="00FC7B61"/>
    <w:rsid w:val="00FD0572"/>
    <w:rsid w:val="00FD06AC"/>
    <w:rsid w:val="00FD1052"/>
    <w:rsid w:val="00FD1A97"/>
    <w:rsid w:val="00FD24A4"/>
    <w:rsid w:val="00FD2D7B"/>
    <w:rsid w:val="00FD3027"/>
    <w:rsid w:val="00FD36E4"/>
    <w:rsid w:val="00FD37F6"/>
    <w:rsid w:val="00FD4589"/>
    <w:rsid w:val="00FD4608"/>
    <w:rsid w:val="00FD473E"/>
    <w:rsid w:val="00FD5928"/>
    <w:rsid w:val="00FD63E3"/>
    <w:rsid w:val="00FD669B"/>
    <w:rsid w:val="00FD66F4"/>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5E83"/>
    <w:rsid w:val="00FE67CF"/>
    <w:rsid w:val="00FE6D20"/>
    <w:rsid w:val="00FE6FB9"/>
    <w:rsid w:val="00FE7549"/>
    <w:rsid w:val="00FE7BCC"/>
    <w:rsid w:val="00FE7CA0"/>
    <w:rsid w:val="00FF0832"/>
    <w:rsid w:val="00FF0EBB"/>
    <w:rsid w:val="00FF126D"/>
    <w:rsid w:val="00FF1713"/>
    <w:rsid w:val="00FF2310"/>
    <w:rsid w:val="00FF2319"/>
    <w:rsid w:val="00FF26A7"/>
    <w:rsid w:val="00FF26BC"/>
    <w:rsid w:val="00FF2E73"/>
    <w:rsid w:val="00FF315E"/>
    <w:rsid w:val="00FF34D1"/>
    <w:rsid w:val="00FF35C8"/>
    <w:rsid w:val="00FF3FE2"/>
    <w:rsid w:val="00FF47E1"/>
    <w:rsid w:val="00FF4AE2"/>
    <w:rsid w:val="00FF50A8"/>
    <w:rsid w:val="00FF55ED"/>
    <w:rsid w:val="00FF571E"/>
    <w:rsid w:val="00FF5BC1"/>
    <w:rsid w:val="00FF6533"/>
    <w:rsid w:val="00FF6BD1"/>
    <w:rsid w:val="00FF6CC0"/>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60"/>
    </o:shapedefaults>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8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4674</Words>
  <Characters>26644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2</cp:revision>
  <cp:lastPrinted>2007-06-18T23:08:00Z</cp:lastPrinted>
  <dcterms:created xsi:type="dcterms:W3CDTF">2021-05-11T21:32:00Z</dcterms:created>
  <dcterms:modified xsi:type="dcterms:W3CDTF">2021-05-11T21:32:00Z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1618155734</vt:lpwstr>
  </property>
</Properties>
</file>