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conditions, if needed, for the multiplexing, e.g</w:t>
      </w:r>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r w:rsidR="00630ABA">
        <w:rPr>
          <w:rFonts w:eastAsia="宋体" w:hint="eastAsia"/>
          <w:color w:val="0070C0"/>
          <w:lang w:eastAsia="zh-CN"/>
        </w:rPr>
        <w:t>Spreadtrum</w:t>
      </w:r>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Quectel</w:t>
      </w:r>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r w:rsidR="00526510" w:rsidRPr="00526510">
        <w:rPr>
          <w:bCs/>
          <w:lang w:val="en-GB" w:eastAsia="zh-CN"/>
        </w:rPr>
        <w:t xml:space="preserve">upport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gNB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Simulations provided by Tdocs</w:t>
      </w:r>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For multiplexing HP HARQ-ACK and LP HARQ-ACK on PUCCH in case that the total number of bits is more than 2, separate coding can provide better reliability for HP HARQ-ACK with the SNR gain of about 2.5~6 dB</w:t>
      </w:r>
      <w:r w:rsidRPr="009F3BBB">
        <w:rPr>
          <w:i/>
        </w:rPr>
        <w:t>.</w:t>
      </w:r>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Proposals/observations from Tdocs</w:t>
            </w:r>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dB</w:t>
            </w:r>
            <w:r w:rsidRPr="0061390B">
              <w:rPr>
                <w:b/>
                <w:i/>
              </w:rPr>
              <w:t>.</w:t>
            </w:r>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A95541"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A95541"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r>
              <w:rPr>
                <w:rFonts w:eastAsiaTheme="minorEastAsia" w:hint="eastAsia"/>
                <w:lang w:eastAsia="zh-CN"/>
              </w:rPr>
              <w:t>Quectel</w:t>
            </w:r>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Proposal 6: For determining the code rates for HP UCI and LP UCI when multiplexing, two maxCodeRates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In case of separate coding. code rate for HARQ-ACK with different priorities are determined based on existing or additional configured maxCoderate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w:t>
            </w:r>
            <w:r>
              <w:rPr>
                <w:rFonts w:eastAsia="宋体"/>
                <w:szCs w:val="20"/>
                <w:lang w:eastAsia="zh-CN"/>
              </w:rPr>
              <w:lastRenderedPageBreak/>
              <w:t xml:space="preserve">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r>
              <w:rPr>
                <w:rFonts w:eastAsia="宋体"/>
                <w:szCs w:val="20"/>
                <w:lang w:eastAsia="zh-CN"/>
              </w:rPr>
              <w:t>Quectel</w:t>
            </w:r>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lang w:eastAsia="zh-CN"/>
              </w:rPr>
              <w:t>”. It seems to us that separate coding and joint coding are always combined used. We could simply say “both separate coding and joint coding are supported”. Furthermore, we share similar view as QC that the selection of coding scheme could be configured by gNB (UE capability could be also used if deemed necessary)</w:t>
            </w:r>
            <w:r>
              <w:rPr>
                <w:rFonts w:eastAsia="宋体"/>
                <w:szCs w:val="20"/>
                <w:lang w:eastAsia="zh-CN"/>
              </w:rPr>
              <w:t xml:space="preserve"> .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We agree this proposal. In our view, gNB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We are fine with proposal 1 in principle. However, we agree with Quectel that it seems separate and joint coding are always combined. Therefore, it needs to be clarified in the revised proposal. We agree with QC that gNB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To clarify our view, specially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midband/highband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can not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in stead of apply CS {0.3,6,9}, UE apply CS {0,1,6,7} to the sequence. On receiver side, instead of correlating received signal y with sequence with CS {0,3,6,9}, gNB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gNB can choose to not schedule MU to use adjacent CS indices. However, with the baseline, there is nothing gNB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gNB can always schedule the LP A/N around HP SR to avoid collision to begin with. In case 2, the HP A/N typically can not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muxed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operatation),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transmitter/gNB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that is another corner case that will have zero impact on eMBB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lastRenderedPageBreak/>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01764F" w:rsidRPr="00954597" w14:paraId="146C20C5" w14:textId="77777777" w:rsidTr="005B75D6">
        <w:tc>
          <w:tcPr>
            <w:tcW w:w="1371" w:type="dxa"/>
            <w:shd w:val="clear" w:color="auto" w:fill="auto"/>
          </w:tcPr>
          <w:p w14:paraId="2BB13EED" w14:textId="77777777" w:rsidR="0001764F" w:rsidRPr="00954597" w:rsidRDefault="0001764F" w:rsidP="0001764F">
            <w:pPr>
              <w:spacing w:after="120"/>
              <w:rPr>
                <w:rFonts w:eastAsia="宋体"/>
                <w:szCs w:val="20"/>
                <w:lang w:eastAsia="zh-CN"/>
              </w:rPr>
            </w:pPr>
          </w:p>
        </w:tc>
        <w:tc>
          <w:tcPr>
            <w:tcW w:w="7691" w:type="dxa"/>
            <w:shd w:val="clear" w:color="auto" w:fill="auto"/>
          </w:tcPr>
          <w:p w14:paraId="49C7E369" w14:textId="77777777" w:rsidR="0001764F" w:rsidRPr="00954597" w:rsidRDefault="0001764F" w:rsidP="0001764F">
            <w:pPr>
              <w:spacing w:after="120"/>
              <w:rPr>
                <w:rFonts w:eastAsia="宋体"/>
                <w:szCs w:val="20"/>
                <w:lang w:eastAsia="zh-CN"/>
              </w:rPr>
            </w:pP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宋体"/>
                <w:szCs w:val="20"/>
                <w:lang w:eastAsia="zh-CN"/>
              </w:rPr>
            </w:pPr>
          </w:p>
        </w:tc>
        <w:tc>
          <w:tcPr>
            <w:tcW w:w="7691" w:type="dxa"/>
            <w:shd w:val="clear" w:color="auto" w:fill="auto"/>
          </w:tcPr>
          <w:p w14:paraId="78E1FDDD" w14:textId="77777777" w:rsidR="0001764F" w:rsidRPr="00954597" w:rsidRDefault="0001764F" w:rsidP="0001764F">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Quec</w:t>
      </w:r>
      <w:r w:rsidR="00BD6855" w:rsidRPr="00EE464C">
        <w:rPr>
          <w:rFonts w:eastAsia="宋体" w:hint="eastAsia"/>
          <w:color w:val="0070C0"/>
          <w:lang w:eastAsia="zh-CN"/>
        </w:rPr>
        <w:t>tel</w:t>
      </w:r>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Spreadtrum,</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w:t>
            </w:r>
            <w:r>
              <w:rPr>
                <w:rFonts w:eastAsia="Yu Mincho"/>
                <w:lang w:eastAsia="zh-CN"/>
              </w:rPr>
              <w:lastRenderedPageBreak/>
              <w:t>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r>
              <w:rPr>
                <w:rFonts w:eastAsiaTheme="minorEastAsia" w:hint="eastAsia"/>
                <w:lang w:eastAsia="zh-CN"/>
              </w:rPr>
              <w:t>Spreadtrum</w:t>
            </w:r>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A95541"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Proposal 7: For multiplexing HP HARQ-ACK and LP HARQ-ACK into one PUCCH in R17, RRC signaling is used for gNB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The gNB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1F7F72"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lastRenderedPageBreak/>
              <w:t>It would be good to clarify what it means by “baseline” here under the context of RRC configuration.  RRC configuration would anyhow be required even for DCI indication since the gNB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Whether DCI based indication is needed can be FFS. Besides the UE complexity and DCI overhead issues, another issue with DCI based indication is how to solve the missing DCI issue? If gNB issue two DCIs, first one indicates multiplexing, second one indicates not multiplexing, if UE missed the second one, mis-alignment is caused between UE and gNB.</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r>
              <w:rPr>
                <w:rFonts w:eastAsia="宋体"/>
                <w:szCs w:val="20"/>
                <w:lang w:eastAsia="zh-CN"/>
              </w:rPr>
              <w:t>Quectel</w:t>
            </w:r>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gNB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0" w:author="NTT DOCOMO, INC." w:date="2021-04-13T17:21:00Z">
                  <w:rPr>
                    <w:rFonts w:eastAsia="微软雅黑"/>
                    <w:lang w:eastAsia="zh-CN"/>
                  </w:rPr>
                </w:rPrChange>
              </w:rPr>
              <w:t>as a baseline</w:t>
            </w:r>
            <w:r w:rsidRPr="002514A3">
              <w:rPr>
                <w:rFonts w:eastAsia="微软雅黑"/>
              </w:rPr>
              <w:t xml:space="preserve"> for gNB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gNB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lastRenderedPageBreak/>
              <w:t xml:space="preserve">In our view, as explained in our Tdoc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gNB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r>
              <w:rPr>
                <w:rFonts w:eastAsia="宋体"/>
                <w:szCs w:val="20"/>
                <w:lang w:eastAsia="zh-CN"/>
              </w:rPr>
              <w:t>” .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972699" w:rsidRPr="00954597" w14:paraId="24F2A453" w14:textId="77777777" w:rsidTr="005B75D6">
        <w:tc>
          <w:tcPr>
            <w:tcW w:w="1374" w:type="dxa"/>
            <w:shd w:val="clear" w:color="auto" w:fill="auto"/>
          </w:tcPr>
          <w:p w14:paraId="6985195A" w14:textId="77777777" w:rsidR="00972699" w:rsidRPr="00954597" w:rsidRDefault="00972699" w:rsidP="00972699">
            <w:pPr>
              <w:spacing w:after="120"/>
              <w:rPr>
                <w:rFonts w:eastAsia="宋体"/>
                <w:szCs w:val="20"/>
                <w:lang w:eastAsia="zh-CN"/>
              </w:rPr>
            </w:pPr>
          </w:p>
        </w:tc>
        <w:tc>
          <w:tcPr>
            <w:tcW w:w="7688" w:type="dxa"/>
            <w:shd w:val="clear" w:color="auto" w:fill="auto"/>
          </w:tcPr>
          <w:p w14:paraId="322A89BB" w14:textId="77777777" w:rsidR="00972699" w:rsidRPr="00954597" w:rsidRDefault="00972699" w:rsidP="00972699">
            <w:pPr>
              <w:spacing w:after="120"/>
              <w:rPr>
                <w:rFonts w:eastAsia="宋体"/>
                <w:szCs w:val="20"/>
                <w:lang w:eastAsia="zh-CN"/>
              </w:rPr>
            </w:pP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宋体"/>
                <w:szCs w:val="20"/>
                <w:lang w:eastAsia="zh-CN"/>
              </w:rPr>
            </w:pPr>
          </w:p>
        </w:tc>
        <w:tc>
          <w:tcPr>
            <w:tcW w:w="7688" w:type="dxa"/>
            <w:shd w:val="clear" w:color="auto" w:fill="auto"/>
          </w:tcPr>
          <w:p w14:paraId="34119EFE" w14:textId="77777777" w:rsidR="00972699" w:rsidRPr="00954597" w:rsidRDefault="00972699" w:rsidP="00972699">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Spreadtrum</w:t>
      </w:r>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 xml:space="preserve">configured for HP HARQ-ACK  vs.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r>
        <w:rPr>
          <w:rFonts w:eastAsia="宋体" w:hint="eastAsia"/>
          <w:color w:val="0070C0"/>
          <w:lang w:eastAsia="zh-CN"/>
        </w:rPr>
        <w:t>Spreadtrum</w:t>
      </w:r>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Quectel</w:t>
      </w:r>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r>
              <w:rPr>
                <w:rFonts w:eastAsia="宋体" w:hint="eastAsia"/>
                <w:lang w:eastAsia="zh-CN"/>
              </w:rPr>
              <w:t>Spreadtrum</w:t>
            </w:r>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lastRenderedPageBreak/>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lastRenderedPageBreak/>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Proposal 3.5: RAN1 to define how to avoid discrepancy between the UE and the gNB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r>
              <w:rPr>
                <w:rFonts w:eastAsia="宋体" w:hint="eastAsia"/>
                <w:lang w:eastAsia="zh-CN"/>
              </w:rPr>
              <w:t>Quectel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w:t>
            </w:r>
            <w:r w:rsidRPr="00285B9F">
              <w:rPr>
                <w:sz w:val="21"/>
                <w:szCs w:val="22"/>
                <w:lang w:eastAsia="zh-CN"/>
              </w:rPr>
              <w:t xml:space="preserve"> </w:t>
            </w:r>
            <w:r>
              <w:rPr>
                <w:sz w:val="21"/>
                <w:szCs w:val="22"/>
                <w:lang w:eastAsia="zh-CN"/>
              </w:rPr>
              <w:t>.</w:t>
            </w:r>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lastRenderedPageBreak/>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r>
              <w:rPr>
                <w:rFonts w:eastAsia="宋体"/>
                <w:szCs w:val="20"/>
                <w:lang w:eastAsia="zh-CN"/>
              </w:rPr>
              <w:t>Suppport</w:t>
            </w:r>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r>
              <w:rPr>
                <w:rFonts w:eastAsia="宋体"/>
                <w:szCs w:val="20"/>
                <w:lang w:eastAsia="zh-CN"/>
              </w:rPr>
              <w:t>InterDigital</w:t>
            </w:r>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lastRenderedPageBreak/>
              <w:t>Note that it would be a simple and flexible way for the gNB to configure a dedicated HARQ-ACK resource for HP+LP per PUCCH set per PRI to resolve the bit number ambiguity issue due to missing LP DCI. As shown in the following figure, the HP only HARQ-ACK on the blue resource while the HP+LP HARQ-ACK on the green resource. The gNB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the complexity of gNB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gNB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HARQ-ACK bit number between gNB and UE</w:t>
            </w:r>
            <w:r>
              <w:rPr>
                <w:rFonts w:eastAsia="宋体"/>
                <w:lang w:eastAsia="zh-CN"/>
              </w:rPr>
              <w:t>, since o</w:t>
            </w:r>
            <w:r w:rsidRPr="00E276AA">
              <w:rPr>
                <w:rFonts w:eastAsia="宋体"/>
                <w:lang w:eastAsia="zh-CN"/>
              </w:rPr>
              <w:t>therwise the gNB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DF7A2A" w:rsidRPr="00954597" w14:paraId="28AA1FC3" w14:textId="77777777" w:rsidTr="005B75D6">
        <w:tc>
          <w:tcPr>
            <w:tcW w:w="1375" w:type="dxa"/>
            <w:shd w:val="clear" w:color="auto" w:fill="auto"/>
          </w:tcPr>
          <w:p w14:paraId="1F3FC885" w14:textId="77777777" w:rsidR="00DF7A2A" w:rsidRPr="00954597" w:rsidRDefault="00DF7A2A" w:rsidP="00DF7A2A">
            <w:pPr>
              <w:spacing w:after="120"/>
              <w:rPr>
                <w:rFonts w:eastAsia="宋体"/>
                <w:szCs w:val="20"/>
                <w:lang w:eastAsia="zh-CN"/>
              </w:rPr>
            </w:pPr>
          </w:p>
        </w:tc>
        <w:tc>
          <w:tcPr>
            <w:tcW w:w="7687" w:type="dxa"/>
            <w:shd w:val="clear" w:color="auto" w:fill="auto"/>
          </w:tcPr>
          <w:p w14:paraId="6CFC5DDF" w14:textId="77777777" w:rsidR="00DF7A2A" w:rsidRPr="00954597" w:rsidRDefault="00DF7A2A" w:rsidP="00DF7A2A">
            <w:pPr>
              <w:spacing w:after="120"/>
              <w:rPr>
                <w:rFonts w:eastAsia="宋体"/>
                <w:szCs w:val="20"/>
                <w:lang w:eastAsia="zh-CN"/>
              </w:rPr>
            </w:pP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5pt;height:15.25pt;mso-width-percent:0;mso-height-percent:0;mso-width-percent:0;mso-height-percent:0" o:ole="">
                        <v:imagedata r:id="rId53" o:title=""/>
                      </v:shape>
                      <o:OLEObject Type="Embed" ProgID="Equation.3" ShapeID="_x0000_i1025" DrawAspect="Content" ObjectID="_1679898729"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lastRenderedPageBreak/>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lastRenderedPageBreak/>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A95541"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lastRenderedPageBreak/>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lastRenderedPageBreak/>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lastRenderedPageBreak/>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lastRenderedPageBreak/>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lastRenderedPageBreak/>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lastRenderedPageBreak/>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w:t>
            </w:r>
            <w:r w:rsidRPr="00583380">
              <w:rPr>
                <w:rFonts w:eastAsia="宋体"/>
                <w:szCs w:val="20"/>
                <w:lang w:eastAsia="zh-CN"/>
              </w:rPr>
              <w:lastRenderedPageBreak/>
              <w:t>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lastRenderedPageBreak/>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DF7A2A" w:rsidRPr="00954597" w14:paraId="2366DA2B" w14:textId="77777777" w:rsidTr="005B75D6">
        <w:tc>
          <w:tcPr>
            <w:tcW w:w="1375" w:type="dxa"/>
            <w:shd w:val="clear" w:color="auto" w:fill="auto"/>
          </w:tcPr>
          <w:p w14:paraId="703FD75E" w14:textId="77777777" w:rsidR="00DF7A2A" w:rsidRPr="00954597" w:rsidRDefault="00DF7A2A" w:rsidP="00DF7A2A">
            <w:pPr>
              <w:spacing w:after="120"/>
              <w:rPr>
                <w:rFonts w:eastAsia="宋体"/>
                <w:szCs w:val="20"/>
                <w:lang w:eastAsia="zh-CN"/>
              </w:rPr>
            </w:pPr>
          </w:p>
        </w:tc>
        <w:tc>
          <w:tcPr>
            <w:tcW w:w="7687" w:type="dxa"/>
            <w:shd w:val="clear" w:color="auto" w:fill="auto"/>
          </w:tcPr>
          <w:p w14:paraId="5C361F97" w14:textId="77777777" w:rsidR="00DF7A2A" w:rsidRPr="00954597" w:rsidRDefault="00DF7A2A" w:rsidP="00DF7A2A">
            <w:pPr>
              <w:spacing w:after="120"/>
              <w:rPr>
                <w:rFonts w:eastAsia="宋体"/>
                <w:szCs w:val="20"/>
                <w:lang w:eastAsia="zh-CN"/>
              </w:rPr>
            </w:pP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宋体"/>
                <w:szCs w:val="20"/>
                <w:lang w:eastAsia="zh-CN"/>
              </w:rPr>
            </w:pPr>
          </w:p>
        </w:tc>
        <w:tc>
          <w:tcPr>
            <w:tcW w:w="7687" w:type="dxa"/>
            <w:shd w:val="clear" w:color="auto" w:fill="auto"/>
          </w:tcPr>
          <w:p w14:paraId="2DDF1616" w14:textId="77777777" w:rsidR="00DF7A2A" w:rsidRPr="00954597" w:rsidRDefault="00DF7A2A" w:rsidP="00DF7A2A">
            <w:pPr>
              <w:spacing w:after="120"/>
              <w:rPr>
                <w:rFonts w:eastAsia="宋体"/>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宋体"/>
                <w:szCs w:val="20"/>
                <w:lang w:eastAsia="zh-CN"/>
              </w:rPr>
            </w:pPr>
          </w:p>
        </w:tc>
        <w:tc>
          <w:tcPr>
            <w:tcW w:w="7687" w:type="dxa"/>
            <w:shd w:val="clear" w:color="auto" w:fill="auto"/>
          </w:tcPr>
          <w:p w14:paraId="2F8F9B3E" w14:textId="77777777" w:rsidR="00DF7A2A" w:rsidRPr="00954597" w:rsidRDefault="00DF7A2A" w:rsidP="00DF7A2A">
            <w:pPr>
              <w:spacing w:after="120"/>
              <w:rPr>
                <w:rFonts w:eastAsia="宋体"/>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宋体"/>
                <w:szCs w:val="20"/>
                <w:lang w:eastAsia="zh-CN"/>
              </w:rPr>
            </w:pPr>
          </w:p>
        </w:tc>
        <w:tc>
          <w:tcPr>
            <w:tcW w:w="7687" w:type="dxa"/>
            <w:shd w:val="clear" w:color="auto" w:fill="auto"/>
          </w:tcPr>
          <w:p w14:paraId="690A3053" w14:textId="77777777" w:rsidR="00DF7A2A" w:rsidRPr="00954597" w:rsidRDefault="00DF7A2A" w:rsidP="00DF7A2A">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 xml:space="preserve">Resolve overlapping between PUCCH resources based on Rel-15 </w:t>
              </w:r>
              <w:r w:rsidR="005931CF" w:rsidRPr="005931CF">
                <w:rPr>
                  <w:rStyle w:val="afc"/>
                  <w:noProof/>
                  <w:color w:val="auto"/>
                  <w:sz w:val="20"/>
                  <w:szCs w:val="20"/>
                  <w:u w:val="none"/>
                </w:rPr>
                <w:lastRenderedPageBreak/>
                <w:t>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A95541"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lastRenderedPageBreak/>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lastRenderedPageBreak/>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lastRenderedPageBreak/>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972699" w:rsidRPr="00954597" w14:paraId="7851F1B5" w14:textId="77777777" w:rsidTr="005B75D6">
        <w:tc>
          <w:tcPr>
            <w:tcW w:w="1372" w:type="dxa"/>
            <w:shd w:val="clear" w:color="auto" w:fill="auto"/>
          </w:tcPr>
          <w:p w14:paraId="1E11C64B" w14:textId="77777777" w:rsidR="00972699" w:rsidRPr="00954597" w:rsidRDefault="00972699" w:rsidP="00972699">
            <w:pPr>
              <w:spacing w:after="120"/>
              <w:rPr>
                <w:rFonts w:eastAsia="宋体"/>
                <w:szCs w:val="20"/>
                <w:lang w:eastAsia="zh-CN"/>
              </w:rPr>
            </w:pPr>
          </w:p>
        </w:tc>
        <w:tc>
          <w:tcPr>
            <w:tcW w:w="7690" w:type="dxa"/>
            <w:shd w:val="clear" w:color="auto" w:fill="auto"/>
          </w:tcPr>
          <w:p w14:paraId="2AF0F0C8" w14:textId="77777777" w:rsidR="00972699" w:rsidRPr="00954597" w:rsidRDefault="00972699" w:rsidP="00972699">
            <w:pPr>
              <w:spacing w:after="120"/>
              <w:rPr>
                <w:rFonts w:eastAsia="宋体"/>
                <w:szCs w:val="20"/>
                <w:lang w:eastAsia="zh-CN"/>
              </w:rPr>
            </w:pP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A95541"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A95541"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lastRenderedPageBreak/>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w:t>
            </w:r>
            <w:r w:rsidRPr="003A224B">
              <w:rPr>
                <w:rFonts w:eastAsia="Yu Mincho"/>
                <w:szCs w:val="20"/>
                <w:lang w:eastAsia="ja-JP"/>
              </w:rPr>
              <w:lastRenderedPageBreak/>
              <w:t xml:space="preserve">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769D7CAE" w14:textId="77777777" w:rsidTr="005B75D6">
        <w:tc>
          <w:tcPr>
            <w:tcW w:w="1375" w:type="dxa"/>
            <w:shd w:val="clear" w:color="auto" w:fill="auto"/>
          </w:tcPr>
          <w:p w14:paraId="48E79FD4" w14:textId="77777777" w:rsidR="00972699" w:rsidRPr="00954597" w:rsidRDefault="00972699" w:rsidP="00972699">
            <w:pPr>
              <w:spacing w:after="120"/>
              <w:rPr>
                <w:rFonts w:eastAsia="宋体"/>
                <w:szCs w:val="20"/>
                <w:lang w:eastAsia="zh-CN"/>
              </w:rPr>
            </w:pPr>
          </w:p>
        </w:tc>
        <w:tc>
          <w:tcPr>
            <w:tcW w:w="7687" w:type="dxa"/>
            <w:shd w:val="clear" w:color="auto" w:fill="auto"/>
          </w:tcPr>
          <w:p w14:paraId="78EB515E" w14:textId="77777777" w:rsidR="00972699" w:rsidRPr="00954597" w:rsidRDefault="00972699" w:rsidP="00972699">
            <w:pPr>
              <w:spacing w:after="120"/>
              <w:rPr>
                <w:rFonts w:eastAsia="宋体"/>
                <w:szCs w:val="20"/>
                <w:lang w:eastAsia="zh-CN"/>
              </w:rPr>
            </w:pP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宋体"/>
                <w:szCs w:val="20"/>
                <w:lang w:eastAsia="zh-CN"/>
              </w:rPr>
            </w:pPr>
          </w:p>
        </w:tc>
        <w:tc>
          <w:tcPr>
            <w:tcW w:w="7687" w:type="dxa"/>
            <w:shd w:val="clear" w:color="auto" w:fill="auto"/>
          </w:tcPr>
          <w:p w14:paraId="2D2B1016" w14:textId="77777777" w:rsidR="00972699" w:rsidRPr="00954597" w:rsidRDefault="00972699" w:rsidP="00972699">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lastRenderedPageBreak/>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5pt;height:15pt;mso-width-percent:0;mso-height-percent:0;mso-width-percent:0;mso-height-percent:0" o:ole="">
                  <v:imagedata r:id="rId58" o:title=""/>
                </v:shape>
                <o:OLEObject Type="Embed" ProgID="Equation.DSMT4" ShapeID="_x0000_i1026" DrawAspect="Content" ObjectID="_1679898730"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A95541"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lastRenderedPageBreak/>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lastRenderedPageBreak/>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lastRenderedPageBreak/>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bookmarkStart w:id="39" w:name="_GoBack"/>
            <w:bookmarkEnd w:id="39"/>
          </w:p>
        </w:tc>
      </w:tr>
      <w:tr w:rsidR="00972699" w:rsidRPr="00954597" w14:paraId="7B7FB1BC" w14:textId="77777777" w:rsidTr="005B75D6">
        <w:tc>
          <w:tcPr>
            <w:tcW w:w="1374" w:type="dxa"/>
            <w:shd w:val="clear" w:color="auto" w:fill="auto"/>
          </w:tcPr>
          <w:p w14:paraId="4A8A172D" w14:textId="77777777" w:rsidR="00972699" w:rsidRPr="00954597" w:rsidRDefault="00972699" w:rsidP="00972699">
            <w:pPr>
              <w:spacing w:after="120"/>
              <w:rPr>
                <w:rFonts w:eastAsia="宋体"/>
                <w:szCs w:val="20"/>
                <w:lang w:eastAsia="zh-CN"/>
              </w:rPr>
            </w:pPr>
          </w:p>
        </w:tc>
        <w:tc>
          <w:tcPr>
            <w:tcW w:w="7688" w:type="dxa"/>
            <w:shd w:val="clear" w:color="auto" w:fill="auto"/>
          </w:tcPr>
          <w:p w14:paraId="2EA7EEC4" w14:textId="77777777" w:rsidR="00972699" w:rsidRPr="00954597" w:rsidRDefault="00972699" w:rsidP="00972699">
            <w:pPr>
              <w:spacing w:after="120"/>
              <w:rPr>
                <w:rFonts w:eastAsia="宋体"/>
                <w:szCs w:val="20"/>
                <w:lang w:eastAsia="zh-CN"/>
              </w:rPr>
            </w:pPr>
          </w:p>
        </w:tc>
      </w:tr>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宋体"/>
                <w:szCs w:val="20"/>
                <w:lang w:eastAsia="zh-CN"/>
              </w:rPr>
            </w:pPr>
          </w:p>
        </w:tc>
        <w:tc>
          <w:tcPr>
            <w:tcW w:w="7688" w:type="dxa"/>
            <w:shd w:val="clear" w:color="auto" w:fill="auto"/>
          </w:tcPr>
          <w:p w14:paraId="636BFFB9" w14:textId="77777777" w:rsidR="00972699" w:rsidRPr="00954597" w:rsidRDefault="00972699" w:rsidP="00972699">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w:t>
            </w:r>
            <w:r>
              <w:rPr>
                <w:rFonts w:hint="eastAsia"/>
                <w:i/>
                <w:iCs/>
                <w:lang w:eastAsia="zh-CN"/>
              </w:rPr>
              <w:lastRenderedPageBreak/>
              <w:t xml:space="preserve">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5pt;height:15pt;mso-width-percent:0;mso-height-percent:0;mso-width-percent:0;mso-height-percent:0" o:ole="">
                        <v:imagedata r:id="rId53" o:title=""/>
                      </v:shape>
                      <o:OLEObject Type="Embed" ProgID="Equation.3" ShapeID="_x0000_i1027" DrawAspect="Content" ObjectID="_1679898731"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A95541"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A95541"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A95541"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A95541"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A95541"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lastRenderedPageBreak/>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lastRenderedPageBreak/>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A95541"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A95541"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A95541"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 xml:space="preserve">For cases where a UCI overlaps with multiple PUSCHs, RAN1 discuss </w:t>
              </w:r>
              <w:r w:rsidR="00CB3E66" w:rsidRPr="00CB3E66">
                <w:rPr>
                  <w:rStyle w:val="afc"/>
                  <w:noProof/>
                  <w:color w:val="auto"/>
                  <w:sz w:val="20"/>
                  <w:u w:val="none"/>
                  <w:lang w:eastAsia="ja-JP"/>
                </w:rPr>
                <w:lastRenderedPageBreak/>
                <w:t>the procedure for determining the PUSCH to be multiplexed with the UCI, taking into account the Rel-17 support of multiplexing UCI and PUSCH of different priorities.</w:t>
              </w:r>
            </w:hyperlink>
          </w:p>
          <w:p w14:paraId="1C55646D" w14:textId="0BFF1AF6" w:rsidR="007E2BFA" w:rsidRPr="0001764F" w:rsidRDefault="00A95541"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lastRenderedPageBreak/>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 xml:space="preserve">Proposal 13: For collision handling between high priority DG-PUSCH and low priority CG-PUSCH, UE is expected to cancel the overlapping low priority CG </w:t>
            </w:r>
            <w:r w:rsidRPr="007B1D14">
              <w:rPr>
                <w:rFonts w:ascii="Arial" w:eastAsia="宋体" w:hAnsi="Arial" w:cs="Arial"/>
                <w:b/>
                <w:bCs/>
                <w:kern w:val="2"/>
                <w:szCs w:val="21"/>
                <w:lang w:eastAsia="zh-CN"/>
              </w:rPr>
              <w:lastRenderedPageBreak/>
              <w:t>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lastRenderedPageBreak/>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lastRenderedPageBreak/>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A95541"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A95541"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lastRenderedPageBreak/>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A95541" w:rsidP="00BC19A3">
      <w:pPr>
        <w:pStyle w:val="aff0"/>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A95541" w:rsidP="00BC19A3">
      <w:pPr>
        <w:pStyle w:val="aff0"/>
        <w:numPr>
          <w:ilvl w:val="0"/>
          <w:numId w:val="60"/>
        </w:numPr>
        <w:rPr>
          <w:lang w:eastAsia="x-none"/>
        </w:rPr>
      </w:pPr>
      <w:hyperlink r:id="rId62"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A95541" w:rsidP="00BC19A3">
      <w:pPr>
        <w:pStyle w:val="aff0"/>
        <w:numPr>
          <w:ilvl w:val="0"/>
          <w:numId w:val="60"/>
        </w:numPr>
        <w:rPr>
          <w:lang w:eastAsia="x-none"/>
        </w:rPr>
      </w:pPr>
      <w:hyperlink r:id="rId63"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A95541" w:rsidP="00BC19A3">
      <w:pPr>
        <w:pStyle w:val="aff0"/>
        <w:numPr>
          <w:ilvl w:val="0"/>
          <w:numId w:val="60"/>
        </w:numPr>
        <w:rPr>
          <w:lang w:eastAsia="x-none"/>
        </w:rPr>
      </w:pPr>
      <w:hyperlink r:id="rId64"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A95541" w:rsidP="00BC19A3">
      <w:pPr>
        <w:pStyle w:val="aff0"/>
        <w:numPr>
          <w:ilvl w:val="0"/>
          <w:numId w:val="60"/>
        </w:numPr>
        <w:rPr>
          <w:lang w:eastAsia="x-none"/>
        </w:rPr>
      </w:pPr>
      <w:hyperlink r:id="rId65"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A95541" w:rsidP="00BC19A3">
      <w:pPr>
        <w:pStyle w:val="aff0"/>
        <w:numPr>
          <w:ilvl w:val="0"/>
          <w:numId w:val="60"/>
        </w:numPr>
        <w:rPr>
          <w:lang w:eastAsia="x-none"/>
        </w:rPr>
      </w:pPr>
      <w:hyperlink r:id="rId66"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A95541" w:rsidP="00BC19A3">
      <w:pPr>
        <w:pStyle w:val="aff0"/>
        <w:numPr>
          <w:ilvl w:val="0"/>
          <w:numId w:val="60"/>
        </w:numPr>
        <w:rPr>
          <w:lang w:eastAsia="x-none"/>
        </w:rPr>
      </w:pPr>
      <w:hyperlink r:id="rId67"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A95541" w:rsidP="00BC19A3">
      <w:pPr>
        <w:pStyle w:val="aff0"/>
        <w:numPr>
          <w:ilvl w:val="0"/>
          <w:numId w:val="60"/>
        </w:numPr>
        <w:rPr>
          <w:lang w:eastAsia="x-none"/>
        </w:rPr>
      </w:pPr>
      <w:hyperlink r:id="rId68"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A95541" w:rsidP="00BC19A3">
      <w:pPr>
        <w:pStyle w:val="aff0"/>
        <w:numPr>
          <w:ilvl w:val="0"/>
          <w:numId w:val="60"/>
        </w:numPr>
        <w:rPr>
          <w:lang w:eastAsia="x-none"/>
        </w:rPr>
      </w:pPr>
      <w:hyperlink r:id="rId69"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A95541" w:rsidP="00BC19A3">
      <w:pPr>
        <w:pStyle w:val="aff0"/>
        <w:numPr>
          <w:ilvl w:val="0"/>
          <w:numId w:val="60"/>
        </w:numPr>
        <w:rPr>
          <w:lang w:eastAsia="x-none"/>
        </w:rPr>
      </w:pPr>
      <w:hyperlink r:id="rId70"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A95541" w:rsidP="00BC19A3">
      <w:pPr>
        <w:pStyle w:val="aff0"/>
        <w:numPr>
          <w:ilvl w:val="0"/>
          <w:numId w:val="60"/>
        </w:numPr>
        <w:rPr>
          <w:lang w:eastAsia="x-none"/>
        </w:rPr>
      </w:pPr>
      <w:hyperlink r:id="rId71"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A95541" w:rsidP="00BC19A3">
      <w:pPr>
        <w:pStyle w:val="aff0"/>
        <w:numPr>
          <w:ilvl w:val="0"/>
          <w:numId w:val="60"/>
        </w:numPr>
        <w:rPr>
          <w:lang w:eastAsia="x-none"/>
        </w:rPr>
      </w:pPr>
      <w:hyperlink r:id="rId72"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A95541" w:rsidP="00BC19A3">
      <w:pPr>
        <w:pStyle w:val="aff0"/>
        <w:numPr>
          <w:ilvl w:val="0"/>
          <w:numId w:val="60"/>
        </w:numPr>
        <w:rPr>
          <w:lang w:eastAsia="x-none"/>
        </w:rPr>
      </w:pPr>
      <w:hyperlink r:id="rId73"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A95541" w:rsidP="00BC19A3">
      <w:pPr>
        <w:pStyle w:val="aff0"/>
        <w:numPr>
          <w:ilvl w:val="0"/>
          <w:numId w:val="60"/>
        </w:numPr>
        <w:rPr>
          <w:lang w:eastAsia="x-none"/>
        </w:rPr>
      </w:pPr>
      <w:hyperlink r:id="rId74"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A95541" w:rsidP="00BC19A3">
      <w:pPr>
        <w:pStyle w:val="aff0"/>
        <w:numPr>
          <w:ilvl w:val="0"/>
          <w:numId w:val="60"/>
        </w:numPr>
        <w:rPr>
          <w:lang w:eastAsia="x-none"/>
        </w:rPr>
      </w:pPr>
      <w:hyperlink r:id="rId75"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A95541" w:rsidP="00BC19A3">
      <w:pPr>
        <w:pStyle w:val="aff0"/>
        <w:numPr>
          <w:ilvl w:val="0"/>
          <w:numId w:val="60"/>
        </w:numPr>
        <w:rPr>
          <w:lang w:eastAsia="x-none"/>
        </w:rPr>
      </w:pPr>
      <w:hyperlink r:id="rId76"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A95541" w:rsidP="00BC19A3">
      <w:pPr>
        <w:pStyle w:val="aff0"/>
        <w:numPr>
          <w:ilvl w:val="0"/>
          <w:numId w:val="60"/>
        </w:numPr>
        <w:rPr>
          <w:lang w:eastAsia="x-none"/>
        </w:rPr>
      </w:pPr>
      <w:hyperlink r:id="rId77"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A95541" w:rsidP="00BC19A3">
      <w:pPr>
        <w:pStyle w:val="aff0"/>
        <w:numPr>
          <w:ilvl w:val="0"/>
          <w:numId w:val="60"/>
        </w:numPr>
        <w:rPr>
          <w:lang w:eastAsia="x-none"/>
        </w:rPr>
      </w:pPr>
      <w:hyperlink r:id="rId78"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A95541" w:rsidP="00BC19A3">
      <w:pPr>
        <w:pStyle w:val="aff0"/>
        <w:numPr>
          <w:ilvl w:val="0"/>
          <w:numId w:val="60"/>
        </w:numPr>
        <w:rPr>
          <w:lang w:eastAsia="x-none"/>
        </w:rPr>
      </w:pPr>
      <w:hyperlink r:id="rId79"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A95541" w:rsidP="00BC19A3">
      <w:pPr>
        <w:pStyle w:val="aff0"/>
        <w:numPr>
          <w:ilvl w:val="0"/>
          <w:numId w:val="60"/>
        </w:numPr>
        <w:rPr>
          <w:lang w:eastAsia="x-none"/>
        </w:rPr>
      </w:pPr>
      <w:hyperlink r:id="rId80"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A95541" w:rsidP="00BC19A3">
      <w:pPr>
        <w:pStyle w:val="aff0"/>
        <w:numPr>
          <w:ilvl w:val="0"/>
          <w:numId w:val="60"/>
        </w:numPr>
        <w:rPr>
          <w:lang w:eastAsia="x-none"/>
        </w:rPr>
      </w:pPr>
      <w:hyperlink r:id="rId81"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A95541" w:rsidP="00BC19A3">
      <w:pPr>
        <w:pStyle w:val="aff0"/>
        <w:numPr>
          <w:ilvl w:val="0"/>
          <w:numId w:val="60"/>
        </w:numPr>
        <w:rPr>
          <w:lang w:eastAsia="x-none"/>
        </w:rPr>
      </w:pPr>
      <w:hyperlink r:id="rId82"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A95541" w:rsidP="00BC19A3">
      <w:pPr>
        <w:pStyle w:val="aff0"/>
        <w:numPr>
          <w:ilvl w:val="0"/>
          <w:numId w:val="60"/>
        </w:numPr>
        <w:rPr>
          <w:lang w:eastAsia="x-none"/>
        </w:rPr>
      </w:pPr>
      <w:hyperlink r:id="rId83"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A95541" w:rsidP="00BC19A3">
      <w:pPr>
        <w:pStyle w:val="aff0"/>
        <w:numPr>
          <w:ilvl w:val="0"/>
          <w:numId w:val="60"/>
        </w:numPr>
        <w:rPr>
          <w:lang w:eastAsia="x-none"/>
        </w:rPr>
      </w:pPr>
      <w:hyperlink r:id="rId84"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A95541" w:rsidP="00BC19A3">
      <w:pPr>
        <w:pStyle w:val="aff0"/>
        <w:numPr>
          <w:ilvl w:val="0"/>
          <w:numId w:val="60"/>
        </w:numPr>
        <w:rPr>
          <w:lang w:eastAsia="x-none"/>
        </w:rPr>
      </w:pPr>
      <w:hyperlink r:id="rId85"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A95541" w:rsidP="00BC19A3">
      <w:pPr>
        <w:pStyle w:val="aff0"/>
        <w:numPr>
          <w:ilvl w:val="0"/>
          <w:numId w:val="60"/>
        </w:numPr>
        <w:rPr>
          <w:lang w:eastAsia="x-none"/>
        </w:rPr>
      </w:pPr>
      <w:hyperlink r:id="rId86"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A95541" w:rsidP="00BC19A3">
      <w:pPr>
        <w:pStyle w:val="aff0"/>
        <w:numPr>
          <w:ilvl w:val="0"/>
          <w:numId w:val="60"/>
        </w:numPr>
        <w:rPr>
          <w:lang w:eastAsia="x-none"/>
        </w:rPr>
      </w:pPr>
      <w:hyperlink r:id="rId87"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A95541" w:rsidP="00BC19A3">
      <w:pPr>
        <w:pStyle w:val="aff0"/>
        <w:numPr>
          <w:ilvl w:val="0"/>
          <w:numId w:val="60"/>
        </w:numPr>
        <w:rPr>
          <w:lang w:eastAsia="x-none"/>
        </w:rPr>
      </w:pPr>
      <w:hyperlink r:id="rId88"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A95541" w:rsidP="00BC19A3">
      <w:pPr>
        <w:pStyle w:val="aff0"/>
        <w:numPr>
          <w:ilvl w:val="0"/>
          <w:numId w:val="60"/>
        </w:numPr>
        <w:rPr>
          <w:lang w:eastAsia="x-none"/>
        </w:rPr>
      </w:pPr>
      <w:hyperlink r:id="rId89"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A95541" w:rsidP="00BC19A3">
      <w:pPr>
        <w:pStyle w:val="aff0"/>
        <w:numPr>
          <w:ilvl w:val="0"/>
          <w:numId w:val="60"/>
        </w:numPr>
        <w:rPr>
          <w:lang w:eastAsia="x-none"/>
        </w:rPr>
      </w:pPr>
      <w:hyperlink r:id="rId90"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A95541" w:rsidP="00BC19A3">
      <w:pPr>
        <w:pStyle w:val="aff0"/>
        <w:numPr>
          <w:ilvl w:val="0"/>
          <w:numId w:val="60"/>
        </w:numPr>
        <w:rPr>
          <w:lang w:eastAsia="x-none"/>
        </w:rPr>
      </w:pPr>
      <w:hyperlink r:id="rId91"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AA20CF" w14:textId="77777777" w:rsidR="00A95541" w:rsidRDefault="00A95541">
      <w:r>
        <w:separator/>
      </w:r>
    </w:p>
  </w:endnote>
  <w:endnote w:type="continuationSeparator" w:id="0">
    <w:p w14:paraId="2A478F60" w14:textId="77777777" w:rsidR="00A95541" w:rsidRDefault="00A9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swiss"/>
    <w:pitch w:val="variable"/>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7BA37" w14:textId="77777777" w:rsidR="00A95541" w:rsidRDefault="00A95541">
      <w:r>
        <w:separator/>
      </w:r>
    </w:p>
  </w:footnote>
  <w:footnote w:type="continuationSeparator" w:id="0">
    <w:p w14:paraId="26256DBA" w14:textId="77777777" w:rsidR="00A95541" w:rsidRDefault="00A9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C0BE" w14:textId="77777777" w:rsidR="00371626" w:rsidRDefault="00371626">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出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wmf"/><Relationship Id="rId58" Type="http://schemas.openxmlformats.org/officeDocument/2006/relationships/image" Target="media/image44.wmf"/><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2912.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524.zip" TargetMode="External"/><Relationship Id="rId87" Type="http://schemas.openxmlformats.org/officeDocument/2006/relationships/hyperlink" Target="file:///C:\Users\wanshic\OneDrive%20-%20Qualcomm\Documents\Standards\3GPP%20Standards\Meeting%20Documents\TSGR1_104b\Docs\R1-2103475.zip" TargetMode="Externa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wmf"/><Relationship Id="rId77" Type="http://schemas.openxmlformats.org/officeDocument/2006/relationships/hyperlink" Target="file:///C:\Users\wanshic\OneDrive%20-%20Qualcomm\Documents\Standards\3GPP%20Standards\Meeting%20Documents\TSGR1_104b\Docs\R1-21029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F340077C-82B6-4F38-A6EF-6F5064AF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32937</Words>
  <Characters>187744</Characters>
  <Application>Microsoft Office Word</Application>
  <DocSecurity>0</DocSecurity>
  <Lines>1564</Lines>
  <Paragraphs>440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2</cp:revision>
  <dcterms:created xsi:type="dcterms:W3CDTF">2021-04-14T01:14:00Z</dcterms:created>
  <dcterms:modified xsi:type="dcterms:W3CDTF">2021-04-14T01:14:00Z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