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PlaceholderText"/>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w:t>
            </w:r>
            <w:proofErr w:type="gramStart"/>
            <w:r w:rsidRPr="00053612">
              <w:t>/(</w:t>
            </w:r>
            <w:proofErr w:type="gramEnd"/>
            <w:r w:rsidRPr="00053612">
              <w:t>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bl>
    <w:p w14:paraId="14B097E7" w14:textId="77777777" w:rsidR="00183434" w:rsidRDefault="00183434">
      <w:pPr>
        <w:pStyle w:val="BodyText"/>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lastRenderedPageBreak/>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TW"/>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w:t>
            </w:r>
            <w:proofErr w:type="gramStart"/>
            <w:r>
              <w:rPr>
                <w:rFonts w:ascii="Times New Roman" w:hAnsi="Times New Roman" w:cs="Times New Roman"/>
                <w:b w:val="0"/>
                <w:sz w:val="20"/>
                <w:szCs w:val="20"/>
              </w:rPr>
              <w:t>enable  multi</w:t>
            </w:r>
            <w:proofErr w:type="gramEnd"/>
            <w:r>
              <w:rPr>
                <w:rFonts w:ascii="Times New Roman" w:hAnsi="Times New Roman" w:cs="Times New Roman"/>
                <w:b w:val="0"/>
                <w:sz w:val="20"/>
                <w:szCs w:val="20"/>
              </w:rPr>
              <w:t xml:space="preserve">-PDSCH/PUSCH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KHz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w:t>
            </w:r>
            <w:proofErr w:type="gramStart"/>
            <w:r>
              <w:rPr>
                <w:u w:val="single"/>
              </w:rPr>
              <w:t>take into account</w:t>
            </w:r>
            <w:proofErr w:type="gramEnd"/>
            <w:r>
              <w:rPr>
                <w:u w:val="single"/>
              </w:rPr>
              <w:t xml:space="preserve">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sidRPr="000A38B5">
              <w:rPr>
                <w:rFonts w:ascii="Times New Roman" w:hAnsi="Times New Roman"/>
                <w:szCs w:val="20"/>
                <w:lang w:eastAsia="zh-CN"/>
              </w:rPr>
              <w:t>number</w:t>
            </w:r>
            <w:proofErr w:type="gramEnd"/>
            <w:r w:rsidRPr="000A38B5">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lastRenderedPageBreak/>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bl>
    <w:p w14:paraId="76CB5AE7" w14:textId="77777777" w:rsidR="00183434" w:rsidRDefault="00183434">
      <w:pPr>
        <w:rPr>
          <w:lang w:val="en-GB"/>
        </w:rPr>
      </w:pPr>
    </w:p>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79925146"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79925147"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79925148"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B36C5">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B36C5">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B36C5">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B36C5">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B36C5">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B36C5">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B36C5">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186854" w14:paraId="43A3BC11" w14:textId="77777777" w:rsidTr="00CB36C5">
        <w:trPr>
          <w:trHeight w:val="339"/>
        </w:trPr>
        <w:tc>
          <w:tcPr>
            <w:tcW w:w="1530" w:type="dxa"/>
          </w:tcPr>
          <w:tbl>
            <w:tblPr>
              <w:tblStyle w:val="TableGrid"/>
              <w:tblW w:w="9892" w:type="dxa"/>
              <w:tblLayout w:type="fixed"/>
              <w:tblLook w:val="04A0" w:firstRow="1" w:lastRow="0" w:firstColumn="1" w:lastColumn="0" w:noHBand="0" w:noVBand="1"/>
            </w:tblPr>
            <w:tblGrid>
              <w:gridCol w:w="1871"/>
              <w:gridCol w:w="8021"/>
            </w:tblGrid>
            <w:tr w:rsidR="00186854" w:rsidRPr="00B8656B" w14:paraId="29A84EE5" w14:textId="77777777" w:rsidTr="00CB36C5">
              <w:trPr>
                <w:trHeight w:val="339"/>
              </w:trPr>
              <w:tc>
                <w:tcPr>
                  <w:tcW w:w="1871" w:type="dxa"/>
                </w:tcPr>
                <w:p w14:paraId="7A680F8E"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529A4EA" w14:textId="77777777" w:rsidR="00186854" w:rsidRPr="00B8656B"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38E76F46" w14:textId="77777777" w:rsidR="00186854" w:rsidRPr="00D41EBF" w:rsidRDefault="00186854" w:rsidP="00CB36C5">
            <w:pPr>
              <w:pStyle w:val="BodyText"/>
              <w:spacing w:after="0" w:line="240" w:lineRule="auto"/>
              <w:rPr>
                <w:rFonts w:ascii="Times New Roman" w:hAnsi="Times New Roman"/>
                <w:szCs w:val="20"/>
                <w:lang w:eastAsia="zh-CN"/>
              </w:rPr>
            </w:pPr>
          </w:p>
        </w:tc>
        <w:tc>
          <w:tcPr>
            <w:tcW w:w="8550" w:type="dxa"/>
          </w:tcPr>
          <w:p w14:paraId="21A4A03B" w14:textId="77777777" w:rsidR="00186854" w:rsidRDefault="00186854"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B36C5">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B36C5">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B36C5">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B36C5">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B36C5">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B36C5">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B36C5">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B36C5">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 xml:space="preserve">we would prefer case-by-case discussion on N1/N2/N3  for 480/960kHz and we </w:t>
            </w:r>
            <w:r w:rsidR="00232D25">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6pt" o:ole="">
                  <v:imagedata r:id="rId19" o:title=""/>
                </v:shape>
                <o:OLEObject Type="Embed" ProgID="PBrush" ShapeID="_x0000_i1028" DrawAspect="Content" ObjectID="_1679925149" r:id="rId20"/>
              </w:object>
            </w:r>
          </w:p>
        </w:tc>
      </w:tr>
    </w:tbl>
    <w:p w14:paraId="4A7E6499" w14:textId="77777777" w:rsidR="00183434" w:rsidRDefault="00183434">
      <w:pPr>
        <w:rPr>
          <w:lang w:val="en-GB"/>
        </w:rPr>
      </w:pPr>
    </w:p>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BodyText"/>
              <w:spacing w:after="0"/>
              <w:rPr>
                <w:rFonts w:ascii="Times New Roman" w:hAnsi="Times New Roman"/>
                <w:szCs w:val="22"/>
                <w:lang w:eastAsia="zh-CN"/>
              </w:rPr>
            </w:pPr>
          </w:p>
        </w:tc>
        <w:tc>
          <w:tcPr>
            <w:tcW w:w="8021" w:type="dxa"/>
          </w:tcPr>
          <w:p w14:paraId="5C7DAEE9" w14:textId="77777777" w:rsidR="005E312A" w:rsidRDefault="005E312A" w:rsidP="005E312A">
            <w:pPr>
              <w:pStyle w:val="BodyText"/>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BodyText"/>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BodyText"/>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lastRenderedPageBreak/>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lastRenderedPageBreak/>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 xml:space="preserve">Cyclic block PTRS with circulant ICI filter approximation with or without PT-RS power boosting tends to require longer ICI compensation filters </w:t>
            </w:r>
            <w:r>
              <w:lastRenderedPageBreak/>
              <w:t>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lastRenderedPageBreak/>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lastRenderedPageBreak/>
        <w:t xml:space="preserve">Discussion point 3-1: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bl>
    <w:p w14:paraId="1A61DD48" w14:textId="77777777" w:rsidR="00183434" w:rsidRPr="00D41EBF"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t xml:space="preserve">Discussion point 3-2: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6pt;mso-width-percent:0;mso-height-percent:0;mso-width-percent:0;mso-height-percent:0" o:ole="">
                  <v:imagedata r:id="rId22" o:title=""/>
                </v:shape>
                <o:OLEObject Type="Embed" ProgID="PBrush" ShapeID="_x0000_i1029" DrawAspect="Content" ObjectID="_1679925150"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721EB589" w14:textId="77777777" w:rsidR="00183434" w:rsidRDefault="00183434">
      <w:pPr>
        <w:pStyle w:val="BodyText"/>
        <w:spacing w:after="0"/>
        <w:ind w:left="720"/>
        <w:jc w:val="left"/>
        <w:rPr>
          <w:rFonts w:ascii="Times New Roman" w:hAnsi="Times New Roman"/>
          <w:szCs w:val="20"/>
          <w:lang w:val="en-GB"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w:t>
            </w:r>
            <w:r>
              <w:rPr>
                <w:rFonts w:ascii="Times New Roman" w:hAnsi="Times New Roman"/>
                <w:sz w:val="20"/>
                <w:szCs w:val="20"/>
              </w:rPr>
              <w:lastRenderedPageBreak/>
              <w:t>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Caption"/>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Caption"/>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Caption"/>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TW"/>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 xml:space="preserve">[16, Qualcomm] compared PDSCH performance of a new DMRS pattern featured by high frequency density (i.e., every RE) and 2-FD-OCC across adjacent REs with existing type-1 and type-2 DMRS patterns with 480 and 960kHz SCS. It is </w:t>
      </w:r>
      <w:r>
        <w:lastRenderedPageBreak/>
        <w:t>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despread OCC under certain conditions such as MCS. It is likely that there are enough DMRS port numbers in such high </w:t>
            </w:r>
            <w:r>
              <w:rPr>
                <w:rFonts w:ascii="Times New Roman" w:hAnsi="Times New Roman"/>
                <w:szCs w:val="20"/>
                <w:lang w:eastAsia="zh-CN"/>
              </w:rPr>
              <w:lastRenderedPageBreak/>
              <w:t>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lastRenderedPageBreak/>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w:t>
            </w:r>
            <w:r>
              <w:rPr>
                <w:rFonts w:ascii="Times New Roman" w:eastAsia="MS PMincho" w:hAnsi="Times New Roman"/>
                <w:szCs w:val="20"/>
                <w:lang w:eastAsia="zh-CN"/>
              </w:rPr>
              <w:lastRenderedPageBreak/>
              <w:t>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lastRenderedPageBreak/>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016E38">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016E38">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016E38">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016E38">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016E38">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016E38">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016E38">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016E38">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016E38">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016E38">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016E38">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016E38">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016E38">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016E38">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016E38">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016E38">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016E38">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016E38">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016E38">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016E38">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016E38">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016E38">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016E38">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016E38">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016E38">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016E38">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016E38">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016E38">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EFC05" w14:textId="77777777" w:rsidR="004348B4" w:rsidRDefault="004348B4">
      <w:pPr>
        <w:spacing w:after="0" w:line="240" w:lineRule="auto"/>
      </w:pPr>
      <w:r>
        <w:separator/>
      </w:r>
    </w:p>
  </w:endnote>
  <w:endnote w:type="continuationSeparator" w:id="0">
    <w:p w14:paraId="0338D765" w14:textId="77777777" w:rsidR="004348B4" w:rsidRDefault="0043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EA466C" w:rsidRDefault="00EA4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EA466C" w:rsidRDefault="00EA4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041482E" w:rsidR="00EA466C" w:rsidRDefault="00EA466C">
    <w:pPr>
      <w:pStyle w:val="Footer"/>
      <w:ind w:right="360"/>
    </w:pPr>
    <w:r>
      <w:rPr>
        <w:rStyle w:val="PageNumber"/>
      </w:rPr>
      <w:fldChar w:fldCharType="begin"/>
    </w:r>
    <w:r>
      <w:rPr>
        <w:rStyle w:val="PageNumber"/>
      </w:rPr>
      <w:instrText xml:space="preserve"> PAGE </w:instrText>
    </w:r>
    <w:r>
      <w:rPr>
        <w:rStyle w:val="PageNumber"/>
      </w:rPr>
      <w:fldChar w:fldCharType="separate"/>
    </w:r>
    <w:r w:rsidR="00AD4BB8">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BB8">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50958" w14:textId="77777777" w:rsidR="004348B4" w:rsidRDefault="004348B4">
      <w:pPr>
        <w:spacing w:after="0" w:line="240" w:lineRule="auto"/>
      </w:pPr>
      <w:r>
        <w:separator/>
      </w:r>
    </w:p>
  </w:footnote>
  <w:footnote w:type="continuationSeparator" w:id="0">
    <w:p w14:paraId="03B92DE9" w14:textId="77777777" w:rsidR="004348B4" w:rsidRDefault="00434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EA466C" w:rsidRDefault="00EA46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265C8"/>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3A65-059E-43B8-8F91-0B2F1CEA8944}">
  <ds:schemaRefs>
    <ds:schemaRef ds:uri="http://schemas.openxmlformats.org/officeDocument/2006/bibliography"/>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C4503557-402A-45F5-80C7-04BF4100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54</Pages>
  <Words>22483</Words>
  <Characters>121048</Characters>
  <Application>Microsoft Office Word</Application>
  <DocSecurity>0</DocSecurity>
  <Lines>1008</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Ahmed Zewail</cp:lastModifiedBy>
  <cp:revision>3</cp:revision>
  <cp:lastPrinted>2011-11-09T07:49:00Z</cp:lastPrinted>
  <dcterms:created xsi:type="dcterms:W3CDTF">2021-04-15T00:04:00Z</dcterms:created>
  <dcterms:modified xsi:type="dcterms:W3CDTF">2021-04-15T00:04:00Z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