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EEB1E"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R1-210xxxx</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053612">
            <w:rPr>
              <w:rStyle w:val="afc"/>
            </w:rPr>
            <w:t>[Status]</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638FDE24" w14:textId="77777777" w:rsidR="00183434" w:rsidRDefault="00993DC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149EE6F" w14:textId="77777777" w:rsidR="00183434" w:rsidRDefault="00993DCC">
      <w:pPr>
        <w:pStyle w:val="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2"/>
        <w:rPr>
          <w:lang w:eastAsia="zh-CN"/>
        </w:rPr>
      </w:pPr>
      <w:r>
        <w:rPr>
          <w:lang w:eastAsia="zh-CN"/>
        </w:rPr>
        <w:lastRenderedPageBreak/>
        <w:t>2.1. Channel bandwidth(s) related</w:t>
      </w:r>
    </w:p>
    <w:p w14:paraId="75CE6400" w14:textId="77777777" w:rsidR="00183434" w:rsidRDefault="00993DCC">
      <w:pPr>
        <w:pStyle w:val="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af2"/>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a9"/>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a9"/>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a9"/>
        <w:spacing w:after="0"/>
        <w:rPr>
          <w:rFonts w:ascii="Times New Roman" w:hAnsi="Times New Roman"/>
          <w:sz w:val="22"/>
          <w:szCs w:val="22"/>
          <w:lang w:eastAsia="zh-CN"/>
        </w:rPr>
      </w:pPr>
    </w:p>
    <w:p w14:paraId="6E44F693" w14:textId="77777777" w:rsidR="00183434" w:rsidRDefault="00183434">
      <w:pPr>
        <w:pStyle w:val="a9"/>
        <w:spacing w:after="0"/>
        <w:rPr>
          <w:rFonts w:ascii="Times New Roman" w:hAnsi="Times New Roman"/>
          <w:sz w:val="22"/>
          <w:szCs w:val="22"/>
          <w:lang w:eastAsia="zh-CN"/>
        </w:rPr>
      </w:pPr>
    </w:p>
    <w:p w14:paraId="66B4454F" w14:textId="77777777" w:rsidR="00183434" w:rsidRDefault="00993DCC">
      <w:pPr>
        <w:pStyle w:val="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a9"/>
        <w:spacing w:after="0"/>
        <w:rPr>
          <w:rFonts w:ascii="Times New Roman" w:hAnsi="Times New Roman"/>
          <w:szCs w:val="20"/>
          <w:lang w:eastAsia="zh-CN"/>
        </w:rPr>
      </w:pPr>
    </w:p>
    <w:p w14:paraId="43620D47" w14:textId="77777777" w:rsidR="00183434" w:rsidRDefault="00183434">
      <w:pPr>
        <w:pStyle w:val="a9"/>
        <w:spacing w:after="0"/>
        <w:rPr>
          <w:rFonts w:asciiTheme="minorHAnsi" w:hAnsiTheme="minorHAnsi" w:cstheme="minorHAnsi"/>
          <w:szCs w:val="20"/>
          <w:lang w:eastAsia="zh-CN"/>
        </w:rPr>
      </w:pPr>
    </w:p>
    <w:p w14:paraId="23A42B6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4B36D9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0A4EB30B" w:rsidR="00C752C4" w:rsidRPr="00C752C4" w:rsidRDefault="00C752C4" w:rsidP="000A38B5">
            <w:pPr>
              <w:spacing w:after="0" w:line="240" w:lineRule="auto"/>
              <w:rPr>
                <w:rFonts w:hint="eastAsia"/>
                <w:lang w:eastAsia="zh-CN"/>
              </w:rPr>
            </w:pPr>
            <w:r>
              <w:rPr>
                <w:lang w:eastAsia="zh-CN"/>
              </w:rPr>
              <w:t>A</w:t>
            </w:r>
            <w:r>
              <w:rPr>
                <w:rFonts w:hint="eastAsia"/>
                <w:lang w:eastAsia="zh-CN"/>
              </w:rPr>
              <w:t xml:space="preserve">gree </w:t>
            </w:r>
            <w:r>
              <w:rPr>
                <w:lang w:eastAsia="zh-CN"/>
              </w:rPr>
              <w:t>with Moderator</w:t>
            </w:r>
          </w:p>
        </w:tc>
      </w:tr>
    </w:tbl>
    <w:p w14:paraId="14B097E7" w14:textId="77777777" w:rsidR="00183434" w:rsidRDefault="00183434">
      <w:pPr>
        <w:pStyle w:val="a9"/>
        <w:spacing w:after="0"/>
        <w:ind w:left="720"/>
        <w:jc w:val="left"/>
        <w:rPr>
          <w:rFonts w:ascii="Times New Roman" w:hAnsi="Times New Roman"/>
          <w:szCs w:val="20"/>
          <w:lang w:val="en-GB" w:eastAsia="zh-CN"/>
        </w:rPr>
      </w:pPr>
    </w:p>
    <w:p w14:paraId="55C027D2" w14:textId="77777777" w:rsidR="00183434" w:rsidRDefault="00183434">
      <w:pPr>
        <w:rPr>
          <w:lang w:eastAsia="zh-CN"/>
        </w:rPr>
      </w:pPr>
    </w:p>
    <w:p w14:paraId="47C49841" w14:textId="77777777" w:rsidR="00183434" w:rsidRDefault="00993DCC">
      <w:pPr>
        <w:pStyle w:val="2"/>
        <w:rPr>
          <w:lang w:eastAsia="zh-CN"/>
        </w:rPr>
      </w:pPr>
      <w:r>
        <w:rPr>
          <w:lang w:eastAsia="zh-CN"/>
        </w:rPr>
        <w:t>2.2. Timeline</w:t>
      </w:r>
    </w:p>
    <w:p w14:paraId="5C11BDD8" w14:textId="77777777" w:rsidR="00183434" w:rsidRDefault="00183434">
      <w:pPr>
        <w:pStyle w:val="afb"/>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afb"/>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afb"/>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af2"/>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t>[4, vivo]</w:t>
            </w:r>
          </w:p>
        </w:tc>
        <w:tc>
          <w:tcPr>
            <w:tcW w:w="8100" w:type="dxa"/>
          </w:tcPr>
          <w:p w14:paraId="6D3C8E03" w14:textId="77777777" w:rsidR="00183434" w:rsidRDefault="00993DCC">
            <w:pPr>
              <w:pStyle w:val="a6"/>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a9"/>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a9"/>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a9"/>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a9"/>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a9"/>
              <w:ind w:left="360"/>
              <w:rPr>
                <w:rFonts w:ascii="Times New Roman" w:hAnsi="Times New Roman"/>
                <w:szCs w:val="20"/>
              </w:rPr>
            </w:pPr>
            <w:r>
              <w:rPr>
                <w:rFonts w:ascii="Times New Roman" w:hAnsi="Times New Roman"/>
                <w:szCs w:val="20"/>
              </w:rPr>
              <w:lastRenderedPageBreak/>
              <w:t>For SCS=480kHz, the range should be 119~123;</w:t>
            </w:r>
          </w:p>
          <w:p w14:paraId="47EFA80D" w14:textId="77777777" w:rsidR="00183434" w:rsidRDefault="00993DCC">
            <w:pPr>
              <w:pStyle w:val="a9"/>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a9"/>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a9"/>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a9"/>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1D7FE0B1" w14:textId="77777777" w:rsidR="00183434" w:rsidRDefault="00993DCC">
            <w:pPr>
              <w:pStyle w:val="a6"/>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14:paraId="4DDBA132" w14:textId="77777777" w:rsidR="00183434" w:rsidRDefault="00183434">
            <w:pPr>
              <w:pStyle w:val="a9"/>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lastRenderedPageBreak/>
              <w:t>[5, Nokia]</w:t>
            </w:r>
          </w:p>
        </w:tc>
        <w:tc>
          <w:tcPr>
            <w:tcW w:w="8100" w:type="dxa"/>
          </w:tcPr>
          <w:p w14:paraId="4522B890" w14:textId="77777777" w:rsidR="00183434" w:rsidRDefault="00993DCC">
            <w:pPr>
              <w:pStyle w:val="a6"/>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CN"/>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a9"/>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14:paraId="73129485" w14:textId="77777777" w:rsidR="00183434" w:rsidRDefault="00993DCC">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a9"/>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lastRenderedPageBreak/>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lastRenderedPageBreak/>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t>[11, Xiaomi]</w:t>
            </w:r>
          </w:p>
        </w:tc>
        <w:tc>
          <w:tcPr>
            <w:tcW w:w="8100" w:type="dxa"/>
          </w:tcPr>
          <w:p w14:paraId="6F2324D6" w14:textId="77777777" w:rsidR="00183434" w:rsidRDefault="00993DCC">
            <w:pPr>
              <w:pStyle w:val="a9"/>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a9"/>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a9"/>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a9"/>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a9"/>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lastRenderedPageBreak/>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afb"/>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a9"/>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afb"/>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afb"/>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t>[17, Samsung]</w:t>
            </w:r>
          </w:p>
        </w:tc>
        <w:tc>
          <w:tcPr>
            <w:tcW w:w="8100" w:type="dxa"/>
          </w:tcPr>
          <w:p w14:paraId="5BDCEDA4" w14:textId="77777777" w:rsidR="00183434" w:rsidRDefault="00993DCC">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lastRenderedPageBreak/>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PDSCH-to-HARQ_feedback),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lastRenderedPageBreak/>
              <w:t>[22, InterDigital]</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6"/>
              <w:outlineLvl w:val="5"/>
              <w:rPr>
                <w:rFonts w:ascii="Times New Roman" w:hAnsi="Times New Roman"/>
                <w:lang w:eastAsia="zh-CN"/>
              </w:rPr>
            </w:pPr>
            <w:r>
              <w:rPr>
                <w:rFonts w:ascii="Times New Roman" w:hAnsi="Times New Roman"/>
                <w:lang w:eastAsia="zh-CN"/>
              </w:rPr>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a9"/>
        <w:spacing w:after="0"/>
        <w:rPr>
          <w:rFonts w:ascii="Times New Roman" w:hAnsi="Times New Roman"/>
          <w:sz w:val="22"/>
          <w:szCs w:val="22"/>
          <w:lang w:eastAsia="zh-CN"/>
        </w:rPr>
      </w:pPr>
    </w:p>
    <w:p w14:paraId="55812CD6" w14:textId="77777777" w:rsidR="00183434" w:rsidRDefault="00183434">
      <w:pPr>
        <w:pStyle w:val="a9"/>
        <w:spacing w:after="0"/>
        <w:rPr>
          <w:rFonts w:ascii="Times New Roman" w:hAnsi="Times New Roman"/>
          <w:szCs w:val="20"/>
          <w:lang w:eastAsia="zh-CN"/>
        </w:rPr>
      </w:pPr>
    </w:p>
    <w:p w14:paraId="57A1EAE1" w14:textId="77777777" w:rsidR="00183434" w:rsidRDefault="00183434">
      <w:pPr>
        <w:pStyle w:val="afb"/>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afb"/>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3"/>
        <w:numPr>
          <w:ilvl w:val="2"/>
          <w:numId w:val="20"/>
        </w:numPr>
        <w:rPr>
          <w:lang w:eastAsia="zh-CN"/>
        </w:rPr>
      </w:pPr>
      <w:r>
        <w:rPr>
          <w:lang w:eastAsia="zh-CN"/>
        </w:rPr>
        <w:t xml:space="preserve">Summary on timeline </w:t>
      </w:r>
    </w:p>
    <w:p w14:paraId="79123690" w14:textId="77777777" w:rsidR="00183434" w:rsidRDefault="00993DCC">
      <w:pPr>
        <w:pStyle w:val="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511D56B" w14:textId="77777777" w:rsidR="00183434" w:rsidRDefault="00993DCC">
      <w:r>
        <w:t xml:space="preserve">[4, vivo], [16, Qualcomm], [19, LG] and [24, ZTE] all mentioned to consider the phase noise estimation and compensation time on timeline design. </w:t>
      </w:r>
    </w:p>
    <w:p w14:paraId="7835541E" w14:textId="77777777" w:rsidR="00183434" w:rsidRDefault="00993DCC">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p>
    <w:p w14:paraId="30E8F278" w14:textId="77777777" w:rsidR="00183434" w:rsidRDefault="00183434">
      <w:pPr>
        <w:pStyle w:val="a9"/>
        <w:spacing w:after="0"/>
        <w:rPr>
          <w:rFonts w:ascii="Times New Roman" w:hAnsi="Times New Roman"/>
          <w:szCs w:val="20"/>
          <w:lang w:eastAsia="zh-CN"/>
        </w:rPr>
      </w:pPr>
    </w:p>
    <w:p w14:paraId="73AAAAE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afb"/>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14498072" w14:textId="77777777" w:rsidR="00183434" w:rsidRDefault="00993DCC">
      <w:pPr>
        <w:pStyle w:val="afb"/>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62D14FB5" w14:textId="77777777" w:rsidR="00183434" w:rsidRDefault="00993DCC">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af2"/>
        <w:tblW w:w="9892" w:type="dxa"/>
        <w:tblLayout w:type="fixed"/>
        <w:tblLook w:val="04A0" w:firstRow="1" w:lastRow="0" w:firstColumn="1" w:lastColumn="0" w:noHBand="0" w:noVBand="1"/>
      </w:tblPr>
      <w:tblGrid>
        <w:gridCol w:w="1871"/>
        <w:gridCol w:w="8021"/>
      </w:tblGrid>
      <w:tr w:rsidR="00183434" w14:paraId="32784C51" w14:textId="77777777">
        <w:trPr>
          <w:trHeight w:val="224"/>
        </w:trPr>
        <w:tc>
          <w:tcPr>
            <w:tcW w:w="1871" w:type="dxa"/>
            <w:shd w:val="clear" w:color="auto" w:fill="FFE599" w:themeFill="accent4" w:themeFillTint="66"/>
          </w:tcPr>
          <w:p w14:paraId="35F88871"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trPr>
          <w:trHeight w:val="339"/>
        </w:trPr>
        <w:tc>
          <w:tcPr>
            <w:tcW w:w="1871" w:type="dxa"/>
          </w:tcPr>
          <w:p w14:paraId="4C1482C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trPr>
          <w:trHeight w:val="339"/>
        </w:trPr>
        <w:tc>
          <w:tcPr>
            <w:tcW w:w="1871" w:type="dxa"/>
          </w:tcPr>
          <w:p w14:paraId="0FEF5D1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CD3688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trPr>
          <w:trHeight w:val="339"/>
        </w:trPr>
        <w:tc>
          <w:tcPr>
            <w:tcW w:w="1871" w:type="dxa"/>
          </w:tcPr>
          <w:p w14:paraId="6A6011B2"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293D6CC"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E10DF7" w14:paraId="116CB08A" w14:textId="77777777">
        <w:trPr>
          <w:trHeight w:val="339"/>
        </w:trPr>
        <w:tc>
          <w:tcPr>
            <w:tcW w:w="1871" w:type="dxa"/>
          </w:tcPr>
          <w:p w14:paraId="72D7AA16" w14:textId="58959E20" w:rsidR="00E10DF7" w:rsidRDefault="00E10DF7" w:rsidP="00E10DF7">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a9"/>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trPr>
          <w:trHeight w:val="339"/>
        </w:trPr>
        <w:tc>
          <w:tcPr>
            <w:tcW w:w="1871" w:type="dxa"/>
          </w:tcPr>
          <w:p w14:paraId="02EA288F" w14:textId="0C771378"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229E68" w14:textId="4F32A6EE"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trPr>
          <w:trHeight w:val="339"/>
        </w:trPr>
        <w:tc>
          <w:tcPr>
            <w:tcW w:w="1871" w:type="dxa"/>
          </w:tcPr>
          <w:p w14:paraId="445F4ED6" w14:textId="6C58E48A" w:rsidR="000A38B5" w:rsidRPr="000A38B5" w:rsidRDefault="000A38B5" w:rsidP="00022550">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a9"/>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a9"/>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a9"/>
              <w:spacing w:after="0" w:line="240" w:lineRule="auto"/>
              <w:rPr>
                <w:rFonts w:ascii="Times New Roman" w:hAnsi="Times New Roman"/>
                <w:szCs w:val="20"/>
                <w:lang w:eastAsia="zh-CN"/>
              </w:rPr>
            </w:pPr>
          </w:p>
        </w:tc>
      </w:tr>
      <w:tr w:rsidR="00C752C4" w14:paraId="495EC575" w14:textId="77777777">
        <w:trPr>
          <w:trHeight w:val="339"/>
        </w:trPr>
        <w:tc>
          <w:tcPr>
            <w:tcW w:w="1871" w:type="dxa"/>
          </w:tcPr>
          <w:p w14:paraId="60E60167" w14:textId="53CA0639" w:rsidR="00C752C4" w:rsidRDefault="00C752C4" w:rsidP="00022550">
            <w:pPr>
              <w:pStyle w:val="a9"/>
              <w:spacing w:after="0" w:line="240" w:lineRule="auto"/>
              <w:rPr>
                <w:rFonts w:ascii="Times New Roman" w:eastAsia="MS PMincho" w:hAnsi="Times New Roman" w:hint="eastAsia"/>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a9"/>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a9"/>
              <w:spacing w:after="0" w:line="240" w:lineRule="auto"/>
              <w:rPr>
                <w:rFonts w:ascii="Times New Roman" w:hAnsi="Times New Roman" w:hint="eastAsia"/>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bl>
    <w:p w14:paraId="58072BB3" w14:textId="389BABCF" w:rsidR="00183434" w:rsidRDefault="00183434">
      <w:pPr>
        <w:rPr>
          <w:lang w:val="en-GB"/>
        </w:rPr>
      </w:pPr>
    </w:p>
    <w:p w14:paraId="262458FB" w14:textId="77777777" w:rsidR="00183434" w:rsidRDefault="00183434">
      <w:pPr>
        <w:rPr>
          <w:lang w:val="en-GB"/>
        </w:rPr>
      </w:pPr>
    </w:p>
    <w:p w14:paraId="5B765EB0" w14:textId="77777777" w:rsidR="00183434" w:rsidRDefault="00993DCC">
      <w:pPr>
        <w:pStyle w:val="4"/>
        <w:numPr>
          <w:ilvl w:val="3"/>
          <w:numId w:val="20"/>
        </w:numPr>
      </w:pPr>
      <w:r>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a9"/>
        <w:spacing w:after="0"/>
        <w:rPr>
          <w:rFonts w:ascii="Times New Roman" w:hAnsi="Times New Roman"/>
          <w:szCs w:val="20"/>
          <w:lang w:eastAsia="zh-CN"/>
        </w:rPr>
      </w:pPr>
    </w:p>
    <w:p w14:paraId="752DF76B"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5"/>
        <w:rPr>
          <w:lang w:eastAsia="zh-CN"/>
        </w:rPr>
      </w:pPr>
      <w:r>
        <w:rPr>
          <w:lang w:eastAsia="zh-CN"/>
        </w:rPr>
        <w:t>Discussion point 2-2:</w:t>
      </w:r>
    </w:p>
    <w:p w14:paraId="49B858AA"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af2"/>
        <w:tblW w:w="9892" w:type="dxa"/>
        <w:tblLayout w:type="fixed"/>
        <w:tblLook w:val="04A0" w:firstRow="1" w:lastRow="0" w:firstColumn="1" w:lastColumn="0" w:noHBand="0" w:noVBand="1"/>
      </w:tblPr>
      <w:tblGrid>
        <w:gridCol w:w="1871"/>
        <w:gridCol w:w="8021"/>
      </w:tblGrid>
      <w:tr w:rsidR="00183434" w14:paraId="442BF56D" w14:textId="77777777">
        <w:trPr>
          <w:trHeight w:val="224"/>
        </w:trPr>
        <w:tc>
          <w:tcPr>
            <w:tcW w:w="1871" w:type="dxa"/>
            <w:shd w:val="clear" w:color="auto" w:fill="FFE599" w:themeFill="accent4" w:themeFillTint="66"/>
          </w:tcPr>
          <w:p w14:paraId="402E4F6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trPr>
          <w:trHeight w:val="339"/>
        </w:trPr>
        <w:tc>
          <w:tcPr>
            <w:tcW w:w="1871" w:type="dxa"/>
          </w:tcPr>
          <w:p w14:paraId="657337ED"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trPr>
          <w:trHeight w:val="339"/>
        </w:trPr>
        <w:tc>
          <w:tcPr>
            <w:tcW w:w="1871" w:type="dxa"/>
          </w:tcPr>
          <w:p w14:paraId="45640210"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B00B0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trPr>
          <w:trHeight w:val="339"/>
        </w:trPr>
        <w:tc>
          <w:tcPr>
            <w:tcW w:w="1871" w:type="dxa"/>
          </w:tcPr>
          <w:p w14:paraId="29B8D2A1"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27542E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trPr>
          <w:trHeight w:val="339"/>
        </w:trPr>
        <w:tc>
          <w:tcPr>
            <w:tcW w:w="1871" w:type="dxa"/>
          </w:tcPr>
          <w:p w14:paraId="592FE673" w14:textId="34FCDD82"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DA8B84D" w14:textId="63CAA1A9"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trPr>
          <w:trHeight w:val="339"/>
        </w:trPr>
        <w:tc>
          <w:tcPr>
            <w:tcW w:w="1871" w:type="dxa"/>
          </w:tcPr>
          <w:p w14:paraId="6F64A246" w14:textId="7B6E5637"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bl>
    <w:p w14:paraId="76CB5AE7" w14:textId="77777777" w:rsidR="00183434" w:rsidRDefault="00183434">
      <w:pPr>
        <w:rPr>
          <w:lang w:val="en-GB"/>
        </w:rPr>
      </w:pPr>
    </w:p>
    <w:p w14:paraId="726B3D63" w14:textId="77777777" w:rsidR="00183434" w:rsidRDefault="00993DCC">
      <w:pPr>
        <w:pStyle w:val="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a6"/>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993DCC">
            <w:pPr>
              <w:pStyle w:val="TAH"/>
              <w:rPr>
                <w:rFonts w:ascii="Times New Roman" w:eastAsia="Batang" w:hAnsi="Times New Roman"/>
                <w:color w:val="000000"/>
                <w:sz w:val="20"/>
              </w:rPr>
            </w:pPr>
            <w:r>
              <w:rPr>
                <w:rFonts w:ascii="Times New Roman" w:eastAsia="Batang" w:hAnsi="Times New Roman"/>
                <w:color w:val="000000"/>
                <w:position w:val="-8"/>
                <w:sz w:val="20"/>
              </w:rPr>
              <w:object w:dxaOrig="291" w:dyaOrig="291" w14:anchorId="27C21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3.95pt" o:ole="">
                  <v:imagedata r:id="rId15" o:title=""/>
                </v:shape>
                <o:OLEObject Type="Embed" ProgID="Equation.3" ShapeID="_x0000_i1025" DrawAspect="Content" ObjectID="_1679904143"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DD20BAF" w14:textId="77777777" w:rsidR="00183434" w:rsidRDefault="00993DCC">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335546">
                <v:shape id="_x0000_i1026" type="#_x0000_t75" style="width:13.95pt;height:13.95pt" o:ole="">
                  <v:imagedata r:id="rId15" o:title=""/>
                </v:shape>
                <o:OLEObject Type="Embed" ProgID="Equation.3" ShapeID="_x0000_i1026" DrawAspect="Content" ObjectID="_1679904144"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5B350C">
                <v:shape id="_x0000_i1027" type="#_x0000_t75" style="width:13.95pt;height:13.95pt" o:ole="">
                  <v:imagedata r:id="rId15" o:title=""/>
                </v:shape>
                <o:OLEObject Type="Embed" ProgID="Equation.3" ShapeID="_x0000_i1027" DrawAspect="Content" ObjectID="_1679904145"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lastRenderedPageBreak/>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5"/>
        <w:rPr>
          <w:lang w:eastAsia="zh-CN"/>
        </w:rPr>
      </w:pPr>
      <w:r>
        <w:rPr>
          <w:lang w:eastAsia="zh-CN"/>
        </w:rPr>
        <w:t>Discussion point 2-3:</w:t>
      </w:r>
    </w:p>
    <w:p w14:paraId="36C35D2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9892" w:type="dxa"/>
        <w:tblLayout w:type="fixed"/>
        <w:tblLook w:val="04A0" w:firstRow="1" w:lastRow="0" w:firstColumn="1" w:lastColumn="0" w:noHBand="0" w:noVBand="1"/>
      </w:tblPr>
      <w:tblGrid>
        <w:gridCol w:w="1871"/>
        <w:gridCol w:w="8021"/>
      </w:tblGrid>
      <w:tr w:rsidR="00183434" w14:paraId="2552492B" w14:textId="77777777">
        <w:trPr>
          <w:trHeight w:val="224"/>
        </w:trPr>
        <w:tc>
          <w:tcPr>
            <w:tcW w:w="1871" w:type="dxa"/>
            <w:shd w:val="clear" w:color="auto" w:fill="FFE599" w:themeFill="accent4" w:themeFillTint="66"/>
          </w:tcPr>
          <w:p w14:paraId="7FDA760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EE5C27"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5DA4052" w14:textId="77777777">
        <w:trPr>
          <w:trHeight w:val="339"/>
        </w:trPr>
        <w:tc>
          <w:tcPr>
            <w:tcW w:w="1871" w:type="dxa"/>
          </w:tcPr>
          <w:p w14:paraId="60CDB9F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F64B75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3434" w14:paraId="6F5A3250" w14:textId="77777777">
        <w:trPr>
          <w:trHeight w:val="339"/>
        </w:trPr>
        <w:tc>
          <w:tcPr>
            <w:tcW w:w="1871" w:type="dxa"/>
          </w:tcPr>
          <w:p w14:paraId="00E28114"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C7E9657"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3434" w14:paraId="4CC3F162" w14:textId="77777777">
        <w:trPr>
          <w:trHeight w:val="339"/>
        </w:trPr>
        <w:tc>
          <w:tcPr>
            <w:tcW w:w="1871" w:type="dxa"/>
          </w:tcPr>
          <w:p w14:paraId="724920E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A81486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4E05BC24" w14:textId="77777777">
        <w:trPr>
          <w:trHeight w:val="339"/>
        </w:trPr>
        <w:tc>
          <w:tcPr>
            <w:tcW w:w="1871" w:type="dxa"/>
          </w:tcPr>
          <w:p w14:paraId="46F1A3BD" w14:textId="69486114"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F237329" w14:textId="18C12F35" w:rsidR="00022550" w:rsidRDefault="00022550" w:rsidP="00022550">
            <w:pPr>
              <w:pStyle w:val="a9"/>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0A38B5" w14:paraId="09AA514F" w14:textId="77777777">
        <w:trPr>
          <w:trHeight w:val="339"/>
        </w:trPr>
        <w:tc>
          <w:tcPr>
            <w:tcW w:w="1871" w:type="dxa"/>
          </w:tcPr>
          <w:p w14:paraId="4B11B6AD" w14:textId="7E952ABB"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199F074" w14:textId="3B9556BF"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bl>
    <w:p w14:paraId="14102594" w14:textId="77777777" w:rsidR="00183434" w:rsidRDefault="00183434"/>
    <w:p w14:paraId="4A7E6499" w14:textId="77777777" w:rsidR="00183434" w:rsidRDefault="00183434">
      <w:pPr>
        <w:rPr>
          <w:lang w:val="en-GB"/>
        </w:rPr>
      </w:pPr>
    </w:p>
    <w:p w14:paraId="6DE62682" w14:textId="77777777" w:rsidR="00183434" w:rsidRDefault="00993DCC">
      <w:pPr>
        <w:pStyle w:val="4"/>
        <w:numPr>
          <w:ilvl w:val="3"/>
          <w:numId w:val="20"/>
        </w:numPr>
      </w:pPr>
      <w:r>
        <w:t>k0, k1 and k2</w:t>
      </w:r>
    </w:p>
    <w:p w14:paraId="31603CC4" w14:textId="77777777" w:rsidR="00183434" w:rsidRDefault="00993DCC">
      <w:pPr>
        <w:pStyle w:val="a9"/>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a9"/>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a9"/>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a9"/>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lastRenderedPageBreak/>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5"/>
        <w:rPr>
          <w:lang w:eastAsia="zh-CN"/>
        </w:rPr>
      </w:pPr>
      <w:r>
        <w:rPr>
          <w:lang w:eastAsia="zh-CN"/>
        </w:rPr>
        <w:t>Discussion point 2-4:</w:t>
      </w:r>
    </w:p>
    <w:p w14:paraId="32954EA4"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9892" w:type="dxa"/>
        <w:tblLayout w:type="fixed"/>
        <w:tblLook w:val="04A0" w:firstRow="1" w:lastRow="0" w:firstColumn="1" w:lastColumn="0" w:noHBand="0" w:noVBand="1"/>
      </w:tblPr>
      <w:tblGrid>
        <w:gridCol w:w="1871"/>
        <w:gridCol w:w="8021"/>
      </w:tblGrid>
      <w:tr w:rsidR="00183434" w14:paraId="09E3EE2C" w14:textId="77777777">
        <w:trPr>
          <w:trHeight w:val="224"/>
        </w:trPr>
        <w:tc>
          <w:tcPr>
            <w:tcW w:w="1871" w:type="dxa"/>
            <w:shd w:val="clear" w:color="auto" w:fill="FFE599" w:themeFill="accent4" w:themeFillTint="66"/>
          </w:tcPr>
          <w:p w14:paraId="24F6A9D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trPr>
          <w:trHeight w:val="339"/>
        </w:trPr>
        <w:tc>
          <w:tcPr>
            <w:tcW w:w="1871" w:type="dxa"/>
          </w:tcPr>
          <w:p w14:paraId="0834CF8D"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a9"/>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a9"/>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trPr>
          <w:trHeight w:val="339"/>
        </w:trPr>
        <w:tc>
          <w:tcPr>
            <w:tcW w:w="1871" w:type="dxa"/>
          </w:tcPr>
          <w:p w14:paraId="47013A02"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1B4B00"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trPr>
          <w:trHeight w:val="339"/>
        </w:trPr>
        <w:tc>
          <w:tcPr>
            <w:tcW w:w="1871" w:type="dxa"/>
          </w:tcPr>
          <w:p w14:paraId="01CFC4D4"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ABEB051"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trPr>
          <w:trHeight w:val="339"/>
        </w:trPr>
        <w:tc>
          <w:tcPr>
            <w:tcW w:w="1871" w:type="dxa"/>
          </w:tcPr>
          <w:p w14:paraId="7855B60D" w14:textId="36B2F6D8"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360C5C" w14:textId="0AB480BB"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trPr>
          <w:trHeight w:val="339"/>
        </w:trPr>
        <w:tc>
          <w:tcPr>
            <w:tcW w:w="1871" w:type="dxa"/>
          </w:tcPr>
          <w:p w14:paraId="18F9E7C2" w14:textId="5F7C6A20"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4"/>
        <w:numPr>
          <w:ilvl w:val="3"/>
          <w:numId w:val="20"/>
        </w:numPr>
      </w:pPr>
      <w:r>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a9"/>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a9"/>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5"/>
        <w:rPr>
          <w:lang w:eastAsia="zh-CN"/>
        </w:rPr>
      </w:pPr>
      <w:r>
        <w:rPr>
          <w:lang w:eastAsia="zh-CN"/>
        </w:rPr>
        <w:t>Discussion point 2-5:</w:t>
      </w:r>
    </w:p>
    <w:p w14:paraId="6D24A44F"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9892" w:type="dxa"/>
        <w:tblLayout w:type="fixed"/>
        <w:tblLook w:val="04A0" w:firstRow="1" w:lastRow="0" w:firstColumn="1" w:lastColumn="0" w:noHBand="0" w:noVBand="1"/>
      </w:tblPr>
      <w:tblGrid>
        <w:gridCol w:w="1871"/>
        <w:gridCol w:w="8021"/>
      </w:tblGrid>
      <w:tr w:rsidR="00183434" w14:paraId="0DB7BB02" w14:textId="77777777">
        <w:trPr>
          <w:trHeight w:val="224"/>
        </w:trPr>
        <w:tc>
          <w:tcPr>
            <w:tcW w:w="1871" w:type="dxa"/>
            <w:shd w:val="clear" w:color="auto" w:fill="FFE599" w:themeFill="accent4" w:themeFillTint="66"/>
          </w:tcPr>
          <w:p w14:paraId="31C04A1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trPr>
          <w:trHeight w:val="339"/>
        </w:trPr>
        <w:tc>
          <w:tcPr>
            <w:tcW w:w="1871" w:type="dxa"/>
          </w:tcPr>
          <w:p w14:paraId="5C8DFB30"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trPr>
          <w:trHeight w:val="339"/>
        </w:trPr>
        <w:tc>
          <w:tcPr>
            <w:tcW w:w="1871" w:type="dxa"/>
          </w:tcPr>
          <w:p w14:paraId="2F61A80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791F31"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trPr>
          <w:trHeight w:val="339"/>
        </w:trPr>
        <w:tc>
          <w:tcPr>
            <w:tcW w:w="1871" w:type="dxa"/>
          </w:tcPr>
          <w:p w14:paraId="2B05BD0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31EC5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trPr>
          <w:trHeight w:val="339"/>
        </w:trPr>
        <w:tc>
          <w:tcPr>
            <w:tcW w:w="1871" w:type="dxa"/>
          </w:tcPr>
          <w:p w14:paraId="0264A8C0" w14:textId="3C6812C1"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AAA83EC" w14:textId="7FA43AAB"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trPr>
          <w:trHeight w:val="339"/>
        </w:trPr>
        <w:tc>
          <w:tcPr>
            <w:tcW w:w="1871" w:type="dxa"/>
          </w:tcPr>
          <w:p w14:paraId="6ADD9154" w14:textId="07D0A3CB"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bl>
    <w:p w14:paraId="510ECD22" w14:textId="77777777" w:rsidR="00183434" w:rsidRDefault="00183434"/>
    <w:p w14:paraId="3FE06426" w14:textId="77777777" w:rsidR="00183434" w:rsidRDefault="00993DCC">
      <w:pPr>
        <w:pStyle w:val="4"/>
        <w:numPr>
          <w:ilvl w:val="3"/>
          <w:numId w:val="20"/>
        </w:numPr>
        <w:rPr>
          <w:lang w:eastAsia="zh-CN"/>
        </w:rPr>
      </w:pPr>
      <w:r>
        <w:rPr>
          <w:lang w:eastAsia="zh-CN"/>
        </w:rPr>
        <w:t>Other issue(s)</w:t>
      </w:r>
    </w:p>
    <w:p w14:paraId="1E6ED4A2" w14:textId="77777777" w:rsidR="00183434" w:rsidRDefault="00993DCC">
      <w:pPr>
        <w:pStyle w:val="a9"/>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2"/>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3A2B98A8" w14:textId="77777777">
        <w:trPr>
          <w:trHeight w:val="339"/>
        </w:trPr>
        <w:tc>
          <w:tcPr>
            <w:tcW w:w="1871" w:type="dxa"/>
          </w:tcPr>
          <w:p w14:paraId="05989C2B" w14:textId="77777777" w:rsidR="00183434" w:rsidRDefault="00183434">
            <w:pPr>
              <w:pStyle w:val="a9"/>
              <w:spacing w:after="0"/>
              <w:rPr>
                <w:rFonts w:ascii="Times New Roman" w:hAnsi="Times New Roman"/>
                <w:color w:val="FF0000"/>
                <w:szCs w:val="22"/>
                <w:lang w:eastAsia="zh-CN"/>
              </w:rPr>
            </w:pPr>
          </w:p>
        </w:tc>
        <w:tc>
          <w:tcPr>
            <w:tcW w:w="8021" w:type="dxa"/>
          </w:tcPr>
          <w:p w14:paraId="4AABC183" w14:textId="77777777" w:rsidR="00183434" w:rsidRDefault="00183434">
            <w:pPr>
              <w:pStyle w:val="a9"/>
              <w:spacing w:after="0" w:line="240" w:lineRule="auto"/>
              <w:rPr>
                <w:rFonts w:ascii="Times New Roman" w:hAnsi="Times New Roman"/>
                <w:color w:val="FF0000"/>
                <w:szCs w:val="22"/>
                <w:lang w:eastAsia="zh-CN"/>
              </w:rPr>
            </w:pPr>
          </w:p>
        </w:tc>
      </w:tr>
      <w:tr w:rsidR="00183434" w14:paraId="5CAC165B" w14:textId="77777777">
        <w:trPr>
          <w:trHeight w:val="339"/>
        </w:trPr>
        <w:tc>
          <w:tcPr>
            <w:tcW w:w="1871" w:type="dxa"/>
          </w:tcPr>
          <w:p w14:paraId="358C253F" w14:textId="77777777" w:rsidR="00183434" w:rsidRDefault="00183434">
            <w:pPr>
              <w:pStyle w:val="a9"/>
              <w:spacing w:after="0"/>
              <w:rPr>
                <w:rFonts w:ascii="Times New Roman" w:hAnsi="Times New Roman"/>
                <w:szCs w:val="22"/>
                <w:lang w:eastAsia="zh-CN"/>
              </w:rPr>
            </w:pPr>
          </w:p>
        </w:tc>
        <w:tc>
          <w:tcPr>
            <w:tcW w:w="8021" w:type="dxa"/>
          </w:tcPr>
          <w:p w14:paraId="5C7DAEE9" w14:textId="77777777" w:rsidR="00183434" w:rsidRDefault="00183434">
            <w:pPr>
              <w:pStyle w:val="a9"/>
              <w:spacing w:after="0"/>
              <w:rPr>
                <w:rFonts w:ascii="Times New Roman" w:hAnsi="Times New Roman"/>
                <w:szCs w:val="22"/>
                <w:lang w:eastAsia="zh-CN"/>
              </w:rPr>
            </w:pPr>
          </w:p>
        </w:tc>
      </w:tr>
      <w:tr w:rsidR="00183434" w14:paraId="10528B74" w14:textId="77777777">
        <w:trPr>
          <w:trHeight w:val="339"/>
        </w:trPr>
        <w:tc>
          <w:tcPr>
            <w:tcW w:w="1871" w:type="dxa"/>
          </w:tcPr>
          <w:p w14:paraId="50E2889C" w14:textId="77777777" w:rsidR="00183434" w:rsidRDefault="00183434">
            <w:pPr>
              <w:pStyle w:val="a9"/>
              <w:spacing w:after="0" w:line="240" w:lineRule="auto"/>
              <w:rPr>
                <w:rFonts w:ascii="Times New Roman" w:hAnsi="Times New Roman"/>
                <w:szCs w:val="22"/>
                <w:lang w:eastAsia="zh-CN"/>
              </w:rPr>
            </w:pPr>
          </w:p>
        </w:tc>
        <w:tc>
          <w:tcPr>
            <w:tcW w:w="8021" w:type="dxa"/>
          </w:tcPr>
          <w:p w14:paraId="1D9FA390" w14:textId="77777777" w:rsidR="00183434" w:rsidRDefault="00183434">
            <w:pPr>
              <w:pStyle w:val="a9"/>
              <w:spacing w:after="0" w:line="240" w:lineRule="auto"/>
              <w:rPr>
                <w:rFonts w:ascii="Times New Roman" w:hAnsi="Times New Roman"/>
                <w:szCs w:val="22"/>
                <w:lang w:eastAsia="zh-CN"/>
              </w:rPr>
            </w:pPr>
          </w:p>
        </w:tc>
      </w:tr>
    </w:tbl>
    <w:p w14:paraId="49BCA733" w14:textId="77777777" w:rsidR="00183434" w:rsidRDefault="00183434">
      <w:pPr>
        <w:rPr>
          <w:lang w:val="en-GB"/>
        </w:rPr>
      </w:pPr>
    </w:p>
    <w:p w14:paraId="656722FF" w14:textId="77777777" w:rsidR="00183434" w:rsidRDefault="00993DCC">
      <w:pPr>
        <w:pStyle w:val="2"/>
        <w:rPr>
          <w:lang w:eastAsia="zh-CN"/>
        </w:rPr>
      </w:pPr>
      <w:r>
        <w:rPr>
          <w:lang w:eastAsia="zh-CN"/>
        </w:rPr>
        <w:t>2.3. PTRS</w:t>
      </w:r>
    </w:p>
    <w:p w14:paraId="40B677D0" w14:textId="77777777" w:rsidR="00183434" w:rsidRDefault="00183434">
      <w:pPr>
        <w:pStyle w:val="afb"/>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afb"/>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afb"/>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afb"/>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a9"/>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lastRenderedPageBreak/>
              <w:t>[4, vivo]</w:t>
            </w:r>
          </w:p>
        </w:tc>
        <w:tc>
          <w:tcPr>
            <w:tcW w:w="8100" w:type="dxa"/>
          </w:tcPr>
          <w:p w14:paraId="25A29782"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a6"/>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a6"/>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a6"/>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a6"/>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a9"/>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lastRenderedPageBreak/>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a9"/>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[9, Futurewei]</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a6"/>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lastRenderedPageBreak/>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t>[13, Mitsubishi]</w:t>
            </w:r>
          </w:p>
        </w:tc>
        <w:tc>
          <w:tcPr>
            <w:tcW w:w="8100" w:type="dxa"/>
          </w:tcPr>
          <w:p w14:paraId="0E327750" w14:textId="77777777" w:rsidR="00183434" w:rsidRDefault="00993DCC">
            <w:pPr>
              <w:pStyle w:val="a6"/>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rsidR="001842DC">
              <w:fldChar w:fldCharType="begin"/>
            </w:r>
            <w:r w:rsidR="001842DC">
              <w:instrText xml:space="preserve"> SEQ Proposal \* ARABIC </w:instrText>
            </w:r>
            <w:r w:rsidR="001842DC">
              <w:fldChar w:fldCharType="separate"/>
            </w:r>
            <w:r>
              <w:t>1</w:t>
            </w:r>
            <w:r w:rsidR="001842DC">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rsidR="001842DC">
              <w:fldChar w:fldCharType="begin"/>
            </w:r>
            <w:r w:rsidR="001842DC">
              <w:instrText xml:space="preserve"> SEQ Proposal \* ARABIC </w:instrText>
            </w:r>
            <w:r w:rsidR="001842DC">
              <w:fldChar w:fldCharType="separate"/>
            </w:r>
            <w:r>
              <w:t>2</w:t>
            </w:r>
            <w:r w:rsidR="001842DC">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rsidR="001842DC">
              <w:fldChar w:fldCharType="begin"/>
            </w:r>
            <w:r w:rsidR="001842DC">
              <w:instrText xml:space="preserve"> SEQ Proposal \* ARABIC </w:instrText>
            </w:r>
            <w:r w:rsidR="001842DC">
              <w:fldChar w:fldCharType="separate"/>
            </w:r>
            <w:r>
              <w:t>3</w:t>
            </w:r>
            <w:r w:rsidR="001842DC">
              <w:fldChar w:fldCharType="end"/>
            </w:r>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af3"/>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af3"/>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af3"/>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af3"/>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af3"/>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a6"/>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afb"/>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afb"/>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a6"/>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a6"/>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6"/>
              <w:outlineLvl w:val="5"/>
              <w:rPr>
                <w:rFonts w:ascii="Times New Roman" w:hAnsi="Times New Roman"/>
                <w:lang w:eastAsia="zh-CN"/>
              </w:rPr>
            </w:pPr>
            <w:r>
              <w:rPr>
                <w:rFonts w:ascii="Times New Roman" w:hAnsi="Times New Roman"/>
                <w:lang w:eastAsia="zh-CN"/>
              </w:rPr>
              <w:t>[22, InterDigital]</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a9"/>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a9"/>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afb"/>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3"/>
        <w:numPr>
          <w:ilvl w:val="2"/>
          <w:numId w:val="20"/>
        </w:numPr>
        <w:rPr>
          <w:lang w:eastAsia="zh-CN"/>
        </w:rPr>
      </w:pPr>
      <w:r>
        <w:rPr>
          <w:lang w:eastAsia="zh-CN"/>
        </w:rPr>
        <w:t xml:space="preserve">Summary on PTRS </w:t>
      </w:r>
    </w:p>
    <w:p w14:paraId="5F9DB26F" w14:textId="77777777" w:rsidR="00183434" w:rsidRDefault="00993DCC">
      <w:pPr>
        <w:pStyle w:val="4"/>
        <w:numPr>
          <w:ilvl w:val="3"/>
          <w:numId w:val="20"/>
        </w:numPr>
        <w:rPr>
          <w:lang w:eastAsia="zh-CN"/>
        </w:rPr>
      </w:pPr>
      <w:r>
        <w:rPr>
          <w:lang w:eastAsia="zh-CN"/>
        </w:rPr>
        <w:t>For CP-OFDM</w:t>
      </w:r>
    </w:p>
    <w:p w14:paraId="3FD3345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afb"/>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a9"/>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a9"/>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a9"/>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a9"/>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a9"/>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a9"/>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a9"/>
        <w:spacing w:after="0"/>
        <w:rPr>
          <w:rFonts w:ascii="Times New Roman" w:hAnsi="Times New Roman"/>
          <w:szCs w:val="20"/>
          <w:lang w:eastAsia="zh-CN"/>
        </w:rPr>
      </w:pPr>
    </w:p>
    <w:p w14:paraId="4D74DD0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a9"/>
        <w:spacing w:after="0"/>
        <w:rPr>
          <w:rFonts w:ascii="Times New Roman" w:hAnsi="Times New Roman"/>
          <w:szCs w:val="20"/>
          <w:lang w:eastAsia="zh-CN"/>
        </w:rPr>
      </w:pPr>
    </w:p>
    <w:p w14:paraId="073A1E6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a9"/>
        <w:spacing w:after="0"/>
        <w:rPr>
          <w:rFonts w:ascii="Times New Roman" w:hAnsi="Times New Roman"/>
          <w:szCs w:val="20"/>
          <w:lang w:eastAsia="zh-CN"/>
        </w:rPr>
      </w:pPr>
    </w:p>
    <w:p w14:paraId="0407D38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a9"/>
        <w:spacing w:after="0"/>
      </w:pPr>
    </w:p>
    <w:p w14:paraId="32F8B34C"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a9"/>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a9"/>
        <w:spacing w:after="0"/>
      </w:pPr>
    </w:p>
    <w:p w14:paraId="3328B627"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a9"/>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a9"/>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a9"/>
        <w:spacing w:after="0"/>
        <w:rPr>
          <w:rFonts w:ascii="Times New Roman" w:hAnsi="Times New Roman"/>
          <w:szCs w:val="20"/>
          <w:lang w:eastAsia="zh-CN"/>
        </w:rPr>
      </w:pPr>
    </w:p>
    <w:p w14:paraId="53F482F2"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a9"/>
        <w:spacing w:after="0"/>
        <w:rPr>
          <w:rFonts w:ascii="Times New Roman" w:hAnsi="Times New Roman"/>
          <w:szCs w:val="20"/>
          <w:lang w:eastAsia="zh-CN"/>
        </w:rPr>
      </w:pPr>
    </w:p>
    <w:p w14:paraId="34F84521"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a9"/>
        <w:spacing w:after="0"/>
        <w:rPr>
          <w:rFonts w:ascii="Times New Roman" w:hAnsi="Times New Roman"/>
          <w:szCs w:val="20"/>
          <w:lang w:eastAsia="zh-CN"/>
        </w:rPr>
      </w:pPr>
    </w:p>
    <w:p w14:paraId="6FB05930"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a9"/>
        <w:spacing w:after="0"/>
        <w:rPr>
          <w:rFonts w:ascii="Times New Roman" w:hAnsi="Times New Roman"/>
          <w:szCs w:val="20"/>
          <w:lang w:eastAsia="zh-CN"/>
        </w:rPr>
      </w:pPr>
    </w:p>
    <w:p w14:paraId="3914A88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a9"/>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a9"/>
        <w:spacing w:after="0"/>
        <w:rPr>
          <w:rFonts w:ascii="Times New Roman" w:hAnsi="Times New Roman"/>
          <w:szCs w:val="20"/>
          <w:lang w:eastAsia="zh-CN"/>
        </w:rPr>
      </w:pPr>
    </w:p>
    <w:p w14:paraId="7429AAC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a9"/>
        <w:spacing w:after="0"/>
        <w:rPr>
          <w:rFonts w:ascii="Times New Roman" w:hAnsi="Times New Roman"/>
          <w:szCs w:val="20"/>
          <w:lang w:eastAsia="zh-CN"/>
        </w:rPr>
      </w:pPr>
    </w:p>
    <w:p w14:paraId="3DCA6A41" w14:textId="77777777" w:rsidR="00183434" w:rsidRDefault="00993DCC">
      <w:pPr>
        <w:pStyle w:val="5"/>
      </w:pPr>
      <w:r>
        <w:lastRenderedPageBreak/>
        <w:t xml:space="preserve">Discussion point 3-1: </w:t>
      </w:r>
    </w:p>
    <w:p w14:paraId="195B0201" w14:textId="77777777" w:rsidR="00183434" w:rsidRDefault="00993DCC">
      <w:pPr>
        <w:pStyle w:val="afb"/>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a9"/>
        <w:spacing w:after="0"/>
        <w:rPr>
          <w:rFonts w:ascii="Times New Roman" w:hAnsi="Times New Roman"/>
          <w:szCs w:val="20"/>
          <w:lang w:eastAsia="zh-CN"/>
        </w:rPr>
      </w:pPr>
    </w:p>
    <w:p w14:paraId="6D9AB52C"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7936C78C" w14:textId="77777777">
        <w:trPr>
          <w:trHeight w:val="224"/>
        </w:trPr>
        <w:tc>
          <w:tcPr>
            <w:tcW w:w="1871" w:type="dxa"/>
            <w:shd w:val="clear" w:color="auto" w:fill="FFE599" w:themeFill="accent4" w:themeFillTint="66"/>
          </w:tcPr>
          <w:p w14:paraId="63254B6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trPr>
          <w:trHeight w:val="339"/>
        </w:trPr>
        <w:tc>
          <w:tcPr>
            <w:tcW w:w="1871" w:type="dxa"/>
          </w:tcPr>
          <w:p w14:paraId="45923E1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a9"/>
              <w:spacing w:before="0" w:after="0" w:line="240" w:lineRule="auto"/>
              <w:rPr>
                <w:rFonts w:ascii="Times New Roman" w:hAnsi="Times New Roman"/>
                <w:szCs w:val="20"/>
                <w:lang w:eastAsia="zh-CN"/>
              </w:rPr>
            </w:pPr>
          </w:p>
          <w:p w14:paraId="08A24E50" w14:textId="77777777" w:rsidR="00183434" w:rsidRDefault="00993DCC">
            <w:pPr>
              <w:pStyle w:val="a9"/>
              <w:spacing w:before="0" w:after="0" w:line="240" w:lineRule="auto"/>
              <w:jc w:val="center"/>
              <w:rPr>
                <w:rFonts w:ascii="Times New Roman" w:hAnsi="Times New Roman"/>
                <w:szCs w:val="20"/>
                <w:lang w:eastAsia="zh-CN"/>
              </w:rPr>
            </w:pPr>
            <w:r>
              <w:rPr>
                <w:noProof/>
                <w:szCs w:val="20"/>
                <w:lang w:eastAsia="zh-CN"/>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a9"/>
              <w:spacing w:before="0" w:after="0" w:line="240" w:lineRule="auto"/>
              <w:rPr>
                <w:rFonts w:ascii="Times New Roman" w:hAnsi="Times New Roman"/>
                <w:szCs w:val="20"/>
                <w:lang w:eastAsia="zh-CN"/>
              </w:rPr>
            </w:pPr>
          </w:p>
          <w:p w14:paraId="6C63B51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a9"/>
              <w:spacing w:before="0" w:after="0" w:line="240" w:lineRule="auto"/>
              <w:rPr>
                <w:rFonts w:ascii="Times New Roman" w:hAnsi="Times New Roman"/>
                <w:szCs w:val="20"/>
                <w:lang w:eastAsia="zh-CN"/>
              </w:rPr>
            </w:pPr>
          </w:p>
        </w:tc>
      </w:tr>
      <w:tr w:rsidR="00183434" w14:paraId="303C293A" w14:textId="77777777">
        <w:trPr>
          <w:trHeight w:val="339"/>
        </w:trPr>
        <w:tc>
          <w:tcPr>
            <w:tcW w:w="1871" w:type="dxa"/>
          </w:tcPr>
          <w:p w14:paraId="1A4EDAD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2E45E4"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trPr>
          <w:trHeight w:val="339"/>
        </w:trPr>
        <w:tc>
          <w:tcPr>
            <w:tcW w:w="1871" w:type="dxa"/>
          </w:tcPr>
          <w:p w14:paraId="0F06510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5FC49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trPr>
          <w:trHeight w:val="339"/>
        </w:trPr>
        <w:tc>
          <w:tcPr>
            <w:tcW w:w="1871" w:type="dxa"/>
          </w:tcPr>
          <w:p w14:paraId="0EB4564B" w14:textId="0E835103"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EC7A03A"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a9"/>
              <w:spacing w:before="0" w:after="0" w:line="240" w:lineRule="auto"/>
              <w:rPr>
                <w:rFonts w:ascii="Times New Roman" w:hAnsi="Times New Roman"/>
                <w:szCs w:val="20"/>
                <w:lang w:eastAsia="zh-CN"/>
              </w:rPr>
            </w:pPr>
          </w:p>
          <w:p w14:paraId="53245E3E"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a9"/>
              <w:spacing w:before="0" w:after="0" w:line="240" w:lineRule="auto"/>
              <w:rPr>
                <w:rFonts w:ascii="Times New Roman" w:hAnsi="Times New Roman"/>
                <w:szCs w:val="20"/>
                <w:lang w:eastAsia="zh-CN"/>
              </w:rPr>
            </w:pPr>
          </w:p>
          <w:p w14:paraId="00714C71"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a9"/>
              <w:spacing w:before="0" w:after="0" w:line="240" w:lineRule="auto"/>
              <w:rPr>
                <w:rFonts w:ascii="Times New Roman" w:hAnsi="Times New Roman"/>
                <w:szCs w:val="20"/>
                <w:lang w:eastAsia="zh-CN"/>
              </w:rPr>
            </w:pPr>
          </w:p>
          <w:p w14:paraId="0C3E1B83"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a9"/>
              <w:spacing w:before="0" w:after="0" w:line="240" w:lineRule="auto"/>
              <w:rPr>
                <w:rFonts w:ascii="Times New Roman" w:hAnsi="Times New Roman"/>
                <w:szCs w:val="20"/>
                <w:lang w:eastAsia="zh-CN"/>
              </w:rPr>
            </w:pPr>
          </w:p>
          <w:p w14:paraId="6186DA98"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a9"/>
              <w:spacing w:before="0" w:after="0" w:line="240" w:lineRule="auto"/>
              <w:rPr>
                <w:rFonts w:ascii="Times New Roman" w:hAnsi="Times New Roman"/>
                <w:szCs w:val="20"/>
                <w:lang w:eastAsia="zh-CN"/>
              </w:rPr>
            </w:pPr>
          </w:p>
          <w:p w14:paraId="375F426E" w14:textId="0DCFDD8A" w:rsidR="00022550" w:rsidRDefault="00022550" w:rsidP="00022550">
            <w:pPr>
              <w:pStyle w:val="a9"/>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trPr>
          <w:trHeight w:val="339"/>
        </w:trPr>
        <w:tc>
          <w:tcPr>
            <w:tcW w:w="1871" w:type="dxa"/>
          </w:tcPr>
          <w:p w14:paraId="371FEB6F" w14:textId="2A75CED8"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trPr>
          <w:trHeight w:val="339"/>
        </w:trPr>
        <w:tc>
          <w:tcPr>
            <w:tcW w:w="1871" w:type="dxa"/>
          </w:tcPr>
          <w:p w14:paraId="56C4D990" w14:textId="62D42FAA" w:rsidR="009E4087" w:rsidRPr="009E4087" w:rsidRDefault="009E4087" w:rsidP="000A38B5">
            <w:pPr>
              <w:pStyle w:val="a9"/>
              <w:spacing w:after="0" w:line="240" w:lineRule="auto"/>
              <w:rPr>
                <w:rFonts w:ascii="Times New Roman" w:hAnsi="Times New Roman" w:hint="eastAsia"/>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a9"/>
              <w:spacing w:after="0" w:line="240" w:lineRule="auto"/>
              <w:rPr>
                <w:rFonts w:ascii="Times New Roman" w:hAnsi="Times New Roman" w:hint="eastAsia"/>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bl>
    <w:p w14:paraId="1A61DD48" w14:textId="77777777" w:rsidR="00183434" w:rsidRDefault="00183434">
      <w:pPr>
        <w:pStyle w:val="a9"/>
        <w:spacing w:after="0"/>
        <w:ind w:left="720"/>
        <w:jc w:val="left"/>
        <w:rPr>
          <w:rFonts w:ascii="Times New Roman" w:hAnsi="Times New Roman"/>
          <w:szCs w:val="20"/>
          <w:lang w:val="en-GB" w:eastAsia="zh-CN"/>
        </w:rPr>
      </w:pPr>
    </w:p>
    <w:p w14:paraId="3772E56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70156C88" w14:textId="77777777" w:rsidR="00183434" w:rsidRDefault="00183434">
      <w:pPr>
        <w:pStyle w:val="a9"/>
        <w:spacing w:after="0"/>
        <w:rPr>
          <w:rFonts w:ascii="Times New Roman" w:hAnsi="Times New Roman"/>
          <w:szCs w:val="20"/>
          <w:lang w:eastAsia="zh-CN"/>
        </w:rPr>
      </w:pPr>
    </w:p>
    <w:p w14:paraId="00F199D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a9"/>
        <w:spacing w:after="0"/>
        <w:rPr>
          <w:rFonts w:ascii="Times New Roman" w:hAnsi="Times New Roman"/>
          <w:szCs w:val="20"/>
          <w:lang w:eastAsia="zh-CN"/>
        </w:rPr>
      </w:pPr>
    </w:p>
    <w:p w14:paraId="1EF9FADE" w14:textId="77777777" w:rsidR="00183434" w:rsidRDefault="00993DCC">
      <w:pPr>
        <w:pStyle w:val="5"/>
      </w:pPr>
      <w:r>
        <w:t xml:space="preserve">Discussion point 3-2: </w:t>
      </w:r>
    </w:p>
    <w:p w14:paraId="7719CB05" w14:textId="77777777" w:rsidR="00183434" w:rsidRDefault="00993DCC">
      <w:pPr>
        <w:pStyle w:val="afb"/>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a9"/>
        <w:spacing w:after="0"/>
        <w:rPr>
          <w:rFonts w:ascii="Times New Roman" w:hAnsi="Times New Roman"/>
          <w:szCs w:val="20"/>
          <w:lang w:eastAsia="zh-CN"/>
        </w:rPr>
      </w:pPr>
    </w:p>
    <w:p w14:paraId="7C7AD6D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7DD517A6" w14:textId="77777777">
        <w:trPr>
          <w:trHeight w:val="224"/>
        </w:trPr>
        <w:tc>
          <w:tcPr>
            <w:tcW w:w="1871" w:type="dxa"/>
            <w:shd w:val="clear" w:color="auto" w:fill="FFE599" w:themeFill="accent4" w:themeFillTint="66"/>
          </w:tcPr>
          <w:p w14:paraId="0F90B067"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trPr>
          <w:trHeight w:val="339"/>
        </w:trPr>
        <w:tc>
          <w:tcPr>
            <w:tcW w:w="1871" w:type="dxa"/>
          </w:tcPr>
          <w:p w14:paraId="72F949B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a9"/>
              <w:spacing w:before="0" w:after="0" w:line="240" w:lineRule="auto"/>
              <w:rPr>
                <w:rFonts w:ascii="Times New Roman" w:hAnsi="Times New Roman"/>
                <w:szCs w:val="20"/>
                <w:lang w:eastAsia="zh-CN"/>
              </w:rPr>
            </w:pPr>
          </w:p>
        </w:tc>
      </w:tr>
      <w:tr w:rsidR="00183434" w14:paraId="117B2F92" w14:textId="77777777">
        <w:trPr>
          <w:trHeight w:val="339"/>
        </w:trPr>
        <w:tc>
          <w:tcPr>
            <w:tcW w:w="1871" w:type="dxa"/>
          </w:tcPr>
          <w:p w14:paraId="02F1C40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A542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trPr>
          <w:trHeight w:val="339"/>
        </w:trPr>
        <w:tc>
          <w:tcPr>
            <w:tcW w:w="1871" w:type="dxa"/>
          </w:tcPr>
          <w:p w14:paraId="3DDC9E8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BA542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022550" w14:paraId="440658ED" w14:textId="77777777">
        <w:trPr>
          <w:trHeight w:val="339"/>
        </w:trPr>
        <w:tc>
          <w:tcPr>
            <w:tcW w:w="1871" w:type="dxa"/>
          </w:tcPr>
          <w:p w14:paraId="0FDAA2A6" w14:textId="7BDCE6FB"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19E6144" w14:textId="649618CD" w:rsidR="00022550" w:rsidRDefault="00022550" w:rsidP="00022550">
            <w:pPr>
              <w:pStyle w:val="a9"/>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trPr>
          <w:trHeight w:val="339"/>
        </w:trPr>
        <w:tc>
          <w:tcPr>
            <w:tcW w:w="1871" w:type="dxa"/>
          </w:tcPr>
          <w:p w14:paraId="53B477CE" w14:textId="6CE4D659"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trPr>
          <w:trHeight w:val="339"/>
        </w:trPr>
        <w:tc>
          <w:tcPr>
            <w:tcW w:w="1871" w:type="dxa"/>
          </w:tcPr>
          <w:p w14:paraId="0F9C5CB0" w14:textId="4EBDD352" w:rsidR="009E4087" w:rsidRPr="009E4087" w:rsidRDefault="009E4087" w:rsidP="000A38B5">
            <w:pPr>
              <w:pStyle w:val="a9"/>
              <w:spacing w:after="0" w:line="240" w:lineRule="auto"/>
              <w:rPr>
                <w:rFonts w:ascii="Times New Roman" w:hAnsi="Times New Roman" w:hint="eastAsia"/>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a9"/>
              <w:spacing w:after="0" w:line="240" w:lineRule="auto"/>
              <w:rPr>
                <w:rFonts w:ascii="Times New Roman" w:hAnsi="Times New Roman" w:hint="eastAsia"/>
                <w:szCs w:val="20"/>
                <w:lang w:eastAsia="zh-CN"/>
              </w:rPr>
            </w:pPr>
            <w:r>
              <w:rPr>
                <w:rFonts w:ascii="Times New Roman" w:hAnsi="Times New Roman" w:hint="eastAsia"/>
                <w:szCs w:val="20"/>
                <w:lang w:eastAsia="zh-CN"/>
              </w:rPr>
              <w:t>Support</w:t>
            </w:r>
          </w:p>
        </w:tc>
      </w:tr>
    </w:tbl>
    <w:p w14:paraId="5FFA392F" w14:textId="77777777" w:rsidR="00183434" w:rsidRDefault="00183434">
      <w:pPr>
        <w:pStyle w:val="a9"/>
        <w:spacing w:after="0"/>
        <w:ind w:left="720"/>
        <w:jc w:val="left"/>
        <w:rPr>
          <w:rFonts w:ascii="Times New Roman" w:hAnsi="Times New Roman"/>
          <w:szCs w:val="20"/>
          <w:lang w:val="en-GB" w:eastAsia="zh-CN"/>
        </w:rPr>
      </w:pPr>
    </w:p>
    <w:p w14:paraId="1D709D70" w14:textId="77777777" w:rsidR="00183434" w:rsidRDefault="00183434">
      <w:pPr>
        <w:pStyle w:val="a9"/>
        <w:spacing w:after="0"/>
        <w:rPr>
          <w:rFonts w:ascii="Times New Roman" w:hAnsi="Times New Roman"/>
          <w:szCs w:val="20"/>
          <w:lang w:eastAsia="zh-CN"/>
        </w:rPr>
      </w:pPr>
    </w:p>
    <w:p w14:paraId="0454919B" w14:textId="77777777" w:rsidR="00183434" w:rsidRDefault="00993DCC">
      <w:pPr>
        <w:pStyle w:val="4"/>
        <w:numPr>
          <w:ilvl w:val="3"/>
          <w:numId w:val="20"/>
        </w:numPr>
        <w:rPr>
          <w:lang w:eastAsia="zh-CN"/>
        </w:rPr>
      </w:pPr>
      <w:r>
        <w:rPr>
          <w:lang w:eastAsia="zh-CN"/>
        </w:rPr>
        <w:t>For DFT-s-OFDM</w:t>
      </w:r>
    </w:p>
    <w:p w14:paraId="3B62987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lastRenderedPageBreak/>
        <w:t>Companies are encouraged to study at least the following aspects for potential PTRS enhancement for DFT-s-OFDM for NR operation in 52.6 to 71 GHz</w:t>
      </w:r>
    </w:p>
    <w:p w14:paraId="50F6A714" w14:textId="77777777" w:rsidR="00183434" w:rsidRDefault="00993DCC">
      <w:pPr>
        <w:pStyle w:val="a9"/>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174933E" w14:textId="77777777" w:rsidR="00183434" w:rsidRDefault="00993DCC">
      <w:pPr>
        <w:pStyle w:val="afb"/>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a9"/>
        <w:spacing w:after="0"/>
        <w:rPr>
          <w:rFonts w:ascii="Times New Roman" w:hAnsi="Times New Roman"/>
          <w:szCs w:val="20"/>
          <w:lang w:eastAsia="zh-CN"/>
        </w:rPr>
      </w:pPr>
    </w:p>
    <w:p w14:paraId="3A8CC2FD"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a9"/>
        <w:spacing w:after="0"/>
        <w:rPr>
          <w:rFonts w:ascii="Times New Roman" w:hAnsi="Times New Roman"/>
          <w:szCs w:val="20"/>
          <w:lang w:eastAsia="zh-CN"/>
        </w:rPr>
      </w:pPr>
    </w:p>
    <w:p w14:paraId="2564F648"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a9"/>
        <w:spacing w:after="0"/>
        <w:rPr>
          <w:rFonts w:ascii="Times New Roman" w:hAnsi="Times New Roman"/>
          <w:szCs w:val="20"/>
          <w:lang w:eastAsia="zh-CN"/>
        </w:rPr>
      </w:pPr>
    </w:p>
    <w:p w14:paraId="5FF07E1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a9"/>
        <w:spacing w:after="0"/>
        <w:rPr>
          <w:rFonts w:ascii="Times New Roman" w:hAnsi="Times New Roman"/>
          <w:szCs w:val="20"/>
          <w:lang w:eastAsia="zh-CN"/>
        </w:rPr>
      </w:pPr>
    </w:p>
    <w:p w14:paraId="3378F491"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a9"/>
        <w:spacing w:after="0"/>
        <w:rPr>
          <w:rFonts w:ascii="Times New Roman" w:hAnsi="Times New Roman"/>
          <w:szCs w:val="20"/>
          <w:lang w:eastAsia="zh-CN"/>
        </w:rPr>
      </w:pPr>
    </w:p>
    <w:p w14:paraId="5A5F5626" w14:textId="77777777" w:rsidR="00183434" w:rsidRDefault="00993DCC">
      <w:pPr>
        <w:pStyle w:val="a9"/>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a9"/>
        <w:spacing w:after="0"/>
        <w:rPr>
          <w:rFonts w:ascii="Times New Roman" w:hAnsi="Times New Roman"/>
          <w:szCs w:val="20"/>
          <w:lang w:eastAsia="zh-CN"/>
        </w:rPr>
      </w:pPr>
    </w:p>
    <w:p w14:paraId="37297F1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a9"/>
        <w:spacing w:after="0"/>
        <w:rPr>
          <w:rFonts w:ascii="Times New Roman" w:hAnsi="Times New Roman"/>
          <w:szCs w:val="20"/>
          <w:lang w:eastAsia="zh-CN"/>
        </w:rPr>
      </w:pPr>
    </w:p>
    <w:p w14:paraId="023D117D"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a9"/>
        <w:spacing w:after="0"/>
        <w:rPr>
          <w:rFonts w:ascii="Times New Roman" w:hAnsi="Times New Roman"/>
          <w:szCs w:val="20"/>
          <w:lang w:eastAsia="zh-CN"/>
        </w:rPr>
      </w:pPr>
    </w:p>
    <w:p w14:paraId="2367E7E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a9"/>
        <w:spacing w:after="0"/>
        <w:rPr>
          <w:rFonts w:ascii="Times New Roman" w:hAnsi="Times New Roman"/>
          <w:szCs w:val="20"/>
          <w:lang w:eastAsia="zh-CN"/>
        </w:rPr>
      </w:pPr>
    </w:p>
    <w:p w14:paraId="1C04DA94"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a9"/>
        <w:spacing w:after="0"/>
        <w:rPr>
          <w:rFonts w:ascii="Times New Roman" w:hAnsi="Times New Roman"/>
          <w:szCs w:val="20"/>
          <w:lang w:eastAsia="zh-CN"/>
        </w:rPr>
      </w:pPr>
    </w:p>
    <w:p w14:paraId="61784DFD" w14:textId="77777777" w:rsidR="00183434" w:rsidRDefault="00993DCC">
      <w:pPr>
        <w:pStyle w:val="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a9"/>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The need of potential PTRS enhancement</w:t>
      </w:r>
    </w:p>
    <w:p w14:paraId="0CB8D10A" w14:textId="77777777" w:rsidR="00183434" w:rsidRDefault="00993DCC">
      <w:pPr>
        <w:pStyle w:val="afb"/>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a9"/>
        <w:spacing w:after="0"/>
        <w:rPr>
          <w:rFonts w:ascii="Times New Roman" w:hAnsi="Times New Roman"/>
          <w:szCs w:val="20"/>
          <w:lang w:eastAsia="zh-CN"/>
        </w:rPr>
      </w:pPr>
    </w:p>
    <w:p w14:paraId="77D420D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3D8BAC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3F3C98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10DF7" w14:paraId="2A2E23E8" w14:textId="77777777">
        <w:trPr>
          <w:trHeight w:val="339"/>
        </w:trPr>
        <w:tc>
          <w:tcPr>
            <w:tcW w:w="1871" w:type="dxa"/>
          </w:tcPr>
          <w:p w14:paraId="7F82419D" w14:textId="3050EF47" w:rsidR="00E10DF7" w:rsidRDefault="00E10DF7" w:rsidP="00E10DF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F8391B" w14:textId="522049DF" w:rsidR="00E10DF7" w:rsidRDefault="00E10DF7" w:rsidP="00E10DF7">
            <w:pPr>
              <w:pStyle w:val="a9"/>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w:t>
            </w:r>
            <w:r w:rsidR="0068409F">
              <w:rPr>
                <w:rFonts w:ascii="Times New Roman" w:hAnsi="Times New Roman"/>
                <w:szCs w:val="20"/>
                <w:lang w:eastAsia="zh-CN"/>
              </w:rPr>
              <w:t xml:space="preserve"> and advanced phase noise compensation techniques may need to be looked into at the UE side.</w:t>
            </w:r>
          </w:p>
          <w:p w14:paraId="6CB39121" w14:textId="0A16D1EB" w:rsidR="00E10DF7" w:rsidRDefault="00E10DF7" w:rsidP="00E10DF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In our evaluations, we found that to order to leverage advanced phase noise compensation techniques, </w:t>
            </w:r>
            <w:r w:rsidR="0068409F">
              <w:rPr>
                <w:rFonts w:ascii="Times New Roman" w:hAnsi="Times New Roman"/>
                <w:szCs w:val="20"/>
                <w:lang w:eastAsia="zh-CN"/>
              </w:rPr>
              <w:t>reasonable number of PTRS tones is needed. This means higher</w:t>
            </w:r>
            <w:r>
              <w:rPr>
                <w:rFonts w:ascii="Times New Roman" w:hAnsi="Times New Roman"/>
                <w:szCs w:val="20"/>
                <w:lang w:eastAsia="zh-CN"/>
              </w:rPr>
              <w:t xml:space="preserve"> density for smaller RB allocation is needed.</w:t>
            </w:r>
          </w:p>
          <w:p w14:paraId="3FD39467" w14:textId="77777777" w:rsidR="00E10DF7" w:rsidRDefault="00E10DF7" w:rsidP="00E10DF7">
            <w:pPr>
              <w:pStyle w:val="a9"/>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2F0FF2C" w14:textId="77777777" w:rsidR="00E10DF7" w:rsidRDefault="00E10DF7" w:rsidP="00E10DF7">
            <w:pPr>
              <w:pStyle w:val="a9"/>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431C27C2" w14:textId="627A06F6" w:rsidR="00E10DF7" w:rsidRDefault="00E10DF7" w:rsidP="00E10DF7">
            <w:pPr>
              <w:pStyle w:val="a9"/>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24A5AE03" w14:textId="77777777">
        <w:trPr>
          <w:trHeight w:val="339"/>
        </w:trPr>
        <w:tc>
          <w:tcPr>
            <w:tcW w:w="1871" w:type="dxa"/>
          </w:tcPr>
          <w:p w14:paraId="41F3244A" w14:textId="7CC67C63"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59ECA0A"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a9"/>
              <w:spacing w:before="0" w:after="0" w:line="240" w:lineRule="auto"/>
              <w:rPr>
                <w:rFonts w:ascii="Times New Roman" w:hAnsi="Times New Roman"/>
                <w:szCs w:val="20"/>
                <w:lang w:eastAsia="zh-CN"/>
              </w:rPr>
            </w:pPr>
          </w:p>
          <w:p w14:paraId="4D148EB6"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a9"/>
              <w:spacing w:before="0" w:after="0" w:line="240" w:lineRule="auto"/>
              <w:rPr>
                <w:rFonts w:ascii="Times New Roman" w:hAnsi="Times New Roman"/>
                <w:szCs w:val="20"/>
                <w:lang w:eastAsia="zh-CN"/>
              </w:rPr>
            </w:pPr>
          </w:p>
          <w:p w14:paraId="13E7AC31"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a9"/>
              <w:spacing w:before="0" w:after="0" w:line="240" w:lineRule="auto"/>
              <w:rPr>
                <w:rFonts w:ascii="Times New Roman" w:hAnsi="Times New Roman"/>
                <w:szCs w:val="20"/>
                <w:lang w:eastAsia="zh-CN"/>
              </w:rPr>
            </w:pPr>
          </w:p>
          <w:p w14:paraId="27C3FBF5" w14:textId="6CBD9F9D" w:rsidR="00022550" w:rsidRDefault="00022550" w:rsidP="00022550">
            <w:pPr>
              <w:pStyle w:val="a9"/>
              <w:spacing w:after="0" w:line="240" w:lineRule="auto"/>
              <w:rPr>
                <w:rFonts w:ascii="Times New Roman" w:hAnsi="Times New Roman"/>
                <w:szCs w:val="20"/>
                <w:lang w:eastAsia="zh-CN"/>
              </w:rPr>
            </w:pPr>
            <w:r>
              <w:rPr>
                <w:rFonts w:ascii="Times New Roman" w:hAnsi="Times New Roman"/>
                <w:szCs w:val="20"/>
                <w:lang w:eastAsia="zh-CN"/>
              </w:rPr>
              <w:t>In Vivo’s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bl>
    <w:p w14:paraId="594CCB43" w14:textId="77777777" w:rsidR="00183434" w:rsidRDefault="00183434">
      <w:pPr>
        <w:pStyle w:val="a9"/>
        <w:spacing w:after="0"/>
        <w:ind w:left="720"/>
        <w:jc w:val="left"/>
        <w:rPr>
          <w:rFonts w:ascii="Times New Roman" w:hAnsi="Times New Roman"/>
          <w:szCs w:val="20"/>
          <w:lang w:val="en-GB" w:eastAsia="zh-CN"/>
        </w:rPr>
      </w:pPr>
    </w:p>
    <w:p w14:paraId="721EB589" w14:textId="77777777" w:rsidR="00183434" w:rsidRDefault="00183434">
      <w:pPr>
        <w:pStyle w:val="a9"/>
        <w:spacing w:after="0"/>
        <w:ind w:left="720"/>
        <w:jc w:val="left"/>
        <w:rPr>
          <w:rFonts w:ascii="Times New Roman" w:hAnsi="Times New Roman"/>
          <w:szCs w:val="20"/>
          <w:lang w:val="en-GB" w:eastAsia="zh-CN"/>
        </w:rPr>
      </w:pPr>
    </w:p>
    <w:p w14:paraId="1F272DB3" w14:textId="77777777" w:rsidR="00183434" w:rsidRDefault="00993DCC">
      <w:pPr>
        <w:pStyle w:val="4"/>
        <w:numPr>
          <w:ilvl w:val="3"/>
          <w:numId w:val="20"/>
        </w:numPr>
        <w:rPr>
          <w:lang w:eastAsia="zh-CN"/>
        </w:rPr>
      </w:pPr>
      <w:r>
        <w:rPr>
          <w:lang w:eastAsia="zh-CN"/>
        </w:rPr>
        <w:t>Other issue(s)</w:t>
      </w:r>
    </w:p>
    <w:p w14:paraId="3D10F947" w14:textId="77777777" w:rsidR="00183434" w:rsidRDefault="00993DCC">
      <w:pPr>
        <w:pStyle w:val="a9"/>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2"/>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a9"/>
              <w:spacing w:after="0"/>
              <w:rPr>
                <w:rFonts w:ascii="Times New Roman" w:hAnsi="Times New Roman"/>
                <w:color w:val="FF0000"/>
                <w:szCs w:val="22"/>
                <w:lang w:eastAsia="zh-CN"/>
              </w:rPr>
            </w:pPr>
          </w:p>
        </w:tc>
        <w:tc>
          <w:tcPr>
            <w:tcW w:w="8021" w:type="dxa"/>
          </w:tcPr>
          <w:p w14:paraId="3E35833F" w14:textId="77777777" w:rsidR="00183434" w:rsidRDefault="00183434">
            <w:pPr>
              <w:pStyle w:val="a9"/>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a9"/>
              <w:spacing w:after="0"/>
              <w:rPr>
                <w:rFonts w:ascii="Times New Roman" w:hAnsi="Times New Roman"/>
                <w:szCs w:val="22"/>
                <w:lang w:eastAsia="zh-CN"/>
              </w:rPr>
            </w:pPr>
          </w:p>
        </w:tc>
        <w:tc>
          <w:tcPr>
            <w:tcW w:w="8021" w:type="dxa"/>
          </w:tcPr>
          <w:p w14:paraId="7E76CAC9" w14:textId="77777777" w:rsidR="00183434" w:rsidRDefault="00183434">
            <w:pPr>
              <w:pStyle w:val="a9"/>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a9"/>
              <w:spacing w:after="0" w:line="240" w:lineRule="auto"/>
              <w:rPr>
                <w:rFonts w:ascii="Times New Roman" w:hAnsi="Times New Roman"/>
                <w:szCs w:val="22"/>
                <w:lang w:eastAsia="zh-CN"/>
              </w:rPr>
            </w:pPr>
          </w:p>
        </w:tc>
        <w:tc>
          <w:tcPr>
            <w:tcW w:w="8021" w:type="dxa"/>
          </w:tcPr>
          <w:p w14:paraId="2DC36EF3" w14:textId="77777777" w:rsidR="00183434" w:rsidRDefault="00183434">
            <w:pPr>
              <w:pStyle w:val="a9"/>
              <w:spacing w:after="0" w:line="240" w:lineRule="auto"/>
              <w:rPr>
                <w:rFonts w:ascii="Times New Roman" w:hAnsi="Times New Roman"/>
                <w:szCs w:val="22"/>
                <w:lang w:eastAsia="zh-CN"/>
              </w:rPr>
            </w:pPr>
          </w:p>
        </w:tc>
      </w:tr>
    </w:tbl>
    <w:p w14:paraId="1385B048" w14:textId="77777777" w:rsidR="00183434" w:rsidRDefault="00183434">
      <w:pPr>
        <w:pStyle w:val="a9"/>
        <w:spacing w:after="0"/>
        <w:rPr>
          <w:rFonts w:asciiTheme="minorHAnsi" w:hAnsiTheme="minorHAnsi" w:cstheme="minorHAnsi"/>
          <w:lang w:eastAsia="zh-CN"/>
        </w:rPr>
      </w:pPr>
    </w:p>
    <w:p w14:paraId="0AC87C06" w14:textId="77777777" w:rsidR="00183434" w:rsidRDefault="00993DCC">
      <w:pPr>
        <w:pStyle w:val="2"/>
        <w:rPr>
          <w:lang w:eastAsia="zh-CN"/>
        </w:rPr>
      </w:pPr>
      <w:r>
        <w:rPr>
          <w:lang w:eastAsia="zh-CN"/>
        </w:rPr>
        <w:t>2.4. DMRS</w:t>
      </w:r>
    </w:p>
    <w:p w14:paraId="484A98B1" w14:textId="77777777" w:rsidR="00183434" w:rsidRDefault="00183434">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a9"/>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30" w:name="_Ref68170168"/>
            <w:r>
              <w:t xml:space="preserve">Observation </w:t>
            </w:r>
            <w:r w:rsidR="001842DC">
              <w:fldChar w:fldCharType="begin"/>
            </w:r>
            <w:r w:rsidR="001842DC">
              <w:instrText xml:space="preserve"> SEQ Observation \* ARABIC </w:instrText>
            </w:r>
            <w:r w:rsidR="001842DC">
              <w:fldChar w:fldCharType="separate"/>
            </w:r>
            <w:r>
              <w:t>4</w:t>
            </w:r>
            <w:r w:rsidR="001842DC">
              <w:fldChar w:fldCharType="end"/>
            </w:r>
            <w:r>
              <w:t>:</w:t>
            </w:r>
            <w:bookmarkEnd w:id="130"/>
          </w:p>
          <w:p w14:paraId="54923A72" w14:textId="77777777" w:rsidR="00183434" w:rsidRDefault="00993DCC">
            <w:pPr>
              <w:pStyle w:val="afb"/>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afb"/>
              <w:widowControl w:val="0"/>
              <w:numPr>
                <w:ilvl w:val="0"/>
                <w:numId w:val="25"/>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BE34051" w14:textId="77777777" w:rsidR="00183434" w:rsidRDefault="00993DCC">
            <w:pPr>
              <w:pStyle w:val="afb"/>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afb"/>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a6"/>
              <w:rPr>
                <w:b w:val="0"/>
              </w:rPr>
            </w:pPr>
            <w:bookmarkStart w:id="131"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1"/>
            <w:r>
              <w:rPr>
                <w:b w:val="0"/>
              </w:rPr>
              <w:t xml:space="preserve"> </w:t>
            </w:r>
          </w:p>
          <w:p w14:paraId="573D8539" w14:textId="77777777" w:rsidR="00183434" w:rsidRDefault="00183434">
            <w:pPr>
              <w:pStyle w:val="a9"/>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lastRenderedPageBreak/>
              <w:t>[5, Nokia]</w:t>
            </w:r>
          </w:p>
        </w:tc>
        <w:tc>
          <w:tcPr>
            <w:tcW w:w="8370" w:type="dxa"/>
          </w:tcPr>
          <w:p w14:paraId="4729CCF5" w14:textId="77777777" w:rsidR="00183434" w:rsidRDefault="00993DCC">
            <w:pPr>
              <w:pStyle w:val="a6"/>
              <w:rPr>
                <w:rFonts w:eastAsia="Times New Roman"/>
                <w:b w:val="0"/>
                <w:i/>
                <w:iCs/>
              </w:rPr>
            </w:pPr>
            <w:bookmarkStart w:id="132"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a6"/>
              <w:rPr>
                <w:b w:val="0"/>
                <w:i/>
                <w:iCs/>
              </w:rPr>
            </w:pPr>
            <w:bookmarkStart w:id="133" w:name="_Hlk61849589"/>
            <w:bookmarkEnd w:id="132"/>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a6"/>
              <w:rPr>
                <w:b w:val="0"/>
                <w:i/>
                <w:iCs/>
              </w:rPr>
            </w:pPr>
            <w:bookmarkStart w:id="134" w:name="_Hlk61849605"/>
            <w:bookmarkEnd w:id="133"/>
            <w:r>
              <w:rPr>
                <w:b w:val="0"/>
                <w:i/>
                <w:iCs/>
              </w:rPr>
              <w:t>Observation 19: For rank-2, both type-1 and type-2 DMRS w/o OCC-2 outperfom other DMRS types in BLER performance with SCSs=480 and 960 kHz.</w:t>
            </w:r>
          </w:p>
          <w:p w14:paraId="3C590F73" w14:textId="77777777" w:rsidR="00183434" w:rsidRDefault="00993DCC">
            <w:pPr>
              <w:pStyle w:val="a6"/>
              <w:rPr>
                <w:b w:val="0"/>
                <w:i/>
                <w:iCs/>
              </w:rPr>
            </w:pPr>
            <w:bookmarkStart w:id="135" w:name="_Hlk61849622"/>
            <w:bookmarkEnd w:id="134"/>
            <w:r>
              <w:rPr>
                <w:b w:val="0"/>
                <w:i/>
                <w:iCs/>
              </w:rPr>
              <w:t xml:space="preserve">Observation 20: Type-1 w/o OCC-2 outperforms in BLER performance other DMRS types in the most of the considered cases. </w:t>
            </w:r>
          </w:p>
          <w:p w14:paraId="3FB2700A" w14:textId="77777777" w:rsidR="00183434" w:rsidRDefault="00993DCC">
            <w:pPr>
              <w:pStyle w:val="a6"/>
              <w:rPr>
                <w:b w:val="0"/>
                <w:bCs w:val="0"/>
                <w:i/>
                <w:iCs/>
              </w:rPr>
            </w:pPr>
            <w:bookmarkStart w:id="136" w:name="_Hlk61849637"/>
            <w:bookmarkEnd w:id="135"/>
            <w:r>
              <w:rPr>
                <w:b w:val="0"/>
                <w:i/>
                <w:iCs/>
              </w:rPr>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a6"/>
              <w:rPr>
                <w:b w:val="0"/>
                <w:i/>
                <w:iCs/>
              </w:rPr>
            </w:pPr>
            <w:bookmarkStart w:id="137" w:name="_Hlk61849651"/>
            <w:bookmarkEnd w:id="136"/>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a6"/>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a6"/>
              <w:rPr>
                <w:b w:val="0"/>
                <w:i/>
                <w:iCs/>
              </w:rPr>
            </w:pPr>
            <w:bookmarkStart w:id="138" w:name="_Hlk61849660"/>
            <w:bookmarkEnd w:id="137"/>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a6"/>
              <w:rPr>
                <w:b w:val="0"/>
                <w:bCs w:val="0"/>
                <w:i/>
                <w:iCs/>
              </w:rPr>
            </w:pPr>
            <w:bookmarkStart w:id="139" w:name="_Hlk61849668"/>
            <w:bookmarkStart w:id="140" w:name="_Hlk68078285"/>
            <w:bookmarkEnd w:id="138"/>
            <w:r>
              <w:rPr>
                <w:b w:val="0"/>
                <w:i/>
                <w:iCs/>
              </w:rPr>
              <w:t>Observation 25: It is not feasible to introduce new DMRS type for PUSCH/PDSCH in Rel-17 for above 52.6 GHz.</w:t>
            </w:r>
            <w:bookmarkEnd w:id="139"/>
          </w:p>
          <w:p w14:paraId="2856BDF8" w14:textId="77777777" w:rsidR="00183434" w:rsidRDefault="00993DCC">
            <w:pPr>
              <w:pStyle w:val="a6"/>
              <w:rPr>
                <w:b w:val="0"/>
                <w:i/>
                <w:iCs/>
              </w:rPr>
            </w:pPr>
            <w:bookmarkStart w:id="141" w:name="_Hlk61849698"/>
            <w:bookmarkStart w:id="142" w:name="_Hlk66733819"/>
            <w:bookmarkEnd w:id="140"/>
            <w:r>
              <w:rPr>
                <w:b w:val="0"/>
                <w:i/>
                <w:iCs/>
              </w:rPr>
              <w:t>Proposal 21:</w:t>
            </w:r>
            <w:r>
              <w:rPr>
                <w:b w:val="0"/>
              </w:rPr>
              <w:t xml:space="preserve"> </w:t>
            </w:r>
            <w:r>
              <w:rPr>
                <w:b w:val="0"/>
                <w:i/>
                <w:iCs/>
              </w:rPr>
              <w:t>No additional DMRS pattern is supported in Rel-17 for above 52.6 GHz.</w:t>
            </w:r>
            <w:bookmarkEnd w:id="141"/>
          </w:p>
          <w:p w14:paraId="22C28D04" w14:textId="77777777" w:rsidR="00183434" w:rsidRDefault="00993DCC">
            <w:pPr>
              <w:pStyle w:val="a6"/>
              <w:rPr>
                <w:b w:val="0"/>
                <w:bCs w:val="0"/>
                <w:i/>
                <w:iCs/>
              </w:rPr>
            </w:pPr>
            <w:bookmarkStart w:id="143" w:name="_Hlk68078661"/>
            <w:bookmarkEnd w:id="142"/>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afb"/>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afb"/>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3"/>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t>[7, CATT]</w:t>
            </w:r>
          </w:p>
        </w:tc>
        <w:tc>
          <w:tcPr>
            <w:tcW w:w="8370" w:type="dxa"/>
          </w:tcPr>
          <w:p w14:paraId="38FB59CA" w14:textId="77777777" w:rsidR="00183434" w:rsidRDefault="00993DCC">
            <w:pPr>
              <w:pStyle w:val="a9"/>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[9, Futurewei]</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lastRenderedPageBreak/>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a9"/>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lastRenderedPageBreak/>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afb"/>
              <w:numPr>
                <w:ilvl w:val="0"/>
                <w:numId w:val="17"/>
              </w:numPr>
              <w:rPr>
                <w:rFonts w:ascii="Times New Roman" w:hAnsi="Times New Roman"/>
                <w:bCs/>
                <w:i/>
                <w:iCs/>
                <w:sz w:val="20"/>
                <w:szCs w:val="20"/>
              </w:rPr>
            </w:pPr>
            <w:r>
              <w:rPr>
                <w:rFonts w:ascii="Times New Roman" w:hAnsi="Times New Roman"/>
                <w:bCs/>
                <w:i/>
                <w:iCs/>
                <w:sz w:val="20"/>
                <w:szCs w:val="20"/>
              </w:rPr>
              <w:lastRenderedPageBreak/>
              <w:t>High frequency density of the DM-RS for high SCS for better channel estimation when channel coherence bandwidth is less than the configured SCS</w:t>
            </w:r>
          </w:p>
          <w:p w14:paraId="4FF3B5E7" w14:textId="77777777" w:rsidR="00183434" w:rsidRDefault="00993DCC">
            <w:pPr>
              <w:pStyle w:val="afb"/>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afb"/>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afb"/>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13D3C49C" w14:textId="77777777" w:rsidR="00183434" w:rsidRDefault="00993DCC">
            <w:pPr>
              <w:pStyle w:val="afb"/>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afb"/>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afb"/>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afb"/>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a9"/>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lastRenderedPageBreak/>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a6"/>
              <w:keepNext/>
              <w:jc w:val="center"/>
              <w:rPr>
                <w:b w:val="0"/>
              </w:rPr>
            </w:pPr>
            <w:bookmarkStart w:id="144"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lastRenderedPageBreak/>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a6"/>
              <w:keepNext/>
              <w:jc w:val="center"/>
              <w:rPr>
                <w:b w:val="0"/>
              </w:rPr>
            </w:pPr>
            <w:bookmarkStart w:id="14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afb"/>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afb"/>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6F621005" w14:textId="77777777" w:rsidR="00183434" w:rsidRDefault="00993DCC">
            <w:pPr>
              <w:rPr>
                <w:bCs/>
              </w:rPr>
            </w:pPr>
            <w:bookmarkStart w:id="14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147" w:name="o8to9"/>
            <w:bookmarkEnd w:id="146"/>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148" w:name="p5"/>
            <w:bookmarkEnd w:id="147"/>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a6"/>
              <w:rPr>
                <w:b w:val="0"/>
              </w:rPr>
            </w:pPr>
            <w:bookmarkStart w:id="149" w:name="p6"/>
            <w:bookmarkEnd w:id="148"/>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49"/>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游明朝"/>
                <w:bCs/>
                <w:lang w:eastAsia="ja-JP"/>
              </w:rPr>
            </w:pPr>
            <w:r>
              <w:rPr>
                <w:rFonts w:eastAsia="游明朝"/>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6"/>
              <w:outlineLvl w:val="5"/>
              <w:rPr>
                <w:rFonts w:ascii="Times New Roman" w:hAnsi="Times New Roman"/>
                <w:lang w:eastAsia="zh-CN"/>
              </w:rPr>
            </w:pPr>
            <w:r>
              <w:rPr>
                <w:rFonts w:ascii="Times New Roman" w:hAnsi="Times New Roman"/>
                <w:lang w:eastAsia="zh-CN"/>
              </w:rPr>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游明朝"/>
                <w:bCs/>
                <w:lang w:eastAsia="ja-JP"/>
              </w:rPr>
            </w:pPr>
          </w:p>
        </w:tc>
      </w:tr>
      <w:tr w:rsidR="00183434" w14:paraId="69512C0F" w14:textId="77777777">
        <w:tc>
          <w:tcPr>
            <w:tcW w:w="1818" w:type="dxa"/>
          </w:tcPr>
          <w:p w14:paraId="0C246B68" w14:textId="77777777" w:rsidR="00183434" w:rsidRDefault="00993DCC">
            <w:pPr>
              <w:pStyle w:val="6"/>
              <w:outlineLvl w:val="5"/>
              <w:rPr>
                <w:rFonts w:ascii="Times New Roman" w:hAnsi="Times New Roman"/>
                <w:lang w:eastAsia="zh-CN"/>
              </w:rPr>
            </w:pPr>
            <w:r>
              <w:rPr>
                <w:rFonts w:ascii="Times New Roman" w:hAnsi="Times New Roman"/>
                <w:lang w:eastAsia="zh-CN"/>
              </w:rPr>
              <w:t>[20, CEWiT]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[22, InterDigital]</w:t>
            </w:r>
          </w:p>
        </w:tc>
        <w:tc>
          <w:tcPr>
            <w:tcW w:w="8370" w:type="dxa"/>
          </w:tcPr>
          <w:p w14:paraId="21B4F035" w14:textId="77777777" w:rsidR="00183434" w:rsidRDefault="00993DCC">
            <w:pPr>
              <w:spacing w:after="120" w:line="276" w:lineRule="auto"/>
              <w:rPr>
                <w:bCs/>
                <w:i/>
                <w:iCs/>
              </w:rPr>
            </w:pPr>
            <w:bookmarkStart w:id="150"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151" w:name="_Hlk68605497"/>
            <w:bookmarkEnd w:id="150"/>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152" w:name="_Hlk68605503"/>
            <w:bookmarkEnd w:id="151"/>
            <w:r>
              <w:rPr>
                <w:i/>
                <w:iCs/>
              </w:rPr>
              <w:t>Proposal 2:</w:t>
            </w:r>
            <w:r>
              <w:rPr>
                <w:bCs/>
                <w:i/>
                <w:iCs/>
              </w:rPr>
              <w:t xml:space="preserve"> Support the updated antenna port(s) indication table for enhanced density DM-RS. </w:t>
            </w:r>
          </w:p>
          <w:bookmarkEnd w:id="152"/>
          <w:p w14:paraId="37282768" w14:textId="77777777" w:rsidR="00183434" w:rsidRDefault="00993DCC">
            <w:pPr>
              <w:pStyle w:val="a9"/>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lastRenderedPageBreak/>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a9"/>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6"/>
              <w:outlineLvl w:val="5"/>
              <w:rPr>
                <w:rFonts w:ascii="Times New Roman" w:hAnsi="Times New Roman"/>
                <w:lang w:eastAsia="zh-CN"/>
              </w:rPr>
            </w:pPr>
            <w:r>
              <w:rPr>
                <w:rFonts w:ascii="Times New Roman" w:hAnsi="Times New Roman"/>
                <w:lang w:eastAsia="zh-CN"/>
              </w:rPr>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lastRenderedPageBreak/>
              <w:t>Proposal 1: Do not introduce high-density PDSCH DMRS for 960 kHz SCS.</w:t>
            </w:r>
          </w:p>
          <w:p w14:paraId="7D4EA342" w14:textId="77777777" w:rsidR="00183434" w:rsidRDefault="00183434">
            <w:pPr>
              <w:pStyle w:val="a9"/>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3"/>
        <w:numPr>
          <w:ilvl w:val="2"/>
          <w:numId w:val="28"/>
        </w:numPr>
        <w:rPr>
          <w:lang w:eastAsia="zh-CN"/>
        </w:rPr>
      </w:pPr>
      <w:r>
        <w:rPr>
          <w:lang w:eastAsia="zh-CN"/>
        </w:rPr>
        <w:t xml:space="preserve">Summary on DMRS </w:t>
      </w:r>
    </w:p>
    <w:p w14:paraId="39E48F39" w14:textId="77777777" w:rsidR="00183434" w:rsidRDefault="00183434">
      <w:pPr>
        <w:pStyle w:val="a9"/>
        <w:spacing w:after="0"/>
        <w:rPr>
          <w:rFonts w:ascii="Times New Roman" w:hAnsi="Times New Roman"/>
          <w:szCs w:val="20"/>
          <w:lang w:eastAsia="zh-CN"/>
        </w:rPr>
      </w:pPr>
    </w:p>
    <w:p w14:paraId="10575DC5" w14:textId="77777777" w:rsidR="00183434" w:rsidRDefault="00993DCC">
      <w:pPr>
        <w:pStyle w:val="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68554481" w14:textId="77777777" w:rsidR="00183434" w:rsidRDefault="00993DCC">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5BE90A7A" w14:textId="77777777" w:rsidR="00183434" w:rsidRDefault="00993DCC">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35F223C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a9"/>
        <w:spacing w:after="0"/>
        <w:rPr>
          <w:rFonts w:ascii="Times New Roman" w:hAnsi="Times New Roman"/>
          <w:szCs w:val="20"/>
          <w:lang w:eastAsia="zh-CN"/>
        </w:rPr>
      </w:pPr>
    </w:p>
    <w:p w14:paraId="33F3CA0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a9"/>
        <w:spacing w:after="0"/>
        <w:rPr>
          <w:rFonts w:ascii="Times New Roman" w:hAnsi="Times New Roman"/>
          <w:szCs w:val="20"/>
          <w:lang w:eastAsia="zh-CN"/>
        </w:rPr>
      </w:pPr>
    </w:p>
    <w:p w14:paraId="17C2E157" w14:textId="77777777" w:rsidR="00183434" w:rsidRDefault="00993DCC">
      <w:pPr>
        <w:pStyle w:val="5"/>
      </w:pPr>
      <w:r>
        <w:t xml:space="preserve">Discussion point 4-1: </w:t>
      </w:r>
    </w:p>
    <w:p w14:paraId="2A4B8CD1"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a9"/>
        <w:spacing w:after="0"/>
        <w:rPr>
          <w:rFonts w:ascii="Times New Roman" w:hAnsi="Times New Roman"/>
          <w:szCs w:val="20"/>
          <w:lang w:eastAsia="zh-CN"/>
        </w:rPr>
      </w:pPr>
    </w:p>
    <w:p w14:paraId="74DC58B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581F5E90" w14:textId="77777777">
        <w:trPr>
          <w:trHeight w:val="224"/>
        </w:trPr>
        <w:tc>
          <w:tcPr>
            <w:tcW w:w="1871" w:type="dxa"/>
            <w:shd w:val="clear" w:color="auto" w:fill="FFE599" w:themeFill="accent4" w:themeFillTint="66"/>
          </w:tcPr>
          <w:p w14:paraId="4443BF3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trPr>
          <w:trHeight w:val="339"/>
        </w:trPr>
        <w:tc>
          <w:tcPr>
            <w:tcW w:w="1871" w:type="dxa"/>
          </w:tcPr>
          <w:p w14:paraId="467B955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trPr>
          <w:trHeight w:val="339"/>
        </w:trPr>
        <w:tc>
          <w:tcPr>
            <w:tcW w:w="1871" w:type="dxa"/>
          </w:tcPr>
          <w:p w14:paraId="673F9B9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E416972" w14:textId="77777777" w:rsidR="00183434" w:rsidRDefault="00993DCC">
            <w:pPr>
              <w:pStyle w:val="a9"/>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7E76EF9C" w14:textId="77777777" w:rsidR="00183434" w:rsidRDefault="00993DCC">
            <w:pPr>
              <w:pStyle w:val="a9"/>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trPr>
          <w:trHeight w:val="339"/>
        </w:trPr>
        <w:tc>
          <w:tcPr>
            <w:tcW w:w="1871" w:type="dxa"/>
          </w:tcPr>
          <w:p w14:paraId="48462C7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4724159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trPr>
          <w:trHeight w:val="339"/>
        </w:trPr>
        <w:tc>
          <w:tcPr>
            <w:tcW w:w="1871" w:type="dxa"/>
          </w:tcPr>
          <w:p w14:paraId="59B4A755" w14:textId="11778F10" w:rsidR="0068409F" w:rsidRDefault="0068409F" w:rsidP="0068409F">
            <w:pPr>
              <w:pStyle w:val="a9"/>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a9"/>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trPr>
          <w:trHeight w:val="339"/>
        </w:trPr>
        <w:tc>
          <w:tcPr>
            <w:tcW w:w="1871" w:type="dxa"/>
          </w:tcPr>
          <w:p w14:paraId="02AA03A3" w14:textId="5744F52C" w:rsidR="00022550" w:rsidRPr="08B4836B" w:rsidRDefault="00022550" w:rsidP="00022550">
            <w:pPr>
              <w:pStyle w:val="a9"/>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F5A2B40" w14:textId="0B7E78F9" w:rsidR="00022550" w:rsidRPr="08B4836B" w:rsidRDefault="00022550" w:rsidP="00022550">
            <w:pPr>
              <w:pStyle w:val="a9"/>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trPr>
          <w:trHeight w:val="339"/>
        </w:trPr>
        <w:tc>
          <w:tcPr>
            <w:tcW w:w="1871" w:type="dxa"/>
          </w:tcPr>
          <w:p w14:paraId="40F3B2CC" w14:textId="434CEA97"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trPr>
          <w:trHeight w:val="339"/>
        </w:trPr>
        <w:tc>
          <w:tcPr>
            <w:tcW w:w="1871" w:type="dxa"/>
          </w:tcPr>
          <w:p w14:paraId="389C96C3" w14:textId="54FE79C1" w:rsidR="009902C9" w:rsidRPr="009902C9" w:rsidRDefault="009902C9" w:rsidP="000A38B5">
            <w:pPr>
              <w:pStyle w:val="a9"/>
              <w:spacing w:after="0" w:line="240" w:lineRule="auto"/>
              <w:rPr>
                <w:rFonts w:ascii="Times New Roman" w:hAnsi="Times New Roman" w:hint="eastAsia"/>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zh-CN"/>
              </w:rPr>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a9"/>
              <w:spacing w:after="0" w:line="240" w:lineRule="auto"/>
              <w:rPr>
                <w:rFonts w:ascii="Times New Roman" w:hAnsi="Times New Roman"/>
                <w:szCs w:val="20"/>
                <w:lang w:eastAsia="zh-CN"/>
              </w:rPr>
            </w:pPr>
          </w:p>
          <w:p w14:paraId="4CA7EC83" w14:textId="77777777" w:rsidR="009902C9" w:rsidRDefault="009902C9" w:rsidP="005B25C9">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a9"/>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a9"/>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a9"/>
              <w:spacing w:after="0" w:line="240" w:lineRule="auto"/>
              <w:rPr>
                <w:rFonts w:ascii="Times New Roman" w:hAnsi="Times New Roman"/>
                <w:szCs w:val="20"/>
                <w:lang w:eastAsia="zh-CN"/>
              </w:rPr>
            </w:pPr>
          </w:p>
          <w:p w14:paraId="2D83DC56" w14:textId="77777777" w:rsidR="005B25C9" w:rsidRDefault="005B25C9" w:rsidP="005B25C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a9"/>
              <w:spacing w:after="0" w:line="240" w:lineRule="auto"/>
              <w:rPr>
                <w:rFonts w:ascii="Times New Roman" w:hAnsi="Times New Roman" w:hint="eastAsia"/>
                <w:szCs w:val="20"/>
                <w:lang w:eastAsia="zh-CN"/>
              </w:rPr>
            </w:pPr>
            <w:r>
              <w:rPr>
                <w:rFonts w:ascii="Times New Roman" w:hAnsi="Times New Roman"/>
                <w:szCs w:val="20"/>
                <w:lang w:eastAsia="zh-CN"/>
              </w:rPr>
              <w:lastRenderedPageBreak/>
              <w:t xml:space="preserve"> </w:t>
            </w:r>
          </w:p>
        </w:tc>
      </w:tr>
    </w:tbl>
    <w:p w14:paraId="03AB9E70" w14:textId="36A89FDE" w:rsidR="00183434" w:rsidRDefault="00183434">
      <w:pPr>
        <w:pStyle w:val="a9"/>
        <w:spacing w:after="0"/>
        <w:ind w:left="720"/>
        <w:jc w:val="left"/>
        <w:rPr>
          <w:rFonts w:ascii="Times New Roman" w:hAnsi="Times New Roman"/>
          <w:szCs w:val="20"/>
          <w:lang w:val="en-GB" w:eastAsia="zh-CN"/>
        </w:rPr>
      </w:pPr>
    </w:p>
    <w:p w14:paraId="69E9D93F" w14:textId="77777777" w:rsidR="00183434" w:rsidRDefault="00183434"/>
    <w:p w14:paraId="4B402652" w14:textId="77777777" w:rsidR="00183434" w:rsidRDefault="00993DCC">
      <w:pPr>
        <w:pStyle w:val="4"/>
        <w:numPr>
          <w:ilvl w:val="3"/>
          <w:numId w:val="28"/>
        </w:numPr>
      </w:pPr>
      <w:r>
        <w:t>Frequency domain OCC</w:t>
      </w:r>
    </w:p>
    <w:p w14:paraId="770AE8DC" w14:textId="77777777" w:rsidR="00183434" w:rsidRDefault="00993DCC">
      <w:pPr>
        <w:pStyle w:val="a9"/>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a9"/>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a9"/>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a9"/>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a9"/>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a9"/>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lastRenderedPageBreak/>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0629EB6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a9"/>
        <w:spacing w:after="0"/>
        <w:rPr>
          <w:rFonts w:ascii="Times New Roman" w:hAnsi="Times New Roman"/>
          <w:szCs w:val="20"/>
          <w:lang w:eastAsia="zh-CN"/>
        </w:rPr>
      </w:pPr>
    </w:p>
    <w:p w14:paraId="5FF99B1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a9"/>
        <w:spacing w:after="0"/>
        <w:rPr>
          <w:rFonts w:ascii="Times New Roman" w:hAnsi="Times New Roman"/>
          <w:szCs w:val="20"/>
          <w:lang w:eastAsia="zh-CN"/>
        </w:rPr>
      </w:pPr>
    </w:p>
    <w:p w14:paraId="084CF0CF" w14:textId="77777777" w:rsidR="00183434" w:rsidRDefault="00993DCC">
      <w:pPr>
        <w:pStyle w:val="5"/>
      </w:pPr>
      <w:r>
        <w:t xml:space="preserve">Proposal 4-2: </w:t>
      </w:r>
    </w:p>
    <w:p w14:paraId="0ABEE169" w14:textId="77777777" w:rsidR="00183434" w:rsidRDefault="00993DCC">
      <w:pPr>
        <w:pStyle w:val="afb"/>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afb"/>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afb"/>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a9"/>
        <w:spacing w:after="0"/>
        <w:rPr>
          <w:rFonts w:ascii="Times New Roman" w:hAnsi="Times New Roman"/>
          <w:szCs w:val="20"/>
          <w:lang w:eastAsia="zh-CN"/>
        </w:rPr>
      </w:pPr>
    </w:p>
    <w:p w14:paraId="56FC4424"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3FF6210E" w14:textId="77777777">
        <w:trPr>
          <w:trHeight w:val="224"/>
        </w:trPr>
        <w:tc>
          <w:tcPr>
            <w:tcW w:w="1871" w:type="dxa"/>
            <w:shd w:val="clear" w:color="auto" w:fill="FFE599" w:themeFill="accent4" w:themeFillTint="66"/>
          </w:tcPr>
          <w:p w14:paraId="26CF0F3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trPr>
          <w:trHeight w:val="339"/>
        </w:trPr>
        <w:tc>
          <w:tcPr>
            <w:tcW w:w="1871" w:type="dxa"/>
          </w:tcPr>
          <w:p w14:paraId="605EFEE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trPr>
          <w:trHeight w:val="339"/>
        </w:trPr>
        <w:tc>
          <w:tcPr>
            <w:tcW w:w="1871" w:type="dxa"/>
          </w:tcPr>
          <w:p w14:paraId="536EBBC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A26CBFC"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trPr>
          <w:trHeight w:val="339"/>
        </w:trPr>
        <w:tc>
          <w:tcPr>
            <w:tcW w:w="1871" w:type="dxa"/>
          </w:tcPr>
          <w:p w14:paraId="6260254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83177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trPr>
          <w:trHeight w:val="339"/>
        </w:trPr>
        <w:tc>
          <w:tcPr>
            <w:tcW w:w="1871" w:type="dxa"/>
          </w:tcPr>
          <w:p w14:paraId="63ED864E" w14:textId="2BDBC2AB" w:rsidR="0068409F" w:rsidRDefault="0068409F" w:rsidP="0068409F">
            <w:pPr>
              <w:pStyle w:val="a9"/>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a9"/>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afb"/>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afb"/>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a9"/>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trPr>
          <w:trHeight w:val="339"/>
        </w:trPr>
        <w:tc>
          <w:tcPr>
            <w:tcW w:w="1871" w:type="dxa"/>
          </w:tcPr>
          <w:p w14:paraId="6FB50258" w14:textId="742D9D64" w:rsidR="00022550" w:rsidRPr="08B4836B" w:rsidRDefault="00022550" w:rsidP="00022550">
            <w:pPr>
              <w:pStyle w:val="a9"/>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E27EE38" w14:textId="14FC0070" w:rsidR="00022550" w:rsidRPr="08B4836B" w:rsidRDefault="00022550" w:rsidP="00022550">
            <w:pPr>
              <w:pStyle w:val="a9"/>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0A38B5" w14:paraId="35976D41" w14:textId="77777777">
        <w:trPr>
          <w:trHeight w:val="339"/>
        </w:trPr>
        <w:tc>
          <w:tcPr>
            <w:tcW w:w="1871" w:type="dxa"/>
          </w:tcPr>
          <w:p w14:paraId="4A17247B" w14:textId="51AEEBE7"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74DF4CEF" w14:textId="3E9CE093"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trPr>
          <w:trHeight w:val="339"/>
        </w:trPr>
        <w:tc>
          <w:tcPr>
            <w:tcW w:w="1871" w:type="dxa"/>
          </w:tcPr>
          <w:p w14:paraId="6E356838" w14:textId="033BA873" w:rsidR="005B25C9" w:rsidRPr="005B25C9" w:rsidRDefault="005B25C9" w:rsidP="000A38B5">
            <w:pPr>
              <w:pStyle w:val="a9"/>
              <w:spacing w:after="0" w:line="240" w:lineRule="auto"/>
              <w:rPr>
                <w:rFonts w:ascii="Times New Roman" w:hAnsi="Times New Roman" w:hint="eastAsia"/>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a9"/>
              <w:spacing w:after="0" w:line="240" w:lineRule="auto"/>
              <w:rPr>
                <w:rFonts w:ascii="Times New Roman" w:hAnsi="Times New Roman" w:hint="eastAsia"/>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bl>
    <w:p w14:paraId="2494F27C" w14:textId="77777777" w:rsidR="00183434" w:rsidRDefault="00183434">
      <w:pPr>
        <w:pStyle w:val="a9"/>
        <w:spacing w:after="0"/>
        <w:ind w:left="720"/>
        <w:jc w:val="left"/>
        <w:rPr>
          <w:rFonts w:ascii="Times New Roman" w:hAnsi="Times New Roman"/>
          <w:szCs w:val="20"/>
          <w:lang w:val="en-GB" w:eastAsia="zh-CN"/>
        </w:rPr>
      </w:pPr>
    </w:p>
    <w:p w14:paraId="01273347" w14:textId="77777777" w:rsidR="00183434" w:rsidRDefault="00183434">
      <w:bookmarkStart w:id="153" w:name="_GoBack"/>
      <w:bookmarkEnd w:id="153"/>
    </w:p>
    <w:p w14:paraId="57E6CF0F" w14:textId="77777777" w:rsidR="00183434" w:rsidRDefault="00993DCC">
      <w:pPr>
        <w:pStyle w:val="4"/>
        <w:numPr>
          <w:ilvl w:val="3"/>
          <w:numId w:val="28"/>
        </w:numPr>
      </w:pPr>
      <w:r>
        <w:lastRenderedPageBreak/>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a9"/>
        <w:spacing w:after="0"/>
        <w:rPr>
          <w:rFonts w:ascii="Times New Roman" w:hAnsi="Times New Roman"/>
          <w:szCs w:val="20"/>
          <w:lang w:eastAsia="zh-CN"/>
        </w:rPr>
      </w:pPr>
    </w:p>
    <w:p w14:paraId="26E272FC" w14:textId="77777777" w:rsidR="00183434" w:rsidRDefault="00993DCC">
      <w:pPr>
        <w:pStyle w:val="5"/>
      </w:pPr>
      <w:r>
        <w:t xml:space="preserve">Discussion point 4-3: </w:t>
      </w:r>
    </w:p>
    <w:p w14:paraId="58620729" w14:textId="77777777" w:rsidR="00183434" w:rsidRDefault="00993DCC">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a9"/>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a9"/>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a9"/>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a9"/>
        <w:spacing w:after="0"/>
        <w:rPr>
          <w:rFonts w:ascii="Times New Roman" w:hAnsi="Times New Roman"/>
          <w:szCs w:val="20"/>
          <w:lang w:eastAsia="zh-CN"/>
        </w:rPr>
      </w:pPr>
    </w:p>
    <w:p w14:paraId="3C96F073" w14:textId="77777777" w:rsidR="00183434" w:rsidRDefault="00183434">
      <w:pPr>
        <w:pStyle w:val="a9"/>
        <w:spacing w:after="0"/>
        <w:rPr>
          <w:rFonts w:ascii="Times New Roman" w:hAnsi="Times New Roman"/>
          <w:szCs w:val="20"/>
          <w:lang w:eastAsia="zh-CN"/>
        </w:rPr>
      </w:pPr>
    </w:p>
    <w:p w14:paraId="05934EE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183434" w14:paraId="62A1E0E7" w14:textId="77777777">
        <w:trPr>
          <w:trHeight w:val="224"/>
        </w:trPr>
        <w:tc>
          <w:tcPr>
            <w:tcW w:w="1871" w:type="dxa"/>
            <w:shd w:val="clear" w:color="auto" w:fill="FFE599" w:themeFill="accent4" w:themeFillTint="66"/>
          </w:tcPr>
          <w:p w14:paraId="7F47000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trPr>
          <w:trHeight w:val="339"/>
        </w:trPr>
        <w:tc>
          <w:tcPr>
            <w:tcW w:w="1871" w:type="dxa"/>
          </w:tcPr>
          <w:p w14:paraId="773DE850"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a9"/>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a9"/>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trPr>
          <w:trHeight w:val="339"/>
        </w:trPr>
        <w:tc>
          <w:tcPr>
            <w:tcW w:w="1871" w:type="dxa"/>
          </w:tcPr>
          <w:p w14:paraId="0C00D88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7F3E2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trPr>
          <w:trHeight w:val="339"/>
        </w:trPr>
        <w:tc>
          <w:tcPr>
            <w:tcW w:w="1871" w:type="dxa"/>
          </w:tcPr>
          <w:p w14:paraId="3F86493C"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B446E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trPr>
          <w:trHeight w:val="339"/>
        </w:trPr>
        <w:tc>
          <w:tcPr>
            <w:tcW w:w="1871" w:type="dxa"/>
          </w:tcPr>
          <w:p w14:paraId="5A18C5FA" w14:textId="746E8848" w:rsidR="0068409F" w:rsidRDefault="0068409F" w:rsidP="0068409F">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a9"/>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trPr>
          <w:trHeight w:val="339"/>
        </w:trPr>
        <w:tc>
          <w:tcPr>
            <w:tcW w:w="1871" w:type="dxa"/>
          </w:tcPr>
          <w:p w14:paraId="6F3C6B18" w14:textId="50DBC0C3"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BE5615D" w14:textId="197EE99C"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w:t>
            </w:r>
            <w:r>
              <w:rPr>
                <w:rFonts w:ascii="Times New Roman" w:hAnsi="Times New Roman"/>
                <w:szCs w:val="20"/>
                <w:lang w:eastAsia="zh-CN"/>
              </w:rPr>
              <w:lastRenderedPageBreak/>
              <w:t>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bl>
    <w:p w14:paraId="14F887FC" w14:textId="77777777" w:rsidR="00183434" w:rsidRDefault="00183434">
      <w:pPr>
        <w:pStyle w:val="a9"/>
        <w:spacing w:after="0"/>
        <w:ind w:left="720"/>
        <w:jc w:val="left"/>
        <w:rPr>
          <w:rFonts w:ascii="Times New Roman" w:hAnsi="Times New Roman"/>
          <w:szCs w:val="20"/>
          <w:lang w:val="en-GB" w:eastAsia="zh-CN"/>
        </w:rPr>
      </w:pPr>
    </w:p>
    <w:p w14:paraId="1D858BC4" w14:textId="77777777" w:rsidR="00183434" w:rsidRDefault="00183434">
      <w:pPr>
        <w:rPr>
          <w:lang w:val="en-GB"/>
        </w:rPr>
      </w:pPr>
    </w:p>
    <w:p w14:paraId="274FA10A" w14:textId="77777777" w:rsidR="00183434" w:rsidRDefault="00993DCC">
      <w:pPr>
        <w:pStyle w:val="4"/>
        <w:numPr>
          <w:ilvl w:val="3"/>
          <w:numId w:val="28"/>
        </w:numPr>
      </w:pPr>
      <w:r>
        <w:t>Dual-purpose RS</w:t>
      </w:r>
    </w:p>
    <w:p w14:paraId="34E1D75F" w14:textId="77777777" w:rsidR="00183434" w:rsidRDefault="00993DCC">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a9"/>
        <w:spacing w:after="0"/>
        <w:rPr>
          <w:rFonts w:ascii="Times New Roman" w:hAnsi="Times New Roman"/>
          <w:szCs w:val="20"/>
          <w:lang w:eastAsia="zh-CN"/>
        </w:rPr>
      </w:pPr>
    </w:p>
    <w:p w14:paraId="5D292EE9" w14:textId="77777777" w:rsidR="00183434" w:rsidRDefault="00183434">
      <w:pPr>
        <w:pStyle w:val="a9"/>
        <w:spacing w:after="0"/>
        <w:rPr>
          <w:rFonts w:ascii="Times New Roman" w:hAnsi="Times New Roman"/>
          <w:szCs w:val="20"/>
          <w:lang w:eastAsia="zh-CN"/>
        </w:rPr>
      </w:pPr>
    </w:p>
    <w:p w14:paraId="0FF981E8"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919498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183434" w14:paraId="3A323DA0" w14:textId="77777777">
        <w:trPr>
          <w:trHeight w:val="339"/>
        </w:trPr>
        <w:tc>
          <w:tcPr>
            <w:tcW w:w="1871" w:type="dxa"/>
          </w:tcPr>
          <w:p w14:paraId="35FFB629" w14:textId="77777777" w:rsidR="00183434" w:rsidRDefault="00183434">
            <w:pPr>
              <w:pStyle w:val="a9"/>
              <w:spacing w:before="0" w:after="0" w:line="240" w:lineRule="auto"/>
              <w:rPr>
                <w:rFonts w:ascii="Times New Roman" w:hAnsi="Times New Roman"/>
                <w:szCs w:val="20"/>
                <w:lang w:eastAsia="zh-CN"/>
              </w:rPr>
            </w:pPr>
          </w:p>
        </w:tc>
        <w:tc>
          <w:tcPr>
            <w:tcW w:w="8021" w:type="dxa"/>
          </w:tcPr>
          <w:p w14:paraId="2DFC1159" w14:textId="77777777" w:rsidR="00183434" w:rsidRDefault="00183434">
            <w:pPr>
              <w:pStyle w:val="a9"/>
              <w:spacing w:before="0" w:after="0" w:line="240" w:lineRule="auto"/>
              <w:rPr>
                <w:rFonts w:ascii="Times New Roman" w:hAnsi="Times New Roman"/>
                <w:szCs w:val="20"/>
                <w:lang w:eastAsia="zh-CN"/>
              </w:rPr>
            </w:pPr>
          </w:p>
        </w:tc>
      </w:tr>
      <w:tr w:rsidR="00183434" w14:paraId="40B78818" w14:textId="77777777">
        <w:trPr>
          <w:trHeight w:val="339"/>
        </w:trPr>
        <w:tc>
          <w:tcPr>
            <w:tcW w:w="1871" w:type="dxa"/>
          </w:tcPr>
          <w:p w14:paraId="3473091A" w14:textId="77777777" w:rsidR="00183434" w:rsidRDefault="00183434">
            <w:pPr>
              <w:pStyle w:val="a9"/>
              <w:spacing w:before="0" w:after="0" w:line="240" w:lineRule="auto"/>
              <w:rPr>
                <w:rFonts w:ascii="Times New Roman" w:hAnsi="Times New Roman"/>
                <w:szCs w:val="20"/>
                <w:lang w:eastAsia="zh-CN"/>
              </w:rPr>
            </w:pPr>
          </w:p>
        </w:tc>
        <w:tc>
          <w:tcPr>
            <w:tcW w:w="8021" w:type="dxa"/>
          </w:tcPr>
          <w:p w14:paraId="3C310C74" w14:textId="77777777" w:rsidR="00183434" w:rsidRDefault="00183434">
            <w:pPr>
              <w:pStyle w:val="a9"/>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4"/>
        <w:numPr>
          <w:ilvl w:val="3"/>
          <w:numId w:val="28"/>
        </w:numPr>
      </w:pPr>
      <w:r>
        <w:t>Other issue(s)</w:t>
      </w:r>
    </w:p>
    <w:p w14:paraId="552DE084" w14:textId="77777777" w:rsidR="00183434" w:rsidRDefault="00993DCC">
      <w:pPr>
        <w:pStyle w:val="a9"/>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2"/>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a9"/>
              <w:spacing w:after="0"/>
              <w:rPr>
                <w:rFonts w:ascii="Times New Roman" w:hAnsi="Times New Roman"/>
                <w:color w:val="FF0000"/>
                <w:szCs w:val="22"/>
                <w:lang w:eastAsia="zh-CN"/>
              </w:rPr>
            </w:pPr>
          </w:p>
        </w:tc>
        <w:tc>
          <w:tcPr>
            <w:tcW w:w="8021" w:type="dxa"/>
          </w:tcPr>
          <w:p w14:paraId="1811D425" w14:textId="77777777" w:rsidR="00183434" w:rsidRDefault="00183434">
            <w:pPr>
              <w:pStyle w:val="a9"/>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a9"/>
              <w:spacing w:after="0"/>
              <w:rPr>
                <w:rFonts w:ascii="Times New Roman" w:hAnsi="Times New Roman"/>
                <w:szCs w:val="22"/>
                <w:lang w:eastAsia="zh-CN"/>
              </w:rPr>
            </w:pPr>
          </w:p>
        </w:tc>
        <w:tc>
          <w:tcPr>
            <w:tcW w:w="8021" w:type="dxa"/>
          </w:tcPr>
          <w:p w14:paraId="47D56471" w14:textId="77777777" w:rsidR="00183434" w:rsidRDefault="00183434">
            <w:pPr>
              <w:pStyle w:val="a9"/>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a9"/>
              <w:spacing w:after="0" w:line="240" w:lineRule="auto"/>
              <w:rPr>
                <w:rFonts w:ascii="Times New Roman" w:hAnsi="Times New Roman"/>
                <w:szCs w:val="22"/>
                <w:lang w:eastAsia="zh-CN"/>
              </w:rPr>
            </w:pPr>
          </w:p>
        </w:tc>
        <w:tc>
          <w:tcPr>
            <w:tcW w:w="8021" w:type="dxa"/>
          </w:tcPr>
          <w:p w14:paraId="1A4FB899" w14:textId="77777777" w:rsidR="00183434" w:rsidRDefault="00183434">
            <w:pPr>
              <w:pStyle w:val="a9"/>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1"/>
        <w:numPr>
          <w:ilvl w:val="0"/>
          <w:numId w:val="5"/>
        </w:numPr>
        <w:ind w:left="360"/>
        <w:rPr>
          <w:rFonts w:cs="Arial"/>
          <w:sz w:val="32"/>
          <w:szCs w:val="32"/>
        </w:rPr>
      </w:pPr>
      <w:r>
        <w:rPr>
          <w:rFonts w:cs="Arial"/>
          <w:sz w:val="32"/>
          <w:szCs w:val="32"/>
        </w:rPr>
        <w:lastRenderedPageBreak/>
        <w:t>Conclusion</w:t>
      </w:r>
    </w:p>
    <w:p w14:paraId="0DF6D518" w14:textId="77777777" w:rsidR="00183434" w:rsidRDefault="00993DCC">
      <w:pPr>
        <w:rPr>
          <w:lang w:val="en-GB"/>
        </w:rPr>
      </w:pPr>
      <w:r>
        <w:rPr>
          <w:lang w:val="en-GB"/>
        </w:rPr>
        <w:t>TBD</w:t>
      </w:r>
    </w:p>
    <w:p w14:paraId="5159C2D9" w14:textId="77777777" w:rsidR="00183434" w:rsidRDefault="00183434">
      <w:pPr>
        <w:pStyle w:val="afb"/>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afb"/>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afb"/>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1"/>
        <w:textAlignment w:val="auto"/>
        <w:rPr>
          <w:rFonts w:cs="Arial"/>
          <w:sz w:val="32"/>
          <w:szCs w:val="32"/>
          <w:lang w:val="en-US"/>
        </w:rPr>
      </w:pPr>
      <w:r>
        <w:rPr>
          <w:rFonts w:cs="Arial"/>
          <w:sz w:val="32"/>
          <w:szCs w:val="32"/>
          <w:lang w:val="en-US"/>
        </w:rPr>
        <w:t>Reference</w:t>
      </w:r>
    </w:p>
    <w:p w14:paraId="0A12B3E7" w14:textId="77777777" w:rsidR="00183434" w:rsidRDefault="00C752C4">
      <w:pPr>
        <w:pStyle w:val="afb"/>
        <w:numPr>
          <w:ilvl w:val="0"/>
          <w:numId w:val="31"/>
        </w:numPr>
        <w:ind w:left="540" w:hanging="540"/>
        <w:rPr>
          <w:rFonts w:ascii="Times New Roman" w:hAnsi="Times New Roman"/>
          <w:sz w:val="20"/>
          <w:szCs w:val="20"/>
        </w:rPr>
      </w:pPr>
      <w:hyperlink r:id="rId22" w:history="1">
        <w:r w:rsidR="00993DCC">
          <w:rPr>
            <w:rStyle w:val="af8"/>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Huawei, HiSilicon</w:t>
      </w:r>
    </w:p>
    <w:p w14:paraId="0A8C600A" w14:textId="77777777" w:rsidR="00183434" w:rsidRDefault="00C752C4">
      <w:pPr>
        <w:pStyle w:val="afb"/>
        <w:numPr>
          <w:ilvl w:val="0"/>
          <w:numId w:val="31"/>
        </w:numPr>
        <w:ind w:left="540" w:hanging="540"/>
        <w:rPr>
          <w:rFonts w:ascii="Times New Roman" w:hAnsi="Times New Roman"/>
          <w:sz w:val="20"/>
          <w:szCs w:val="20"/>
        </w:rPr>
      </w:pPr>
      <w:hyperlink r:id="rId23" w:history="1">
        <w:r w:rsidR="00993DCC">
          <w:rPr>
            <w:rStyle w:val="af8"/>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C752C4">
      <w:pPr>
        <w:pStyle w:val="afb"/>
        <w:numPr>
          <w:ilvl w:val="0"/>
          <w:numId w:val="31"/>
        </w:numPr>
        <w:ind w:left="540" w:hanging="540"/>
        <w:rPr>
          <w:rFonts w:ascii="Times New Roman" w:hAnsi="Times New Roman"/>
          <w:sz w:val="20"/>
          <w:szCs w:val="20"/>
        </w:rPr>
      </w:pPr>
      <w:hyperlink r:id="rId24" w:history="1">
        <w:r w:rsidR="00993DCC">
          <w:rPr>
            <w:rStyle w:val="af8"/>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t>Spreadtrum Communications</w:t>
      </w:r>
    </w:p>
    <w:p w14:paraId="17B1B606" w14:textId="77777777" w:rsidR="00183434" w:rsidRDefault="00C752C4">
      <w:pPr>
        <w:pStyle w:val="afb"/>
        <w:numPr>
          <w:ilvl w:val="0"/>
          <w:numId w:val="31"/>
        </w:numPr>
        <w:ind w:left="540" w:hanging="540"/>
        <w:rPr>
          <w:rFonts w:ascii="Times New Roman" w:hAnsi="Times New Roman"/>
          <w:sz w:val="20"/>
          <w:szCs w:val="20"/>
        </w:rPr>
      </w:pPr>
      <w:hyperlink r:id="rId25" w:history="1">
        <w:r w:rsidR="00993DCC">
          <w:rPr>
            <w:rStyle w:val="af8"/>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C752C4">
      <w:pPr>
        <w:pStyle w:val="afb"/>
        <w:numPr>
          <w:ilvl w:val="0"/>
          <w:numId w:val="31"/>
        </w:numPr>
        <w:ind w:left="540" w:hanging="540"/>
        <w:rPr>
          <w:rFonts w:ascii="Times New Roman" w:hAnsi="Times New Roman"/>
          <w:sz w:val="20"/>
          <w:szCs w:val="20"/>
        </w:rPr>
      </w:pPr>
      <w:hyperlink r:id="rId26" w:history="1">
        <w:r w:rsidR="00993DCC">
          <w:rPr>
            <w:rStyle w:val="af8"/>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C752C4">
      <w:pPr>
        <w:pStyle w:val="afb"/>
        <w:numPr>
          <w:ilvl w:val="0"/>
          <w:numId w:val="31"/>
        </w:numPr>
        <w:ind w:left="540" w:hanging="540"/>
        <w:rPr>
          <w:rFonts w:ascii="Times New Roman" w:hAnsi="Times New Roman"/>
          <w:sz w:val="20"/>
          <w:szCs w:val="20"/>
        </w:rPr>
      </w:pPr>
      <w:hyperlink r:id="rId27" w:history="1">
        <w:r w:rsidR="00993DCC">
          <w:rPr>
            <w:rStyle w:val="af8"/>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C752C4">
      <w:pPr>
        <w:pStyle w:val="afb"/>
        <w:numPr>
          <w:ilvl w:val="0"/>
          <w:numId w:val="31"/>
        </w:numPr>
        <w:ind w:left="540" w:hanging="540"/>
        <w:rPr>
          <w:rFonts w:ascii="Times New Roman" w:hAnsi="Times New Roman"/>
          <w:sz w:val="20"/>
          <w:szCs w:val="20"/>
        </w:rPr>
      </w:pPr>
      <w:hyperlink r:id="rId28" w:history="1">
        <w:r w:rsidR="00993DCC">
          <w:rPr>
            <w:rStyle w:val="af8"/>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C752C4">
      <w:pPr>
        <w:pStyle w:val="afb"/>
        <w:numPr>
          <w:ilvl w:val="0"/>
          <w:numId w:val="31"/>
        </w:numPr>
        <w:ind w:left="540" w:hanging="540"/>
        <w:rPr>
          <w:rFonts w:ascii="Times New Roman" w:hAnsi="Times New Roman"/>
          <w:sz w:val="20"/>
          <w:szCs w:val="20"/>
        </w:rPr>
      </w:pPr>
      <w:hyperlink r:id="rId29" w:history="1">
        <w:r w:rsidR="00993DCC">
          <w:rPr>
            <w:rStyle w:val="af8"/>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C752C4">
      <w:pPr>
        <w:pStyle w:val="afb"/>
        <w:numPr>
          <w:ilvl w:val="0"/>
          <w:numId w:val="31"/>
        </w:numPr>
        <w:ind w:left="540" w:hanging="540"/>
        <w:rPr>
          <w:rFonts w:ascii="Times New Roman" w:hAnsi="Times New Roman"/>
          <w:sz w:val="20"/>
          <w:szCs w:val="20"/>
        </w:rPr>
      </w:pPr>
      <w:hyperlink r:id="rId30" w:history="1">
        <w:r w:rsidR="00993DCC">
          <w:rPr>
            <w:rStyle w:val="af8"/>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C752C4">
      <w:pPr>
        <w:pStyle w:val="afb"/>
        <w:numPr>
          <w:ilvl w:val="0"/>
          <w:numId w:val="31"/>
        </w:numPr>
        <w:ind w:left="540" w:hanging="540"/>
        <w:rPr>
          <w:rFonts w:ascii="Times New Roman" w:hAnsi="Times New Roman"/>
          <w:sz w:val="20"/>
          <w:szCs w:val="20"/>
        </w:rPr>
      </w:pPr>
      <w:hyperlink r:id="rId31" w:history="1">
        <w:r w:rsidR="00993DCC">
          <w:rPr>
            <w:rStyle w:val="af8"/>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C752C4">
      <w:pPr>
        <w:pStyle w:val="afb"/>
        <w:numPr>
          <w:ilvl w:val="0"/>
          <w:numId w:val="31"/>
        </w:numPr>
        <w:ind w:left="540" w:hanging="540"/>
        <w:rPr>
          <w:rFonts w:ascii="Times New Roman" w:hAnsi="Times New Roman"/>
          <w:sz w:val="20"/>
          <w:szCs w:val="20"/>
        </w:rPr>
      </w:pPr>
      <w:hyperlink r:id="rId32" w:history="1">
        <w:r w:rsidR="00993DCC">
          <w:rPr>
            <w:rStyle w:val="af8"/>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C752C4">
      <w:pPr>
        <w:pStyle w:val="afb"/>
        <w:numPr>
          <w:ilvl w:val="0"/>
          <w:numId w:val="31"/>
        </w:numPr>
        <w:ind w:left="540" w:hanging="540"/>
        <w:rPr>
          <w:rFonts w:ascii="Times New Roman" w:hAnsi="Times New Roman"/>
          <w:sz w:val="20"/>
          <w:szCs w:val="20"/>
        </w:rPr>
      </w:pPr>
      <w:hyperlink r:id="rId33" w:history="1">
        <w:r w:rsidR="00993DCC">
          <w:rPr>
            <w:rStyle w:val="af8"/>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C752C4">
      <w:pPr>
        <w:pStyle w:val="afb"/>
        <w:numPr>
          <w:ilvl w:val="0"/>
          <w:numId w:val="31"/>
        </w:numPr>
        <w:ind w:left="540" w:hanging="540"/>
        <w:rPr>
          <w:rFonts w:ascii="Times New Roman" w:hAnsi="Times New Roman"/>
          <w:sz w:val="20"/>
          <w:szCs w:val="20"/>
        </w:rPr>
      </w:pPr>
      <w:hyperlink r:id="rId34" w:history="1">
        <w:r w:rsidR="00993DCC">
          <w:rPr>
            <w:rStyle w:val="af8"/>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C752C4">
      <w:pPr>
        <w:pStyle w:val="afb"/>
        <w:numPr>
          <w:ilvl w:val="0"/>
          <w:numId w:val="31"/>
        </w:numPr>
        <w:ind w:left="540" w:hanging="540"/>
        <w:rPr>
          <w:rFonts w:ascii="Times New Roman" w:hAnsi="Times New Roman"/>
          <w:sz w:val="20"/>
          <w:szCs w:val="20"/>
        </w:rPr>
      </w:pPr>
      <w:hyperlink r:id="rId35" w:history="1">
        <w:r w:rsidR="00993DCC">
          <w:rPr>
            <w:rStyle w:val="af8"/>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C752C4">
      <w:pPr>
        <w:pStyle w:val="afb"/>
        <w:numPr>
          <w:ilvl w:val="0"/>
          <w:numId w:val="31"/>
        </w:numPr>
        <w:ind w:left="540" w:hanging="540"/>
        <w:rPr>
          <w:rFonts w:ascii="Times New Roman" w:hAnsi="Times New Roman"/>
          <w:sz w:val="20"/>
          <w:szCs w:val="20"/>
        </w:rPr>
      </w:pPr>
      <w:hyperlink r:id="rId36" w:history="1">
        <w:r w:rsidR="00993DCC">
          <w:rPr>
            <w:rStyle w:val="af8"/>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C752C4">
      <w:pPr>
        <w:pStyle w:val="afb"/>
        <w:numPr>
          <w:ilvl w:val="0"/>
          <w:numId w:val="31"/>
        </w:numPr>
        <w:ind w:left="540" w:hanging="540"/>
        <w:rPr>
          <w:rFonts w:ascii="Times New Roman" w:hAnsi="Times New Roman"/>
          <w:sz w:val="20"/>
          <w:szCs w:val="20"/>
        </w:rPr>
      </w:pPr>
      <w:hyperlink r:id="rId37" w:history="1">
        <w:r w:rsidR="00993DCC">
          <w:rPr>
            <w:rStyle w:val="af8"/>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C752C4">
      <w:pPr>
        <w:pStyle w:val="afb"/>
        <w:numPr>
          <w:ilvl w:val="0"/>
          <w:numId w:val="31"/>
        </w:numPr>
        <w:ind w:left="540" w:hanging="540"/>
        <w:rPr>
          <w:rFonts w:ascii="Times New Roman" w:hAnsi="Times New Roman"/>
          <w:sz w:val="20"/>
          <w:szCs w:val="20"/>
        </w:rPr>
      </w:pPr>
      <w:hyperlink r:id="rId38" w:history="1">
        <w:r w:rsidR="00993DCC">
          <w:rPr>
            <w:rStyle w:val="af8"/>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C752C4">
      <w:pPr>
        <w:pStyle w:val="afb"/>
        <w:numPr>
          <w:ilvl w:val="0"/>
          <w:numId w:val="31"/>
        </w:numPr>
        <w:ind w:left="540" w:hanging="540"/>
        <w:rPr>
          <w:rFonts w:ascii="Times New Roman" w:hAnsi="Times New Roman"/>
          <w:sz w:val="20"/>
          <w:szCs w:val="20"/>
        </w:rPr>
      </w:pPr>
      <w:hyperlink r:id="rId39" w:history="1">
        <w:r w:rsidR="00993DCC">
          <w:rPr>
            <w:rStyle w:val="af8"/>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C752C4">
      <w:pPr>
        <w:pStyle w:val="afb"/>
        <w:numPr>
          <w:ilvl w:val="0"/>
          <w:numId w:val="31"/>
        </w:numPr>
        <w:ind w:left="540" w:hanging="540"/>
        <w:rPr>
          <w:rFonts w:ascii="Times New Roman" w:hAnsi="Times New Roman"/>
          <w:sz w:val="20"/>
          <w:szCs w:val="20"/>
        </w:rPr>
      </w:pPr>
      <w:hyperlink r:id="rId40" w:history="1">
        <w:r w:rsidR="00993DCC">
          <w:rPr>
            <w:rStyle w:val="af8"/>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C752C4">
      <w:pPr>
        <w:pStyle w:val="afb"/>
        <w:numPr>
          <w:ilvl w:val="0"/>
          <w:numId w:val="31"/>
        </w:numPr>
        <w:ind w:left="540" w:hanging="540"/>
        <w:rPr>
          <w:rFonts w:ascii="Times New Roman" w:hAnsi="Times New Roman"/>
          <w:sz w:val="20"/>
          <w:szCs w:val="20"/>
        </w:rPr>
      </w:pPr>
      <w:hyperlink r:id="rId41" w:history="1">
        <w:r w:rsidR="00993DCC">
          <w:rPr>
            <w:rStyle w:val="af8"/>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t>CEWiT</w:t>
      </w:r>
    </w:p>
    <w:p w14:paraId="0A85EC81" w14:textId="77777777" w:rsidR="00183434" w:rsidRDefault="00C752C4">
      <w:pPr>
        <w:pStyle w:val="afb"/>
        <w:numPr>
          <w:ilvl w:val="0"/>
          <w:numId w:val="31"/>
        </w:numPr>
        <w:ind w:left="540" w:hanging="540"/>
        <w:rPr>
          <w:rFonts w:ascii="Times New Roman" w:hAnsi="Times New Roman"/>
          <w:sz w:val="20"/>
          <w:szCs w:val="20"/>
        </w:rPr>
      </w:pPr>
      <w:hyperlink r:id="rId42" w:history="1">
        <w:r w:rsidR="00993DCC">
          <w:rPr>
            <w:rStyle w:val="af8"/>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t>Convida Wireless</w:t>
      </w:r>
    </w:p>
    <w:p w14:paraId="4ECEBCB2" w14:textId="77777777" w:rsidR="00183434" w:rsidRDefault="00C752C4">
      <w:pPr>
        <w:pStyle w:val="afb"/>
        <w:numPr>
          <w:ilvl w:val="0"/>
          <w:numId w:val="31"/>
        </w:numPr>
        <w:ind w:left="540" w:hanging="540"/>
        <w:rPr>
          <w:rFonts w:ascii="Times New Roman" w:hAnsi="Times New Roman"/>
          <w:sz w:val="20"/>
          <w:szCs w:val="20"/>
        </w:rPr>
      </w:pPr>
      <w:hyperlink r:id="rId43" w:history="1">
        <w:r w:rsidR="00993DCC">
          <w:rPr>
            <w:rStyle w:val="af8"/>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t>InterDigital, Inc.</w:t>
      </w:r>
    </w:p>
    <w:p w14:paraId="6C29DC77" w14:textId="77777777" w:rsidR="00183434" w:rsidRDefault="00C752C4">
      <w:pPr>
        <w:pStyle w:val="afb"/>
        <w:numPr>
          <w:ilvl w:val="0"/>
          <w:numId w:val="31"/>
        </w:numPr>
        <w:ind w:left="540" w:hanging="540"/>
        <w:rPr>
          <w:rFonts w:ascii="Times New Roman" w:hAnsi="Times New Roman"/>
          <w:sz w:val="20"/>
          <w:szCs w:val="20"/>
        </w:rPr>
      </w:pPr>
      <w:hyperlink r:id="rId44" w:history="1">
        <w:r w:rsidR="00993DCC">
          <w:rPr>
            <w:rStyle w:val="af8"/>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C752C4">
      <w:pPr>
        <w:pStyle w:val="afb"/>
        <w:numPr>
          <w:ilvl w:val="0"/>
          <w:numId w:val="31"/>
        </w:numPr>
        <w:ind w:left="540" w:hanging="540"/>
        <w:rPr>
          <w:rFonts w:ascii="Times New Roman" w:hAnsi="Times New Roman"/>
          <w:sz w:val="20"/>
          <w:szCs w:val="20"/>
        </w:rPr>
      </w:pPr>
      <w:hyperlink r:id="rId45" w:history="1">
        <w:r w:rsidR="00993DCC">
          <w:rPr>
            <w:rStyle w:val="af8"/>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ZTE, Sanechips</w:t>
      </w:r>
    </w:p>
    <w:p w14:paraId="00E814B2" w14:textId="77777777" w:rsidR="00183434" w:rsidRDefault="00C752C4">
      <w:pPr>
        <w:pStyle w:val="afb"/>
        <w:numPr>
          <w:ilvl w:val="0"/>
          <w:numId w:val="31"/>
        </w:numPr>
        <w:ind w:left="540" w:hanging="540"/>
        <w:rPr>
          <w:rFonts w:ascii="Times New Roman" w:hAnsi="Times New Roman"/>
          <w:sz w:val="20"/>
          <w:szCs w:val="20"/>
        </w:rPr>
      </w:pPr>
      <w:hyperlink r:id="rId46" w:history="1">
        <w:r w:rsidR="00993DCC">
          <w:rPr>
            <w:rStyle w:val="af8"/>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C752C4">
      <w:pPr>
        <w:pStyle w:val="afb"/>
        <w:numPr>
          <w:ilvl w:val="0"/>
          <w:numId w:val="31"/>
        </w:numPr>
        <w:ind w:left="540" w:hanging="540"/>
        <w:rPr>
          <w:rFonts w:ascii="Times New Roman" w:hAnsi="Times New Roman"/>
          <w:sz w:val="20"/>
          <w:szCs w:val="20"/>
        </w:rPr>
      </w:pPr>
      <w:hyperlink r:id="rId47" w:history="1">
        <w:r w:rsidR="00993DCC">
          <w:rPr>
            <w:rStyle w:val="af8"/>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C752C4">
      <w:pPr>
        <w:pStyle w:val="afb"/>
        <w:numPr>
          <w:ilvl w:val="0"/>
          <w:numId w:val="31"/>
        </w:numPr>
        <w:ind w:left="540" w:hanging="540"/>
        <w:rPr>
          <w:rFonts w:ascii="Times New Roman" w:hAnsi="Times New Roman"/>
          <w:sz w:val="20"/>
          <w:szCs w:val="20"/>
        </w:rPr>
      </w:pPr>
      <w:hyperlink r:id="rId48" w:history="1">
        <w:r w:rsidR="00993DCC">
          <w:rPr>
            <w:rStyle w:val="af8"/>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C752C4">
      <w:pPr>
        <w:pStyle w:val="afb"/>
        <w:numPr>
          <w:ilvl w:val="0"/>
          <w:numId w:val="31"/>
        </w:numPr>
        <w:ind w:left="540" w:hanging="540"/>
        <w:rPr>
          <w:rFonts w:ascii="Times New Roman" w:hAnsi="Times New Roman"/>
          <w:sz w:val="20"/>
          <w:szCs w:val="20"/>
        </w:rPr>
      </w:pPr>
      <w:hyperlink r:id="rId49" w:history="1">
        <w:r w:rsidR="00993DCC">
          <w:rPr>
            <w:rStyle w:val="af8"/>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0"/>
      <w:footerReference w:type="even" r:id="rId51"/>
      <w:footerReference w:type="default" r:id="rId5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14599" w14:textId="77777777" w:rsidR="00BD610E" w:rsidRDefault="00BD610E">
      <w:pPr>
        <w:spacing w:after="0" w:line="240" w:lineRule="auto"/>
      </w:pPr>
      <w:r>
        <w:separator/>
      </w:r>
    </w:p>
  </w:endnote>
  <w:endnote w:type="continuationSeparator" w:id="0">
    <w:p w14:paraId="56E5C076" w14:textId="77777777" w:rsidR="00BD610E" w:rsidRDefault="00BD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8E8BB" w14:textId="77777777" w:rsidR="00C752C4" w:rsidRDefault="00C752C4">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9350FF2" w14:textId="77777777" w:rsidR="00C752C4" w:rsidRDefault="00C752C4">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06C1B" w14:textId="77777777" w:rsidR="00C752C4" w:rsidRDefault="00C752C4">
    <w:pPr>
      <w:pStyle w:val="ac"/>
      <w:ind w:right="360"/>
    </w:pPr>
    <w:r>
      <w:rPr>
        <w:rStyle w:val="af5"/>
      </w:rPr>
      <w:fldChar w:fldCharType="begin"/>
    </w:r>
    <w:r>
      <w:rPr>
        <w:rStyle w:val="af5"/>
      </w:rPr>
      <w:instrText xml:space="preserve"> PAGE </w:instrText>
    </w:r>
    <w:r>
      <w:rPr>
        <w:rStyle w:val="af5"/>
      </w:rPr>
      <w:fldChar w:fldCharType="separate"/>
    </w:r>
    <w:r w:rsidR="005B25C9">
      <w:rPr>
        <w:rStyle w:val="af5"/>
        <w:noProof/>
      </w:rPr>
      <w:t>42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B25C9">
      <w:rPr>
        <w:rStyle w:val="af5"/>
        <w:noProof/>
      </w:rPr>
      <w:t>43</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97455" w14:textId="77777777" w:rsidR="00BD610E" w:rsidRDefault="00BD610E">
      <w:pPr>
        <w:spacing w:after="0" w:line="240" w:lineRule="auto"/>
      </w:pPr>
      <w:r>
        <w:separator/>
      </w:r>
    </w:p>
  </w:footnote>
  <w:footnote w:type="continuationSeparator" w:id="0">
    <w:p w14:paraId="3C2DF252" w14:textId="77777777" w:rsidR="00BD610E" w:rsidRDefault="00BD6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83C3B" w14:textId="77777777" w:rsidR="00C752C4" w:rsidRDefault="00C752C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1C33C2F"/>
    <w:multiLevelType w:val="multilevel"/>
    <w:tmpl w:val="61C33C2F"/>
    <w:lvl w:ilvl="0">
      <w:start w:val="7"/>
      <w:numFmt w:val="bullet"/>
      <w:lvlText w:val="-"/>
      <w:lvlJc w:val="left"/>
      <w:pPr>
        <w:ind w:left="720" w:hanging="360"/>
      </w:pPr>
      <w:rPr>
        <w:rFonts w:ascii="Times New Roman" w:eastAsia="游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2"/>
  </w:num>
  <w:num w:numId="6">
    <w:abstractNumId w:val="21"/>
  </w:num>
  <w:num w:numId="7">
    <w:abstractNumId w:val="10"/>
  </w:num>
  <w:num w:numId="8">
    <w:abstractNumId w:val="18"/>
  </w:num>
  <w:num w:numId="9">
    <w:abstractNumId w:val="20"/>
  </w:num>
  <w:num w:numId="10">
    <w:abstractNumId w:val="12"/>
  </w:num>
  <w:num w:numId="11">
    <w:abstractNumId w:val="24"/>
  </w:num>
  <w:num w:numId="12">
    <w:abstractNumId w:val="11"/>
  </w:num>
  <w:num w:numId="13">
    <w:abstractNumId w:val="25"/>
  </w:num>
  <w:num w:numId="14">
    <w:abstractNumId w:val="8"/>
  </w:num>
  <w:num w:numId="15">
    <w:abstractNumId w:val="19"/>
  </w:num>
  <w:num w:numId="16">
    <w:abstractNumId w:val="13"/>
  </w:num>
  <w:num w:numId="17">
    <w:abstractNumId w:val="23"/>
  </w:num>
  <w:num w:numId="18">
    <w:abstractNumId w:val="7"/>
  </w:num>
  <w:num w:numId="19">
    <w:abstractNumId w:val="4"/>
  </w:num>
  <w:num w:numId="20">
    <w:abstractNumId w:val="17"/>
  </w:num>
  <w:num w:numId="21">
    <w:abstractNumId w:val="28"/>
  </w:num>
  <w:num w:numId="22">
    <w:abstractNumId w:val="27"/>
  </w:num>
  <w:num w:numId="23">
    <w:abstractNumId w:val="14"/>
  </w:num>
  <w:num w:numId="24">
    <w:abstractNumId w:val="3"/>
  </w:num>
  <w:num w:numId="25">
    <w:abstractNumId w:val="6"/>
  </w:num>
  <w:num w:numId="26">
    <w:abstractNumId w:val="16"/>
  </w:num>
  <w:num w:numId="27">
    <w:abstractNumId w:val="1"/>
  </w:num>
  <w:num w:numId="28">
    <w:abstractNumId w:val="15"/>
  </w:num>
  <w:num w:numId="29">
    <w:abstractNumId w:val="26"/>
  </w:num>
  <w:num w:numId="30">
    <w:abstractNumId w:val="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28E"/>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3DCC"/>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rPr>
      <w:i/>
    </w:rPr>
  </w:style>
  <w:style w:type="paragraph" w:styleId="a9">
    <w:name w:val="Body Text"/>
    <w:aliases w:val="bt"/>
    <w:basedOn w:val="a"/>
    <w:link w:val="Char2"/>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qFormat/>
    <w:rPr>
      <w:b/>
      <w:bCs/>
    </w:rPr>
  </w:style>
  <w:style w:type="character" w:styleId="af4">
    <w:name w:val="endnote reference"/>
    <w:basedOn w:val="a0"/>
    <w:rPr>
      <w:vertAlign w:val="superscript"/>
    </w:rPr>
  </w:style>
  <w:style w:type="character" w:styleId="af5">
    <w:name w:val="page number"/>
    <w:basedOn w:val="a0"/>
    <w:qFormat/>
  </w:style>
  <w:style w:type="character" w:styleId="af6">
    <w:name w:val="FollowedHyperlink"/>
    <w:rPr>
      <w:color w:val="800080"/>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b"/>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正文文本 Char"/>
    <w:aliases w:val="bt Char"/>
    <w:basedOn w:val="a0"/>
    <w:link w:val="a9"/>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uiPriority w:val="35"/>
    <w:qFormat/>
    <w:rPr>
      <w:rFonts w:ascii="Times New Roman" w:hAnsi="Times New Roman"/>
      <w:b/>
      <w:bCs/>
      <w:lang w:eastAsia="en-US"/>
    </w:rPr>
  </w:style>
  <w:style w:type="character" w:customStyle="1" w:styleId="Char3">
    <w:name w:val="尾注文本 Char"/>
    <w:basedOn w:val="a0"/>
    <w:link w:val="aa"/>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游明朝"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562.zip" TargetMode="External"/><Relationship Id="rId39" Type="http://schemas.openxmlformats.org/officeDocument/2006/relationships/hyperlink" Target="https://www.3gpp.org/ftp/tsg_ran/WG1_RL1/TSGR1_104b-e/Docs/R1-2103298.zip" TargetMode="External"/><Relationship Id="rId21" Type="http://schemas.openxmlformats.org/officeDocument/2006/relationships/image" Target="media/image5.png"/><Relationship Id="rId34" Type="http://schemas.openxmlformats.org/officeDocument/2006/relationships/hyperlink" Target="https://www.3gpp.org/ftp/tsg_ran/WG1_RL1/TSGR1_104b-e/Docs/R1-2103012.zip" TargetMode="External"/><Relationship Id="rId42" Type="http://schemas.openxmlformats.org/officeDocument/2006/relationships/hyperlink" Target="https://www.3gpp.org/ftp/tsg_ran/WG1_RL1/TSGR1_104b-e/Docs/R1-2103414.zip" TargetMode="External"/><Relationship Id="rId47" Type="http://schemas.openxmlformats.org/officeDocument/2006/relationships/hyperlink" Target="https://www.3gpp.org/ftp/tsg_ran/WG1_RL1/TSGR1_104b-e/Docs/R1-2103571.zip"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4b-e/Docs/R1-2102716.zip" TargetMode="External"/><Relationship Id="rId11" Type="http://schemas.openxmlformats.org/officeDocument/2006/relationships/webSettings" Target="webSettings.xml"/><Relationship Id="rId24" Type="http://schemas.openxmlformats.org/officeDocument/2006/relationships/hyperlink" Target="https://www.3gpp.org/ftp/tsg_ran/WG1_RL1/TSGR1_104b-e/Docs/R1-2102452.zip" TargetMode="External"/><Relationship Id="rId32" Type="http://schemas.openxmlformats.org/officeDocument/2006/relationships/hyperlink" Target="https://www.3gpp.org/ftp/tsg_ran/WG1_RL1/TSGR1_104b-e/Docs/R1-2102980.zip" TargetMode="External"/><Relationship Id="rId37" Type="http://schemas.openxmlformats.org/officeDocument/2006/relationships/hyperlink" Target="https://www.3gpp.org/ftp/tsg_ran/WG1_RL1/TSGR1_104b-e/Docs/R1-2103161.zip" TargetMode="External"/><Relationship Id="rId40" Type="http://schemas.openxmlformats.org/officeDocument/2006/relationships/hyperlink" Target="https://www.3gpp.org/ftp/tsg_ran/WG1_RL1/TSGR1_104b-e/Docs/R1-2103343.zip" TargetMode="External"/><Relationship Id="rId45" Type="http://schemas.openxmlformats.org/officeDocument/2006/relationships/hyperlink" Target="https://www.3gpp.org/ftp/tsg_ran/WG1_RL1/TSGR1_104b-e/Docs/R1-2103491.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s://www.3gpp.org/ftp/tsg_ran/WG1_RL1/TSGR1_104b-e/Docs/R1-2102792.zip" TargetMode="External"/><Relationship Id="rId44" Type="http://schemas.openxmlformats.org/officeDocument/2006/relationships/hyperlink" Target="https://www.3gpp.org/ftp/tsg_ran/WG1_RL1/TSGR1_104b-e/Docs/R1-2103463.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4b-e/Docs/R1-2102331.zip" TargetMode="External"/><Relationship Id="rId27" Type="http://schemas.openxmlformats.org/officeDocument/2006/relationships/hyperlink" Target="https://www.3gpp.org/ftp/tsg_ran/WG1_RL1/TSGR1_104b-e/Docs/R1-2102569.zip" TargetMode="External"/><Relationship Id="rId30" Type="http://schemas.openxmlformats.org/officeDocument/2006/relationships/hyperlink" Target="https://www.3gpp.org/ftp/tsg_ran/WG1_RL1/TSGR1_104b-e/Docs/R1-2102776.zip" TargetMode="External"/><Relationship Id="rId35" Type="http://schemas.openxmlformats.org/officeDocument/2006/relationships/hyperlink" Target="https://www.3gpp.org/ftp/tsg_ran/WG1_RL1/TSGR1_104b-e/Docs/R1-2103025.zip" TargetMode="External"/><Relationship Id="rId43" Type="http://schemas.openxmlformats.org/officeDocument/2006/relationships/hyperlink" Target="https://www.3gpp.org/ftp/tsg_ran/WG1_RL1/TSGR1_104b-e/Docs/R1-2103452.zip" TargetMode="External"/><Relationship Id="rId48" Type="http://schemas.openxmlformats.org/officeDocument/2006/relationships/hyperlink" Target="https://www.3gpp.org/ftp/tsg_ran/WG1_RL1/TSGR1_104b-e/Docs/R1-2103693.zip" TargetMode="External"/><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s://www.3gpp.org/ftp/tsg_ran/WG1_RL1/TSGR1_104b-e/Docs/R1-2102518.zip" TargetMode="External"/><Relationship Id="rId33" Type="http://schemas.openxmlformats.org/officeDocument/2006/relationships/hyperlink" Target="https://www.3gpp.org/ftp/tsg_ran/WG1_RL1/TSGR1_104b-e/Docs/R1-2103000.zip" TargetMode="External"/><Relationship Id="rId38" Type="http://schemas.openxmlformats.org/officeDocument/2006/relationships/hyperlink" Target="https://www.3gpp.org/ftp/tsg_ran/WG1_RL1/TSGR1_104b-e/Docs/R1-2103233.zip" TargetMode="External"/><Relationship Id="rId46" Type="http://schemas.openxmlformats.org/officeDocument/2006/relationships/hyperlink" Target="https://www.3gpp.org/ftp/tsg_ran/WG1_RL1/TSGR1_104b-e/Docs/R1-2103513.zip" TargetMode="External"/><Relationship Id="rId20" Type="http://schemas.openxmlformats.org/officeDocument/2006/relationships/image" Target="media/image4.png"/><Relationship Id="rId41" Type="http://schemas.openxmlformats.org/officeDocument/2006/relationships/hyperlink" Target="https://www.3gpp.org/ftp/tsg_ran/WG1_RL1/TSGR1_104b-e/Docs/R1-2103407.zip"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hyperlink" Target="https://www.3gpp.org/ftp/tsg_ran/WG1_RL1/TSGR1_104b-e/Docs/R1-2102389.zip" TargetMode="External"/><Relationship Id="rId28" Type="http://schemas.openxmlformats.org/officeDocument/2006/relationships/hyperlink" Target="https://www.3gpp.org/ftp/tsg_ran/WG1_RL1/TSGR1_104b-e/Docs/R1-2102625.zip" TargetMode="External"/><Relationship Id="rId36" Type="http://schemas.openxmlformats.org/officeDocument/2006/relationships/hyperlink" Target="https://www.3gpp.org/ftp/tsg_ran/WG1_RL1/TSGR1_104b-e/Docs/R1-2103100.zip" TargetMode="External"/><Relationship Id="rId49" Type="http://schemas.openxmlformats.org/officeDocument/2006/relationships/hyperlink" Target="https://www.3gpp.org/ftp/tsg_ran/WG1_RL1/TSGR1_104b-e/Docs/R1-21037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9242C"/>
    <w:rsid w:val="005A43B9"/>
    <w:rsid w:val="005D12BB"/>
    <w:rsid w:val="006001B2"/>
    <w:rsid w:val="0060546A"/>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8359C"/>
    <w:rsid w:val="00A90AE3"/>
    <w:rsid w:val="00AA27DE"/>
    <w:rsid w:val="00AA311C"/>
    <w:rsid w:val="00AC1D4C"/>
    <w:rsid w:val="00B007C5"/>
    <w:rsid w:val="00B312BF"/>
    <w:rsid w:val="00B322F8"/>
    <w:rsid w:val="00B54239"/>
    <w:rsid w:val="00B5622D"/>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304C"/>
    <w:rsid w:val="00CB6F16"/>
    <w:rsid w:val="00CD050A"/>
    <w:rsid w:val="00CE4511"/>
    <w:rsid w:val="00CF2B5F"/>
    <w:rsid w:val="00D17FE7"/>
    <w:rsid w:val="00D444BE"/>
    <w:rsid w:val="00D57D5D"/>
    <w:rsid w:val="00D77B7F"/>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2.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FF389DD-AD7B-411A-9AA6-D61B26774B45}">
  <ds:schemaRefs>
    <ds:schemaRef ds:uri="http://schemas.openxmlformats.org/officeDocument/2006/bibliography"/>
  </ds:schemaRefs>
</ds:datastoreItem>
</file>

<file path=customXml/itemProps7.xml><?xml version="1.0" encoding="utf-8"?>
<ds:datastoreItem xmlns:ds="http://schemas.openxmlformats.org/officeDocument/2006/customXml" ds:itemID="{624A73DC-4414-4019-BF86-9CE0A28F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43</Pages>
  <Words>17137</Words>
  <Characters>97685</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Discussion summary #1 of [104b-e-NR-52-71GHz-05]</vt:lpstr>
    </vt:vector>
  </TitlesOfParts>
  <Company>Intel</Company>
  <LinksUpToDate>false</LinksUpToDate>
  <CharactersWithSpaces>114593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Hao2</cp:lastModifiedBy>
  <cp:revision>2</cp:revision>
  <cp:lastPrinted>2011-11-09T07:49:00Z</cp:lastPrinted>
  <dcterms:created xsi:type="dcterms:W3CDTF">2021-04-14T09:09:00Z</dcterms:created>
  <dcterms:modified xsi:type="dcterms:W3CDTF">2021-04-14T09:09:00Z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