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rsidR="00B94E2A" w:rsidRDefault="00B94E2A">
      <w:pPr>
        <w:spacing w:after="0"/>
        <w:ind w:left="1988" w:hanging="1988"/>
        <w:jc w:val="both"/>
        <w:rPr>
          <w:rFonts w:ascii="Arial" w:hAnsi="Arial" w:cs="Arial"/>
          <w:b/>
          <w:sz w:val="24"/>
        </w:rPr>
      </w:pPr>
    </w:p>
    <w:p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rsidR="00B94E2A" w:rsidRDefault="00B94E2A">
      <w:pPr>
        <w:spacing w:after="0"/>
        <w:ind w:left="2388" w:hangingChars="995" w:hanging="2388"/>
        <w:jc w:val="both"/>
        <w:rPr>
          <w:sz w:val="24"/>
        </w:rPr>
      </w:pPr>
    </w:p>
    <w:p w:rsidR="00B94E2A" w:rsidRDefault="002127BF">
      <w:pPr>
        <w:pStyle w:val="Heading1"/>
        <w:numPr>
          <w:ilvl w:val="0"/>
          <w:numId w:val="5"/>
        </w:numPr>
        <w:ind w:left="360"/>
        <w:rPr>
          <w:rFonts w:cs="Arial"/>
          <w:sz w:val="32"/>
          <w:szCs w:val="32"/>
          <w:lang w:val="en-US"/>
        </w:rPr>
      </w:pPr>
      <w:r>
        <w:rPr>
          <w:rFonts w:cs="Arial"/>
          <w:sz w:val="32"/>
          <w:szCs w:val="32"/>
          <w:lang w:val="en-US"/>
        </w:rPr>
        <w:t>Introduction</w:t>
      </w:r>
    </w:p>
    <w:p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rsidR="00B94E2A" w:rsidRDefault="002127BF">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rsidR="00B94E2A" w:rsidRDefault="00B94E2A">
      <w:pPr>
        <w:ind w:firstLine="288"/>
        <w:rPr>
          <w:sz w:val="22"/>
          <w:szCs w:val="22"/>
          <w:lang w:eastAsia="zh-CN"/>
        </w:rPr>
      </w:pPr>
    </w:p>
    <w:p w:rsidR="00B94E2A" w:rsidRDefault="002127BF">
      <w:pPr>
        <w:pStyle w:val="Heading1"/>
        <w:numPr>
          <w:ilvl w:val="0"/>
          <w:numId w:val="5"/>
        </w:numPr>
        <w:ind w:left="360"/>
        <w:rPr>
          <w:rFonts w:cs="Arial"/>
          <w:sz w:val="32"/>
          <w:szCs w:val="32"/>
          <w:lang w:val="en-US"/>
        </w:rPr>
      </w:pPr>
      <w:r>
        <w:rPr>
          <w:rFonts w:cs="Arial"/>
          <w:sz w:val="32"/>
          <w:szCs w:val="32"/>
        </w:rPr>
        <w:t>Summary of issues</w:t>
      </w:r>
    </w:p>
    <w:p w:rsidR="00B94E2A" w:rsidRDefault="00B94E2A">
      <w:pPr>
        <w:pStyle w:val="BodyText"/>
        <w:spacing w:after="0"/>
        <w:rPr>
          <w:rFonts w:ascii="Times New Roman" w:hAnsi="Times New Roman"/>
          <w:sz w:val="22"/>
          <w:szCs w:val="22"/>
          <w:lang w:eastAsia="zh-CN"/>
        </w:rPr>
      </w:pPr>
    </w:p>
    <w:p w:rsidR="00B94E2A" w:rsidRDefault="002127BF">
      <w:pPr>
        <w:pStyle w:val="Heading2"/>
        <w:rPr>
          <w:lang w:eastAsia="zh-CN"/>
        </w:rPr>
      </w:pPr>
      <w:r>
        <w:rPr>
          <w:lang w:eastAsia="zh-CN"/>
        </w:rPr>
        <w:t xml:space="preserve">2.1 SSB Aspects </w:t>
      </w:r>
    </w:p>
    <w:p w:rsidR="00B94E2A" w:rsidRDefault="002127BF">
      <w:pPr>
        <w:pStyle w:val="Heading3"/>
        <w:rPr>
          <w:lang w:eastAsia="zh-CN"/>
        </w:rPr>
      </w:pPr>
      <w:r>
        <w:rPr>
          <w:lang w:eastAsia="zh-CN"/>
        </w:rPr>
        <w:t>2.1.1 Supported Numerology</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AT&amp;T,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initial access)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rsidR="00B94E2A" w:rsidRDefault="00B94E2A">
      <w:pPr>
        <w:pStyle w:val="BodyText"/>
        <w:spacing w:after="0"/>
        <w:rPr>
          <w:rFonts w:ascii="Times New Roman" w:hAnsi="Times New Roman"/>
          <w:sz w:val="22"/>
          <w:szCs w:val="22"/>
          <w:lang w:eastAsia="zh-CN"/>
        </w:rPr>
      </w:pPr>
    </w:p>
    <w:p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rsidR="00B94E2A" w:rsidRDefault="00B94E2A">
      <w:pPr>
        <w:pStyle w:val="BodyText"/>
        <w:spacing w:after="0"/>
        <w:ind w:left="1440"/>
        <w:rPr>
          <w:rFonts w:ascii="Times New Roman" w:hAnsi="Times New Roman"/>
          <w:sz w:val="22"/>
          <w:szCs w:val="22"/>
          <w:lang w:eastAsia="zh-CN"/>
        </w:rPr>
      </w:pP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rsidR="00B94E2A" w:rsidRDefault="00B94E2A">
      <w:pPr>
        <w:pStyle w:val="BodyText"/>
        <w:spacing w:after="0"/>
        <w:ind w:left="1440"/>
        <w:rPr>
          <w:rFonts w:ascii="Times New Roman" w:hAnsi="Times New Roman"/>
          <w:sz w:val="22"/>
          <w:szCs w:val="22"/>
          <w:lang w:eastAsia="zh-CN"/>
        </w:rPr>
      </w:pP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rsidR="00B94E2A" w:rsidRDefault="00B94E2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tc>
          <w:tcPr>
            <w:tcW w:w="1720"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tc>
          <w:tcPr>
            <w:tcW w:w="1720"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rsidR="00B94E2A" w:rsidRDefault="002127BF">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567A2E">
        <w:tc>
          <w:tcPr>
            <w:tcW w:w="1720" w:type="dxa"/>
          </w:tcPr>
          <w:p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Huawei/HiSilicon</w:t>
            </w:r>
          </w:p>
        </w:tc>
        <w:tc>
          <w:tcPr>
            <w:tcW w:w="8242" w:type="dxa"/>
          </w:tcPr>
          <w:p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rsidR="00567A2E" w:rsidRPr="00C34AE4" w:rsidRDefault="00567A2E" w:rsidP="00567A2E">
            <w:pPr>
              <w:pStyle w:val="BodyText"/>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rsidR="00567A2E" w:rsidRPr="00C34AE4" w:rsidRDefault="00567A2E" w:rsidP="00567A2E">
            <w:pPr>
              <w:pStyle w:val="BodyText"/>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rsidR="00567A2E" w:rsidRPr="00C34AE4" w:rsidRDefault="00567A2E" w:rsidP="00567A2E">
            <w:pPr>
              <w:pStyle w:val="BodyText"/>
              <w:spacing w:after="0"/>
            </w:pPr>
            <w:r w:rsidRPr="00C34AE4">
              <w:t>Regarding the ANR use case, we have the following comments/questions that would like to have clarifications about before discussing whether or how ANR should be supported:</w:t>
            </w:r>
          </w:p>
          <w:p w:rsidR="00567A2E" w:rsidRPr="00C34AE4" w:rsidRDefault="00567A2E" w:rsidP="00567A2E">
            <w:pPr>
              <w:pStyle w:val="BodyText"/>
              <w:numPr>
                <w:ilvl w:val="0"/>
                <w:numId w:val="19"/>
              </w:numPr>
              <w:spacing w:after="0" w:line="280" w:lineRule="atLeast"/>
            </w:pPr>
            <w:r w:rsidRPr="00C34AE4">
              <w:t xml:space="preserve">We find ANR </w:t>
            </w:r>
            <w:proofErr w:type="spellStart"/>
            <w:r w:rsidRPr="00C34AE4">
              <w:t>an</w:t>
            </w:r>
            <w:proofErr w:type="spellEnd"/>
            <w:r w:rsidRPr="00C34AE4">
              <w:t xml:space="preserve"> optimization issue without which the network is functional (certainly RRM can work without ANR. CGI-</w:t>
            </w:r>
            <w:proofErr w:type="spellStart"/>
            <w:r w:rsidRPr="00C34AE4">
              <w:t>InfoNR</w:t>
            </w:r>
            <w:proofErr w:type="spellEnd"/>
            <w:r w:rsidRPr="00C34AE4">
              <w:t xml:space="preserve"> is a late addition to </w:t>
            </w:r>
            <w:proofErr w:type="spellStart"/>
            <w:r w:rsidRPr="00C34AE4">
              <w:t>MeasResults</w:t>
            </w:r>
            <w:proofErr w:type="spellEnd"/>
            <w:r w:rsidRPr="00C34AE4">
              <w:t xml:space="preserve">).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rsidR="00567A2E" w:rsidRPr="00C34AE4" w:rsidRDefault="00567A2E" w:rsidP="00567A2E">
            <w:pPr>
              <w:pStyle w:val="BodyText"/>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rsidR="00567A2E" w:rsidRPr="00C34AE4" w:rsidRDefault="00567A2E" w:rsidP="00567A2E">
            <w:pPr>
              <w:pStyle w:val="BodyText"/>
              <w:spacing w:after="0"/>
              <w:rPr>
                <w:rFonts w:ascii="Times New Roman" w:hAnsi="Times New Roman"/>
                <w:sz w:val="22"/>
                <w:szCs w:val="22"/>
                <w:lang w:eastAsia="zh-CN"/>
              </w:rPr>
            </w:pPr>
            <w:r w:rsidRPr="00C34AE4">
              <w:rPr>
                <w:noProof/>
                <w:lang w:eastAsia="zh-CN"/>
              </w:rPr>
              <w:drawing>
                <wp:inline distT="0" distB="0" distL="0" distR="0" wp14:anchorId="61FC8AF0" wp14:editId="306B0862">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rsidR="00567A2E" w:rsidRPr="00C34AE4" w:rsidRDefault="00567A2E" w:rsidP="00567A2E">
            <w:pPr>
              <w:pStyle w:val="BodyText"/>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 xml:space="preserve">480/960 kHz SSBs will be associated only to </w:t>
            </w:r>
            <w:proofErr w:type="spellStart"/>
            <w:r w:rsidRPr="00C34AE4">
              <w:rPr>
                <w:rFonts w:ascii="Times New Roman" w:hAnsi="Times New Roman"/>
                <w:sz w:val="22"/>
                <w:szCs w:val="22"/>
                <w:lang w:eastAsia="zh-CN"/>
              </w:rPr>
              <w:t>Scells</w:t>
            </w:r>
            <w:proofErr w:type="spellEnd"/>
            <w:r w:rsidRPr="00C34AE4">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sidRPr="00C34AE4">
              <w:rPr>
                <w:rFonts w:ascii="Times New Roman" w:hAnsi="Times New Roman"/>
                <w:sz w:val="22"/>
                <w:szCs w:val="22"/>
                <w:lang w:eastAsia="zh-CN"/>
              </w:rPr>
              <w:t>PCell</w:t>
            </w:r>
            <w:proofErr w:type="spellEnd"/>
            <w:r w:rsidRPr="00C34AE4">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2.1.2 DRS Related Aspects (including potential use of Short Signal Exemption for SSB)</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MIB,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in MIB,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of the  short control signaling transmissions constraint.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DBTW is introduced for above 52.6GHz frequency band, support enabling/disabling the DBTW by scrambling CRC bits of PBCH payload.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HiSilicon,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HiSilicon,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rsidR="00B94E2A" w:rsidRDefault="002127BF">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rsidR="00B94E2A" w:rsidRDefault="00B94E2A">
      <w:pPr>
        <w:pStyle w:val="BodyText"/>
        <w:spacing w:after="0"/>
        <w:rPr>
          <w:rFonts w:ascii="Times New Roman" w:hAnsi="Times New Roman"/>
          <w:sz w:val="22"/>
          <w:szCs w:val="22"/>
          <w:lang w:eastAsia="zh-CN"/>
        </w:rPr>
      </w:pP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HiSilicon,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HiSilicon,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tc>
          <w:tcPr>
            <w:tcW w:w="1720"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rsidR="00B94E2A" w:rsidRDefault="00B94E2A">
            <w:pPr>
              <w:pStyle w:val="BodyText"/>
              <w:spacing w:after="0" w:line="280" w:lineRule="atLeast"/>
              <w:rPr>
                <w:rFonts w:ascii="Times New Roman" w:hAnsi="Times New Roman"/>
                <w:sz w:val="22"/>
                <w:szCs w:val="22"/>
                <w:lang w:eastAsia="zh-CN"/>
              </w:rPr>
            </w:pP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controlling it enable/disable it as it sees necessary.</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tc>
          <w:tcPr>
            <w:tcW w:w="1720"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rsidR="00B94E2A" w:rsidRDefault="002127BF">
            <w:pPr>
              <w:spacing w:afterLines="50" w:after="120" w:line="280" w:lineRule="atLeast"/>
              <w:rPr>
                <w:rFonts w:eastAsiaTheme="minorEastAsia"/>
                <w:lang w:eastAsia="zh-CN"/>
              </w:rPr>
            </w:pPr>
            <w:r>
              <w:rPr>
                <w:sz w:val="22"/>
                <w:szCs w:val="22"/>
                <w:lang w:eastAsia="zh-CN"/>
              </w:rPr>
              <w:t xml:space="preserve">We support </w:t>
            </w:r>
            <w:proofErr w:type="gramStart"/>
            <w:r>
              <w:rPr>
                <w:sz w:val="22"/>
                <w:szCs w:val="22"/>
                <w:lang w:eastAsia="zh-CN"/>
              </w:rPr>
              <w:t>DBTW  for</w:t>
            </w:r>
            <w:proofErr w:type="gramEnd"/>
            <w:r>
              <w:rPr>
                <w:sz w:val="22"/>
                <w:szCs w:val="22"/>
                <w:lang w:eastAsia="zh-CN"/>
              </w:rPr>
              <w:t xml:space="preserve">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960KHz, the duty cycle is less than 6</w:t>
            </w:r>
            <w:proofErr w:type="gramStart"/>
            <w:r>
              <w:rPr>
                <w:rFonts w:eastAsiaTheme="minorEastAsia" w:hint="eastAsia"/>
                <w:lang w:eastAsia="zh-CN"/>
              </w:rPr>
              <w:t xml:space="preserve">% </w:t>
            </w:r>
            <w:r>
              <w:rPr>
                <w:rFonts w:eastAsiaTheme="minorEastAsia"/>
                <w:lang w:eastAsia="zh-CN"/>
              </w:rPr>
              <w:t xml:space="preserve"> if</w:t>
            </w:r>
            <w:proofErr w:type="gramEnd"/>
            <w:r>
              <w:rPr>
                <w:rFonts w:eastAsiaTheme="minorEastAsia"/>
                <w:lang w:eastAsia="zh-CN"/>
              </w:rPr>
              <w:t xml:space="preserve">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rsidR="00B94E2A" w:rsidRDefault="00B94E2A">
            <w:pPr>
              <w:pStyle w:val="BodyText"/>
              <w:spacing w:after="0" w:line="280" w:lineRule="atLeast"/>
              <w:rPr>
                <w:rFonts w:ascii="Times New Roman" w:eastAsiaTheme="minorEastAsia" w:hAnsi="Times New Roman"/>
                <w:sz w:val="22"/>
                <w:szCs w:val="22"/>
                <w:lang w:eastAsia="ko-KR"/>
              </w:rPr>
            </w:pP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rsidR="00B94E2A" w:rsidRDefault="002127BF">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w:t>
            </w:r>
            <w:proofErr w:type="gramStart"/>
            <w:r>
              <w:rPr>
                <w:sz w:val="22"/>
                <w:szCs w:val="22"/>
                <w:lang w:eastAsia="zh-CN"/>
              </w:rPr>
              <w:t xml:space="preserve"> ..</w:t>
            </w:r>
            <w:proofErr w:type="gramEnd"/>
            <w:r>
              <w:rPr>
                <w:sz w:val="22"/>
                <w:szCs w:val="22"/>
                <w:lang w:eastAsia="zh-CN"/>
              </w:rPr>
              <w:t xml:space="preserve"> 11) unless RAN4 comes up with a very specific channel design that would avoid odd values of </w:t>
            </w:r>
            <w:proofErr w:type="spellStart"/>
            <w:r>
              <w:rPr>
                <w:sz w:val="22"/>
                <w:szCs w:val="22"/>
                <w:lang w:eastAsia="zh-CN"/>
              </w:rPr>
              <w:t>k_SSB</w:t>
            </w:r>
            <w:proofErr w:type="spellEnd"/>
            <w:r>
              <w:rPr>
                <w:sz w:val="22"/>
                <w:szCs w:val="22"/>
                <w:lang w:eastAsia="zh-CN"/>
              </w:rPr>
              <w:t xml:space="preserve">. If Case C is supported, need to indicate SSB numerology (120/240 kHz), so can't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spellStart"/>
            <w:proofErr w:type="gramStart"/>
            <w:r>
              <w:rPr>
                <w:rFonts w:ascii="Times New Roman" w:hAnsi="Times New Roman" w:hint="eastAsia"/>
                <w:sz w:val="22"/>
                <w:szCs w:val="22"/>
                <w:lang w:eastAsia="zh-CN"/>
              </w:rPr>
              <w:t>a</w:t>
            </w:r>
            <w:proofErr w:type="spellEnd"/>
            <w:proofErr w:type="gramEnd"/>
            <w:r>
              <w:rPr>
                <w:rFonts w:ascii="Times New Roman" w:hAnsi="Times New Roman" w:hint="eastAsia"/>
                <w:sz w:val="22"/>
                <w:szCs w:val="22"/>
                <w:lang w:eastAsia="zh-CN"/>
              </w:rPr>
              <w:t xml:space="preserve"> implicit method.</w:t>
            </w:r>
          </w:p>
          <w:p w:rsidR="00B94E2A" w:rsidRDefault="00B94E2A">
            <w:pPr>
              <w:pStyle w:val="BodyText"/>
              <w:spacing w:after="0" w:line="280" w:lineRule="atLeast"/>
              <w:rPr>
                <w:rFonts w:ascii="Times New Roman" w:hAnsi="Times New Roman"/>
                <w:sz w:val="22"/>
                <w:szCs w:val="22"/>
                <w:lang w:eastAsia="zh-CN"/>
              </w:rPr>
            </w:pPr>
          </w:p>
        </w:tc>
      </w:tr>
      <w:tr w:rsidR="00AB5177" w:rsidTr="004D288C">
        <w:tc>
          <w:tcPr>
            <w:tcW w:w="1720" w:type="dxa"/>
          </w:tcPr>
          <w:p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rsidR="00AB5177" w:rsidRDefault="00AB5177" w:rsidP="004D288C">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rsidTr="004D288C">
        <w:tc>
          <w:tcPr>
            <w:tcW w:w="1720" w:type="dxa"/>
          </w:tcPr>
          <w:p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242" w:type="dxa"/>
          </w:tcPr>
          <w:p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lastRenderedPageBreak/>
        <w:t>2.1.3 SSB Resource Pattern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Keep the SS/PBCH block design unchanged for all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 between SSBs.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w:t>
      </w:r>
      <w:proofErr w:type="spellStart"/>
      <w:r>
        <w:t>Tx</w:t>
      </w:r>
      <w:proofErr w:type="spellEnd"/>
      <w:r>
        <w:t xml:space="preserve"> switching gap.</w:t>
      </w:r>
    </w:p>
    <w:p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rsidR="00B94E2A" w:rsidRDefault="002127BF">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[14] Apple:</w:t>
      </w:r>
    </w:p>
    <w:p w:rsidR="00B94E2A" w:rsidRDefault="002127BF">
      <w:pPr>
        <w:pStyle w:val="ListParagraph"/>
        <w:numPr>
          <w:ilvl w:val="1"/>
          <w:numId w:val="7"/>
        </w:numPr>
        <w:spacing w:line="240" w:lineRule="auto"/>
        <w:contextualSpacing/>
      </w:pPr>
      <w:r>
        <w:t>Support to introduce a unified SSB Pattern for 480kHz SCS and 960kHz SCS (if supported):</w:t>
      </w:r>
    </w:p>
    <w:p w:rsidR="00B94E2A" w:rsidRDefault="002127BF">
      <w:pPr>
        <w:pStyle w:val="ListParagraph"/>
        <w:numPr>
          <w:ilvl w:val="2"/>
          <w:numId w:val="7"/>
        </w:numPr>
        <w:spacing w:line="240" w:lineRule="auto"/>
        <w:contextualSpacing/>
      </w:pPr>
      <w:r>
        <w:t xml:space="preserve">The first symbol of candidate SSB have indexes {2,9,16,23} within each SSB burst. </w:t>
      </w:r>
    </w:p>
    <w:p w:rsidR="00B94E2A" w:rsidRDefault="002127BF">
      <w:pPr>
        <w:pStyle w:val="ListParagraph"/>
        <w:numPr>
          <w:ilvl w:val="2"/>
          <w:numId w:val="7"/>
        </w:numPr>
        <w:spacing w:line="240" w:lineRule="auto"/>
        <w:contextualSpacing/>
      </w:pPr>
      <w:r>
        <w:t xml:space="preserve">Reserve 2 slots for DL/UL and UL/DL switching to allow for fast UL transmission between two SSB bursts.  </w:t>
      </w:r>
    </w:p>
    <w:p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rsidR="00B94E2A" w:rsidRDefault="002127BF">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rsidR="00B94E2A" w:rsidRDefault="002127BF">
      <w:pPr>
        <w:pStyle w:val="ListParagraph"/>
        <w:numPr>
          <w:ilvl w:val="2"/>
          <w:numId w:val="7"/>
        </w:numPr>
        <w:spacing w:line="240" w:lineRule="auto"/>
        <w:contextualSpacing/>
      </w:pPr>
      <w:r>
        <w:t>A beam switching gap of 1 symbol is inserted between SSBs within the “SSB slot”</w:t>
      </w:r>
    </w:p>
    <w:p w:rsidR="00B94E2A" w:rsidRDefault="002127BF">
      <w:pPr>
        <w:pStyle w:val="ListParagraph"/>
        <w:numPr>
          <w:ilvl w:val="2"/>
          <w:numId w:val="7"/>
        </w:numPr>
        <w:spacing w:line="240" w:lineRule="auto"/>
        <w:contextualSpacing/>
      </w:pPr>
      <w:r>
        <w:t>Additional control symbols may be defined in the SSB slots with beam switching gaps between control and SSB symbols of different beams</w:t>
      </w:r>
    </w:p>
    <w:p w:rsidR="00B94E2A" w:rsidRDefault="002127BF">
      <w:pPr>
        <w:pStyle w:val="ListParagraph"/>
        <w:numPr>
          <w:ilvl w:val="2"/>
          <w:numId w:val="7"/>
        </w:numPr>
        <w:spacing w:line="240" w:lineRule="auto"/>
        <w:contextualSpacing/>
      </w:pPr>
      <w:r>
        <w:t>Additional “gap slots” may be inserted between “SSB slots” to account for URLLC and UL traffic</w:t>
      </w:r>
    </w:p>
    <w:p w:rsidR="00B94E2A" w:rsidRDefault="002127BF">
      <w:pPr>
        <w:pStyle w:val="ListParagraph"/>
        <w:numPr>
          <w:ilvl w:val="2"/>
          <w:numId w:val="7"/>
        </w:numPr>
        <w:spacing w:line="240" w:lineRule="auto"/>
        <w:contextualSpacing/>
      </w:pPr>
      <w:r>
        <w:lastRenderedPageBreak/>
        <w:t>Consider the option of aligning the higher SCS SSBs with the corresponding beams for the lower SCS SSB</w:t>
      </w:r>
    </w:p>
    <w:p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[16] Samsung:</w:t>
      </w:r>
    </w:p>
    <w:p w:rsidR="00B94E2A" w:rsidRDefault="002127BF">
      <w:pPr>
        <w:pStyle w:val="ListParagraph"/>
        <w:numPr>
          <w:ilvl w:val="1"/>
          <w:numId w:val="7"/>
        </w:numPr>
        <w:spacing w:line="240" w:lineRule="auto"/>
        <w:contextualSpacing/>
      </w:pPr>
      <w:r>
        <w:t>Support new SS/PBCH block patterns for 480 kHz and 960 kHz SCSs.</w:t>
      </w:r>
    </w:p>
    <w:p w:rsidR="00B94E2A" w:rsidRDefault="002127BF">
      <w:pPr>
        <w:pStyle w:val="ListParagraph"/>
        <w:numPr>
          <w:ilvl w:val="2"/>
          <w:numId w:val="7"/>
        </w:numPr>
        <w:spacing w:line="240" w:lineRule="auto"/>
        <w:contextualSpacing/>
      </w:pPr>
      <w:r>
        <w:t>At least one symbol should be reserved between neighboring SS/PBCH block for beam sweeping delay.</w:t>
      </w:r>
    </w:p>
    <w:p w:rsidR="00B94E2A" w:rsidRDefault="002127BF">
      <w:pPr>
        <w:pStyle w:val="ListParagraph"/>
        <w:numPr>
          <w:ilvl w:val="2"/>
          <w:numId w:val="7"/>
        </w:numPr>
        <w:spacing w:line="240" w:lineRule="auto"/>
        <w:contextualSpacing/>
      </w:pPr>
      <w:r>
        <w:t xml:space="preserve">Symbols should be reserved for CORESET and HARQ with same SCS as SS/PBCH block. </w:t>
      </w:r>
    </w:p>
    <w:p w:rsidR="00B94E2A" w:rsidRDefault="002127BF">
      <w:pPr>
        <w:pStyle w:val="ListParagraph"/>
        <w:numPr>
          <w:ilvl w:val="2"/>
          <w:numId w:val="7"/>
        </w:numPr>
        <w:spacing w:line="240" w:lineRule="auto"/>
        <w:contextualSpacing/>
      </w:pPr>
      <w:r>
        <w:t>SS/PBCH block candidate locations in a slot for Case A can be reused.</w:t>
      </w:r>
    </w:p>
    <w:p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 xml:space="preserve">From [25] NTT </w:t>
      </w:r>
      <w:proofErr w:type="spellStart"/>
      <w:r>
        <w:t>Docomo</w:t>
      </w:r>
      <w:proofErr w:type="spellEnd"/>
      <w: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[26] WILUS: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one symbol gap in time domain between SS/PBCH blocks with different SSB indices should be considered for higher subcarrier spacing (e.g., 960kHz) by taking a beam switching gap into account due to a RF interruption time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/Rx beams and/or LBT gap in unlicensed spectrum.</w:t>
      </w:r>
    </w:p>
    <w:p w:rsidR="00B94E2A" w:rsidRDefault="00B94E2A">
      <w:pPr>
        <w:pStyle w:val="ListParagraph"/>
        <w:numPr>
          <w:ilvl w:val="1"/>
          <w:numId w:val="7"/>
        </w:numPr>
        <w:overflowPunct w:val="0"/>
        <w:autoSpaceDE w:val="0"/>
        <w:autoSpaceDN w:val="0"/>
        <w:adjustRightInd w:val="0"/>
        <w:spacing w:after="180" w:line="240" w:lineRule="auto"/>
        <w:contextualSpacing/>
        <w:textAlignment w:val="baseline"/>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tc>
          <w:tcPr>
            <w:tcW w:w="1720"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frequency of “UL gaps” would relate mostly to 480kHz and 960kHz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accounting also the RX-TX switching time (pending on RAN4 feedback). With 120kHz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the total time of 5ms restricts the distribution/total duration of “UL gaps”</w:t>
            </w:r>
          </w:p>
          <w:p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w:t>
            </w:r>
            <w:r>
              <w:rPr>
                <w:rFonts w:ascii="Times New Roman" w:hAnsi="Times New Roman"/>
                <w:sz w:val="22"/>
                <w:szCs w:val="22"/>
                <w:lang w:eastAsia="zh-CN"/>
              </w:rPr>
              <w:lastRenderedPageBreak/>
              <w:t xml:space="preserve">Case A or Case C for the SSB locations within a slot regardless of RAN4 feedback on the beam sweeping gap.  </w:t>
            </w:r>
          </w:p>
          <w:p w:rsidR="00B94E2A" w:rsidRDefault="00B94E2A">
            <w:pPr>
              <w:pStyle w:val="BodyText"/>
              <w:spacing w:after="0" w:line="280" w:lineRule="atLeast"/>
              <w:rPr>
                <w:rFonts w:ascii="Times New Roman" w:hAnsi="Times New Roman"/>
                <w:sz w:val="22"/>
                <w:szCs w:val="22"/>
                <w:lang w:eastAsia="zh-CN"/>
              </w:rPr>
            </w:pP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rsidR="00B94E2A" w:rsidRDefault="002127B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tc>
          <w:tcPr>
            <w:tcW w:w="1720"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also acknowledge that feedback from RAN4 is still needed on the issue of beam switching gap and </w:t>
            </w:r>
            <w:proofErr w:type="spellStart"/>
            <w:r>
              <w:rPr>
                <w:rFonts w:ascii="Times New Roman" w:hAnsi="Times New Roman"/>
                <w:szCs w:val="22"/>
                <w:lang w:eastAsia="zh-CN"/>
              </w:rPr>
              <w:t>Tx</w:t>
            </w:r>
            <w:proofErr w:type="spellEnd"/>
            <w:r>
              <w:rPr>
                <w:rFonts w:ascii="Times New Roman" w:hAnsi="Times New Roman"/>
                <w:szCs w:val="22"/>
                <w:lang w:eastAsia="zh-CN"/>
              </w:rPr>
              <w:t>/Rx, Rx/</w:t>
            </w:r>
            <w:proofErr w:type="spellStart"/>
            <w:r>
              <w:rPr>
                <w:rFonts w:ascii="Times New Roman" w:hAnsi="Times New Roman"/>
                <w:szCs w:val="22"/>
                <w:lang w:eastAsia="zh-CN"/>
              </w:rPr>
              <w:t>Tx</w:t>
            </w:r>
            <w:proofErr w:type="spellEnd"/>
            <w:r>
              <w:rPr>
                <w:rFonts w:ascii="Times New Roman" w:hAnsi="Times New Roman"/>
                <w:szCs w:val="22"/>
                <w:lang w:eastAsia="zh-CN"/>
              </w:rPr>
              <w:t xml:space="preserve"> switching times, so it is difficult to make progress on the precise time domain pattern.</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B94E2A" w:rsidRDefault="002127BF">
            <w:pPr>
              <w:widowControl w:val="0"/>
              <w:spacing w:before="180" w:line="260" w:lineRule="auto"/>
              <w:rPr>
                <w:lang w:eastAsia="zh-CN"/>
              </w:rPr>
            </w:pPr>
            <w:r>
              <w:rPr>
                <w:rFonts w:hint="eastAsia"/>
                <w:lang w:eastAsia="zh-CN"/>
              </w:rPr>
              <w:t>For SSB 120kHz SCS, Case D can be reused.</w:t>
            </w:r>
          </w:p>
          <w:p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TP R4-</w:t>
            </w:r>
            <w:proofErr w:type="gramStart"/>
            <w:r>
              <w:rPr>
                <w:rFonts w:hint="eastAsia"/>
                <w:lang w:eastAsia="zh"/>
              </w:rPr>
              <w:t>2103260  thinks</w:t>
            </w:r>
            <w:proofErr w:type="gramEnd"/>
            <w:r>
              <w:rPr>
                <w:rFonts w:hint="eastAsia"/>
                <w:lang w:eastAsia="zh"/>
              </w:rPr>
              <w:t xml:space="preserve"> both CPs of </w:t>
            </w:r>
            <w:r>
              <w:rPr>
                <w:rFonts w:hint="eastAsia"/>
                <w:lang w:eastAsia="zh"/>
              </w:rPr>
              <w:lastRenderedPageBreak/>
              <w:t xml:space="preserve">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RAN1 can continue to wait for reply LS and clarifications from RAN4. If CP is enough for beam switching and other functions, Case D can be as a baseline. Otherwise, Case A/C or a new pattern/transmission-</w:t>
            </w:r>
            <w:proofErr w:type="gramStart"/>
            <w:r>
              <w:rPr>
                <w:rFonts w:hint="eastAsia"/>
                <w:lang w:eastAsia="zh-CN"/>
              </w:rPr>
              <w:t>mechanism  for</w:t>
            </w:r>
            <w:proofErr w:type="gramEnd"/>
            <w:r>
              <w:rPr>
                <w:rFonts w:hint="eastAsia"/>
                <w:lang w:eastAsia="zh-CN"/>
              </w:rPr>
              <w:t xml:space="preserve"> SSB 480/960kHz SCS can be considered. </w:t>
            </w:r>
          </w:p>
          <w:p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rsidR="00B94E2A" w:rsidRDefault="00B94E2A">
            <w:pPr>
              <w:pStyle w:val="BodyText"/>
              <w:spacing w:after="0" w:line="280" w:lineRule="atLeast"/>
              <w:rPr>
                <w:rFonts w:ascii="Times New Roman" w:hAnsi="Times New Roman"/>
                <w:sz w:val="22"/>
                <w:szCs w:val="22"/>
                <w:lang w:eastAsia="zh-CN"/>
              </w:rPr>
            </w:pPr>
          </w:p>
        </w:tc>
      </w:tr>
      <w:tr w:rsidR="00AB5177" w:rsidTr="004D288C">
        <w:tc>
          <w:tcPr>
            <w:tcW w:w="1720" w:type="dxa"/>
          </w:tcPr>
          <w:p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242" w:type="dxa"/>
          </w:tcPr>
          <w:p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rsidR="00AB5177" w:rsidRDefault="00AB5177" w:rsidP="004D288C">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rsidTr="004D288C">
        <w:tc>
          <w:tcPr>
            <w:tcW w:w="1720" w:type="dxa"/>
          </w:tcPr>
          <w:p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242" w:type="dxa"/>
          </w:tcPr>
          <w:p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We don’t see the need for any change in SSB pattern design for 120 kHz. Please note that  we still support DBTW for 120 kHz SSB: 120 kHz SSB burst can slide within the 5 </w:t>
            </w:r>
            <w:proofErr w:type="spellStart"/>
            <w:r w:rsidRPr="007E12F0">
              <w:rPr>
                <w:rFonts w:ascii="Times New Roman" w:hAnsi="Times New Roman"/>
                <w:sz w:val="22"/>
                <w:szCs w:val="22"/>
                <w:lang w:eastAsia="zh-CN"/>
              </w:rPr>
              <w:t>ms</w:t>
            </w:r>
            <w:proofErr w:type="spellEnd"/>
            <w:r w:rsidRPr="007E12F0">
              <w:rPr>
                <w:rFonts w:ascii="Times New Roman" w:hAnsi="Times New Roman"/>
                <w:sz w:val="22"/>
                <w:szCs w:val="22"/>
                <w:lang w:eastAsia="zh-CN"/>
              </w:rPr>
              <w:t xml:space="preserve"> DBTW if Q&lt;64 (e.g., Q=32)</w:t>
            </w:r>
          </w:p>
          <w:p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2.1.4 CORESET#0 Configuration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w:t>
      </w:r>
      <w:proofErr w:type="spellStart"/>
      <w:r>
        <w:rPr>
          <w:rFonts w:ascii="Times New Roman" w:hAnsi="Times New Roman" w:hint="eastAsia"/>
          <w:sz w:val="22"/>
          <w:szCs w:val="22"/>
          <w:lang w:eastAsia="zh-CN"/>
        </w:rPr>
        <w:t>Coreset</w:t>
      </w:r>
      <w:proofErr w:type="spellEnd"/>
      <w:r>
        <w:rPr>
          <w:rFonts w:ascii="Times New Roman" w:hAnsi="Times New Roman" w:hint="eastAsia"/>
          <w:sz w:val="22"/>
          <w:szCs w:val="22"/>
          <w:lang w:eastAsia="zh-CN"/>
        </w:rPr>
        <w:t xml:space="preserve"> 0 multiplexing patterns are supported for each SCS pair:</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at least SSB and CORESET multiplexing pattern 1 for {480, 480} case. Pending on the UE minimum BW capability, consider also SSB and CORESET multiplexing pattern 3.</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}^{CORESET}={[1],2, 3}</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}^{CORESET}={1, 2}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480kHz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24, 48}.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24}.</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={1, 2}</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rsidR="00B94E2A" w:rsidRDefault="002127BF">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tc>
          <w:tcPr>
            <w:tcW w:w="1720"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 xml:space="preserve">#0/Type0-PDCCH (i.e., Alt 1 of the first sub-bullet).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42"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tc>
          <w:tcPr>
            <w:tcW w:w="1720"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spellStart"/>
            <w:proofErr w:type="gramStart"/>
            <w:r>
              <w:rPr>
                <w:rFonts w:ascii="Times New Roman" w:hAnsi="Times New Roman"/>
                <w:sz w:val="22"/>
                <w:szCs w:val="22"/>
                <w:lang w:eastAsia="zh-CN"/>
              </w:rPr>
              <w:t>etc</w:t>
            </w:r>
            <w:proofErr w:type="spellEnd"/>
            <w:r>
              <w:rPr>
                <w:rFonts w:ascii="Times New Roman" w:hAnsi="Times New Roman"/>
                <w:sz w:val="22"/>
                <w:szCs w:val="22"/>
                <w:lang w:eastAsia="zh-CN"/>
              </w:rPr>
              <w:t>)so</w:t>
            </w:r>
            <w:proofErr w:type="gramEnd"/>
            <w:r>
              <w:rPr>
                <w:rFonts w:ascii="Times New Roman" w:hAnsi="Times New Roman"/>
                <w:sz w:val="22"/>
                <w:szCs w:val="22"/>
                <w:lang w:eastAsia="zh-CN"/>
              </w:rPr>
              <w:t xml:space="preserve"> we support Alt 1 for the SCS of CORESET#0.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rsidR="00B94E2A" w:rsidRDefault="00B94E2A">
            <w:pPr>
              <w:pStyle w:val="BodyText"/>
              <w:spacing w:after="0" w:line="280" w:lineRule="atLeast"/>
              <w:rPr>
                <w:rFonts w:ascii="Times New Roman" w:eastAsiaTheme="minorEastAsia" w:hAnsi="Times New Roman"/>
                <w:sz w:val="22"/>
                <w:szCs w:val="22"/>
                <w:lang w:eastAsia="ko-KR"/>
              </w:rPr>
            </w:pP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rsidTr="00AB5177">
        <w:tc>
          <w:tcPr>
            <w:tcW w:w="1720" w:type="dxa"/>
          </w:tcPr>
          <w:p w:rsidR="00AB5177" w:rsidRDefault="00AB5177" w:rsidP="00313E1B">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242" w:type="dxa"/>
          </w:tcPr>
          <w:p w:rsidR="00AB5177" w:rsidRDefault="00AB5177" w:rsidP="004D288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rsidTr="00AB5177">
        <w:tc>
          <w:tcPr>
            <w:tcW w:w="1720" w:type="dxa"/>
          </w:tcPr>
          <w:p w:rsidR="00313E1B" w:rsidRPr="00613F28" w:rsidRDefault="00313E1B" w:rsidP="00313E1B">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242" w:type="dxa"/>
          </w:tcPr>
          <w:p w:rsidR="00313E1B" w:rsidRPr="00613F28" w:rsidRDefault="00313E1B" w:rsidP="00313E1B">
            <w:pPr>
              <w:pStyle w:val="BodyText"/>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As such, in addition to what is already supported, we support 96 RB CORESET#0 for {SSB, CORESET#0} SCS</w:t>
            </w:r>
            <w:proofErr w:type="gramStart"/>
            <w:r w:rsidRPr="00613F28">
              <w:rPr>
                <w:rFonts w:ascii="Times New Roman" w:hAnsi="Times New Roman"/>
                <w:sz w:val="22"/>
                <w:szCs w:val="22"/>
                <w:lang w:eastAsia="zh-CN"/>
              </w:rPr>
              <w:t>={</w:t>
            </w:r>
            <w:proofErr w:type="gramEnd"/>
            <w:r w:rsidRPr="00613F28">
              <w:rPr>
                <w:rFonts w:ascii="Times New Roman" w:hAnsi="Times New Roman"/>
                <w:sz w:val="22"/>
                <w:szCs w:val="22"/>
                <w:lang w:eastAsia="zh-CN"/>
              </w:rPr>
              <w:t xml:space="preserve">120, 120} kHz. Both Mux1 and Mux3 patterns can be supported for 96 RB CORESET#0. </w:t>
            </w:r>
          </w:p>
        </w:tc>
      </w:tr>
    </w:tbl>
    <w:p w:rsidR="00B94E2A" w:rsidRPr="00AB5177"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2.1.5 Various other aspects on SSB Design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when LBT operation is not mandated by the spectrum regulations.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and discovery burst (DS) at least for 120 kHz SSB.</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commonality with 120 kHz SSB.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support of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as default value, LBT operation control, application of short signal exemption for DB, TRS availability for time error correction, and SSB coverage enhancements.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rsidR="00B94E2A" w:rsidRDefault="00B94E2A">
      <w:pPr>
        <w:pStyle w:val="BodyText"/>
        <w:spacing w:after="0"/>
        <w:ind w:left="72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B94E2A">
        <w:tc>
          <w:tcPr>
            <w:tcW w:w="1720"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tc>
          <w:tcPr>
            <w:tcW w:w="1720"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rsidR="00B94E2A" w:rsidRDefault="002127BF">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tc>
          <w:tcPr>
            <w:tcW w:w="1720"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rsidR="00B94E2A" w:rsidRDefault="002127BF">
            <w:pPr>
              <w:pStyle w:val="BodyText"/>
              <w:spacing w:after="0" w:line="280" w:lineRule="atLeast"/>
              <w:rPr>
                <w:szCs w:val="22"/>
                <w:lang w:eastAsia="zh-CN"/>
              </w:rPr>
            </w:pPr>
            <w:r>
              <w:rPr>
                <w:rFonts w:hint="eastAsia"/>
                <w:szCs w:val="22"/>
                <w:lang w:eastAsia="zh-CN"/>
              </w:rPr>
              <w:t>These issues are in low priority and can be discussed later.</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2127BF">
      <w:pPr>
        <w:pStyle w:val="Heading2"/>
        <w:rPr>
          <w:lang w:eastAsia="zh-CN"/>
        </w:rPr>
      </w:pPr>
      <w:r>
        <w:rPr>
          <w:lang w:eastAsia="zh-CN"/>
        </w:rPr>
        <w:lastRenderedPageBreak/>
        <w:t xml:space="preserve">2.2 PRACH Aspects </w:t>
      </w:r>
    </w:p>
    <w:p w:rsidR="00B94E2A" w:rsidRDefault="002127BF">
      <w:pPr>
        <w:pStyle w:val="Heading3"/>
        <w:rPr>
          <w:lang w:eastAsia="zh-CN"/>
        </w:rPr>
      </w:pPr>
      <w:r>
        <w:rPr>
          <w:lang w:eastAsia="zh-CN"/>
        </w:rPr>
        <w:t>2.2.1 Supported PRACH Numerology</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 xml:space="preserve">For cases other than initial access (e.g. for a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  additional</w:t>
      </w:r>
      <w:proofErr w:type="gramEnd"/>
      <w:r>
        <w:rPr>
          <w:rFonts w:ascii="Times New Roman" w:hAnsi="Times New Roman"/>
          <w:sz w:val="22"/>
          <w:szCs w:val="22"/>
          <w:lang w:eastAsia="zh-CN"/>
        </w:rPr>
        <w:t xml:space="preserve">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rsidR="00B94E2A" w:rsidRDefault="00B94E2A">
      <w:pPr>
        <w:pStyle w:val="BodyText"/>
        <w:numPr>
          <w:ilvl w:val="1"/>
          <w:numId w:val="7"/>
        </w:numPr>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rsidR="00B94E2A" w:rsidRDefault="00B94E2A">
      <w:pPr>
        <w:pStyle w:val="BodyText"/>
        <w:spacing w:after="0"/>
        <w:rPr>
          <w:rFonts w:ascii="Times New Roman" w:hAnsi="Times New Roman"/>
          <w:sz w:val="22"/>
          <w:szCs w:val="22"/>
          <w:lang w:eastAsia="zh-CN"/>
        </w:rPr>
      </w:pP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rsidTr="00BB03D0">
        <w:tc>
          <w:tcPr>
            <w:tcW w:w="1805"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rsidTr="00BB03D0">
        <w:tc>
          <w:tcPr>
            <w:tcW w:w="180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B94E2A" w:rsidTr="00BB03D0">
        <w:tc>
          <w:tcPr>
            <w:tcW w:w="1805" w:type="dxa"/>
          </w:tcPr>
          <w:p w:rsidR="00B94E2A" w:rsidRDefault="00B94E2A">
            <w:pPr>
              <w:pStyle w:val="BodyText"/>
              <w:spacing w:after="0" w:line="280" w:lineRule="atLeast"/>
              <w:rPr>
                <w:rFonts w:ascii="Times New Roman" w:eastAsiaTheme="minorEastAsia" w:hAnsi="Times New Roman"/>
                <w:sz w:val="22"/>
                <w:szCs w:val="22"/>
                <w:lang w:eastAsia="ko-KR"/>
              </w:rPr>
            </w:pPr>
          </w:p>
        </w:tc>
        <w:tc>
          <w:tcPr>
            <w:tcW w:w="8157" w:type="dxa"/>
          </w:tcPr>
          <w:p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(RRC_CONNECTED)</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rsidTr="00BB03D0">
        <w:tc>
          <w:tcPr>
            <w:tcW w:w="1805"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rsidTr="00BB03D0">
        <w:tc>
          <w:tcPr>
            <w:tcW w:w="1805"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rsidTr="00BB03D0">
        <w:tc>
          <w:tcPr>
            <w:tcW w:w="1805" w:type="dxa"/>
          </w:tcPr>
          <w:p w:rsidR="007F3DD8" w:rsidRPr="00613F28" w:rsidRDefault="007F3DD8" w:rsidP="007F3DD8">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proofErr w:type="spellStart"/>
            <w:r w:rsidRPr="00613F28">
              <w:t>ServingCellConfigCommon</w:t>
            </w:r>
            <w:proofErr w:type="spellEnd"/>
            <w:r w:rsidRPr="00613F28">
              <w:t xml:space="preserve"> -&gt; </w:t>
            </w:r>
            <w:proofErr w:type="spellStart"/>
            <w:r w:rsidRPr="00613F28">
              <w:t>UplinkConfigCommon</w:t>
            </w:r>
            <w:proofErr w:type="spellEnd"/>
            <w:r w:rsidRPr="00613F28">
              <w:t>, only 120 kHz RACH is supported to avoid using more than one SCS during initial access.</w:t>
            </w:r>
          </w:p>
        </w:tc>
      </w:tr>
      <w:tr w:rsidR="00BB03D0" w:rsidTr="00BB03D0">
        <w:tc>
          <w:tcPr>
            <w:tcW w:w="1805" w:type="dxa"/>
          </w:tcPr>
          <w:p w:rsidR="00BB03D0" w:rsidRPr="00806057" w:rsidRDefault="00BB03D0" w:rsidP="00BB03D0">
            <w:pPr>
              <w:pStyle w:val="BodyText"/>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w:t>
            </w:r>
            <w:proofErr w:type="spellStart"/>
            <w:r w:rsidRPr="00806057">
              <w:rPr>
                <w:rFonts w:ascii="Times" w:hAnsi="Times" w:cs="Times"/>
                <w:sz w:val="22"/>
                <w:szCs w:val="22"/>
                <w:lang w:val="en-GB" w:eastAsia="zh-CN"/>
              </w:rPr>
              <w:t>tdoc</w:t>
            </w:r>
            <w:proofErr w:type="spellEnd"/>
            <w:r w:rsidRPr="00806057">
              <w:rPr>
                <w:rFonts w:ascii="Times" w:hAnsi="Times" w:cs="Times"/>
                <w:sz w:val="22"/>
                <w:szCs w:val="22"/>
                <w:lang w:val="en-GB" w:eastAsia="zh-CN"/>
              </w:rPr>
              <w:t xml:space="preserve"> is missing, so please help capturing it in the summary. </w:t>
            </w:r>
          </w:p>
          <w:p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bl>
    <w:p w:rsidR="00B94E2A" w:rsidRDefault="00B94E2A">
      <w:pPr>
        <w:pStyle w:val="B2"/>
        <w:rPr>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2.2.2 PRACH Sequence and Format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the usage of higher SCS, the issue of preamble sequence generation needs to be considered to match the certain coverage area.</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L_{RA}= 571 with SCS 480 kHz and 960 kHz, i.e., </w:t>
      </w:r>
      <w:proofErr w:type="gramStart"/>
      <w:r>
        <w:rPr>
          <w:rFonts w:ascii="Times New Roman" w:hAnsi="Times New Roman"/>
          <w:sz w:val="22"/>
          <w:szCs w:val="22"/>
          <w:lang w:eastAsia="zh-CN"/>
        </w:rPr>
        <w:t>\mu\in{</w:t>
      </w:r>
      <w:proofErr w:type="gramEnd"/>
      <w:r>
        <w:rPr>
          <w:rFonts w:ascii="Times New Roman" w:hAnsi="Times New Roman"/>
          <w:sz w:val="22"/>
          <w:szCs w:val="22"/>
          <w:lang w:eastAsia="zh-CN"/>
        </w:rPr>
        <w:t>5,\ 6}, in addition to the formats for L_{RA}= 139.</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Samsung, [Interdigital], Sharp,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PRACH formats: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B94E2A">
        <w:tc>
          <w:tcPr>
            <w:tcW w:w="9962" w:type="dxa"/>
          </w:tcPr>
          <w:p w:rsidR="00B94E2A" w:rsidRDefault="002127BF">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rsidR="00B94E2A" w:rsidRDefault="002127BF">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rsidR="00B94E2A" w:rsidRDefault="002127BF">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rsidR="00B94E2A" w:rsidRDefault="00B94E2A">
      <w:pPr>
        <w:pStyle w:val="BodyText"/>
        <w:spacing w:after="0"/>
        <w:rPr>
          <w:rFonts w:ascii="Times New Roman" w:hAnsi="Times New Roman"/>
          <w:sz w:val="22"/>
          <w:szCs w:val="22"/>
          <w:lang w:eastAsia="zh-CN"/>
        </w:rPr>
      </w:pPr>
    </w:p>
    <w:p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rsidTr="00BB03D0">
        <w:tc>
          <w:tcPr>
            <w:tcW w:w="1805"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rsidTr="00BB03D0">
        <w:tc>
          <w:tcPr>
            <w:tcW w:w="180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for PRACH Formats A1~A3, B1~B4, C0, and C2, respectively.</w:t>
            </w:r>
          </w:p>
        </w:tc>
      </w:tr>
      <w:tr w:rsidR="00B94E2A" w:rsidTr="00BB03D0">
        <w:tc>
          <w:tcPr>
            <w:tcW w:w="180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rsidTr="00BB03D0">
        <w:tc>
          <w:tcPr>
            <w:tcW w:w="180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rsidTr="00BB03D0">
        <w:tc>
          <w:tcPr>
            <w:tcW w:w="1805"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rsidTr="00BB03D0">
        <w:tc>
          <w:tcPr>
            <w:tcW w:w="1805"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rsidTr="00BB03D0">
        <w:tc>
          <w:tcPr>
            <w:tcW w:w="1805"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rsidTr="00BB03D0">
        <w:tc>
          <w:tcPr>
            <w:tcW w:w="1805" w:type="dxa"/>
          </w:tcPr>
          <w:p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2.2.3 RACH Occasion Resources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Regarding PRACH RO configurations for SCS 480 kHz and 960 kHz: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 Needed: Interdigital, Intel, Ericsson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rsidR="00B94E2A" w:rsidRDefault="00B94E2A">
      <w:pPr>
        <w:pStyle w:val="BodyText"/>
        <w:spacing w:after="0"/>
        <w:rPr>
          <w:rFonts w:ascii="Times New Roman" w:hAnsi="Times New Roman"/>
          <w:sz w:val="22"/>
          <w:szCs w:val="22"/>
          <w:lang w:eastAsia="zh-CN"/>
        </w:rPr>
      </w:pP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will provide a suggested proposal based on feedback by UTC 03:00am April 14.</w:t>
      </w: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rsidTr="00BB03D0">
        <w:tc>
          <w:tcPr>
            <w:tcW w:w="1805"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rsidTr="00BB03D0">
        <w:tc>
          <w:tcPr>
            <w:tcW w:w="180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rsidTr="00BB03D0">
        <w:tc>
          <w:tcPr>
            <w:tcW w:w="180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rsidR="00B94E2A" w:rsidRDefault="00B94E2A">
            <w:pPr>
              <w:pStyle w:val="BodyText"/>
              <w:spacing w:after="0" w:line="280" w:lineRule="atLeast"/>
              <w:rPr>
                <w:rFonts w:ascii="Times New Roman" w:eastAsiaTheme="minorEastAsia" w:hAnsi="Times New Roman"/>
                <w:sz w:val="22"/>
                <w:szCs w:val="22"/>
                <w:lang w:eastAsia="ko-KR"/>
              </w:rPr>
            </w:pPr>
          </w:p>
        </w:tc>
      </w:tr>
      <w:tr w:rsidR="00B94E2A" w:rsidTr="00BB03D0">
        <w:tc>
          <w:tcPr>
            <w:tcW w:w="180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rsidTr="00BB03D0">
        <w:tc>
          <w:tcPr>
            <w:tcW w:w="1805"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high level principle on how many ROs per 60 kHz reference slot should be supported. In FR2, if 120 kHz PRACH is configured, there can be up to 2 ROs per 60 kHz reference slot. Our preference is to maintain the same PRACH processing load at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(operations/unit time) as for 120 kHz PRACH. Hence, for 480/960 kHz PRACH, we suggest the same limitation – up to two ROs per 60 kHz reference slot. It can be further discussed which two ROs can be configured, but knowing how many would be a good first step.</w:t>
            </w:r>
          </w:p>
        </w:tc>
      </w:tr>
      <w:tr w:rsidR="00B94E2A" w:rsidTr="00BB03D0">
        <w:tc>
          <w:tcPr>
            <w:tcW w:w="1805"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rsidTr="00BB03D0">
        <w:tc>
          <w:tcPr>
            <w:tcW w:w="1805"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6" w:name="OLE_LINK156"/>
            <w:bookmarkStart w:id="7"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6"/>
            <w:bookmarkEnd w:id="7"/>
          </w:p>
        </w:tc>
      </w:tr>
      <w:tr w:rsidR="00BB03D0" w:rsidTr="00BB03D0">
        <w:tc>
          <w:tcPr>
            <w:tcW w:w="1805" w:type="dxa"/>
          </w:tcPr>
          <w:p w:rsidR="00BB03D0" w:rsidRDefault="00BB03D0" w:rsidP="00BB03D0">
            <w:pPr>
              <w:pStyle w:val="BodyText"/>
              <w:spacing w:after="0" w:line="280" w:lineRule="atLeast"/>
              <w:rPr>
                <w:rFonts w:ascii="Times New Roman" w:hAnsi="Times New Roman" w:hint="eastAsia"/>
                <w:szCs w:val="22"/>
                <w:lang w:eastAsia="zh-CN"/>
              </w:rPr>
            </w:pPr>
            <w:r>
              <w:rPr>
                <w:rFonts w:ascii="Times New Roman" w:hAnsi="Times New Roman"/>
                <w:szCs w:val="22"/>
                <w:lang w:eastAsia="zh-CN"/>
              </w:rPr>
              <w:lastRenderedPageBreak/>
              <w:t>Samsung</w:t>
            </w:r>
          </w:p>
        </w:tc>
        <w:tc>
          <w:tcPr>
            <w:tcW w:w="8157" w:type="dxa"/>
          </w:tcPr>
          <w:p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rsidR="00BB03D0" w:rsidRDefault="00BB03D0" w:rsidP="00BB03D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rsidR="00BB03D0" w:rsidRDefault="00BB03D0" w:rsidP="00BB03D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rsidR="00BB03D0" w:rsidRDefault="00BB03D0" w:rsidP="00BB03D0">
            <w:pPr>
              <w:pStyle w:val="BodyText"/>
              <w:spacing w:after="0" w:line="280" w:lineRule="atLeast"/>
              <w:rPr>
                <w:rFonts w:ascii="Times New Roman" w:hAnsi="Times New Roman" w:hint="eastAsia"/>
                <w:szCs w:val="22"/>
                <w:lang w:eastAsia="zh-CN"/>
              </w:rPr>
            </w:pP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2.2.4 RA Preamble ID calculation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Alt.1: Modify the RA-RNTI formula as following and introduce some contention resolution mechanism to resolve the conflict.</w:t>
      </w:r>
    </w:p>
    <w:p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w:t>
      </w:r>
      <w:proofErr w:type="gramStart"/>
      <w:r>
        <w:rPr>
          <w:rFonts w:ascii="Times New Roman" w:hAnsi="Times New Roman" w:hint="eastAsia"/>
          <w:sz w:val="22"/>
          <w:szCs w:val="22"/>
          <w:lang w:eastAsia="zh-CN"/>
        </w:rPr>
        <w:t>divided  into</w:t>
      </w:r>
      <w:proofErr w:type="gramEnd"/>
      <w:r>
        <w:rPr>
          <w:rFonts w:ascii="Times New Roman" w:hAnsi="Times New Roman" w:hint="eastAsia"/>
          <w:sz w:val="22"/>
          <w:szCs w:val="22"/>
          <w:lang w:eastAsia="zh-CN"/>
        </w:rPr>
        <w:t xml:space="preserve">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r>
        <w:rPr>
          <w:rFonts w:ascii="Times New Roman" w:hAnsi="Times New Roman" w:hint="eastAsia"/>
          <w:sz w:val="22"/>
          <w:szCs w:val="22"/>
          <w:lang w:eastAsia="zh-CN"/>
        </w:rPr>
        <w:t>(</w:t>
      </w:r>
      <w:proofErr w:type="spellStart"/>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rsidR="00B94E2A" w:rsidRDefault="002127B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in RAR</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rsidTr="00BB03D0">
        <w:tc>
          <w:tcPr>
            <w:tcW w:w="1805"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rsidTr="00BB03D0">
        <w:tc>
          <w:tcPr>
            <w:tcW w:w="180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rsidTr="00BB03D0">
        <w:tc>
          <w:tcPr>
            <w:tcW w:w="1805" w:type="dxa"/>
          </w:tcPr>
          <w:p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rsidTr="00BB03D0">
        <w:tc>
          <w:tcPr>
            <w:tcW w:w="1805" w:type="dxa"/>
          </w:tcPr>
          <w:p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rsidTr="00BB03D0">
        <w:tc>
          <w:tcPr>
            <w:tcW w:w="1805" w:type="dxa"/>
          </w:tcPr>
          <w:p w:rsidR="00B94E2A" w:rsidRDefault="002127BF">
            <w:pPr>
              <w:pStyle w:val="BodyText"/>
              <w:spacing w:after="0" w:line="280" w:lineRule="atLeast"/>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rsidTr="00BB03D0">
        <w:tc>
          <w:tcPr>
            <w:tcW w:w="1805" w:type="dxa"/>
          </w:tcPr>
          <w:p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rsidTr="00BB03D0">
        <w:tc>
          <w:tcPr>
            <w:tcW w:w="1805" w:type="dxa"/>
          </w:tcPr>
          <w:p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rsidR="00B94E2A" w:rsidRDefault="002127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rsidTr="00BB03D0">
        <w:tc>
          <w:tcPr>
            <w:tcW w:w="1805" w:type="dxa"/>
          </w:tcPr>
          <w:p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rsidR="00B94E2A" w:rsidRDefault="002127BF">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7F3DD8" w:rsidTr="00BB03D0">
        <w:tc>
          <w:tcPr>
            <w:tcW w:w="1805"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lastRenderedPageBreak/>
              <w:t>Huawei/HiSilicon</w:t>
            </w:r>
          </w:p>
        </w:tc>
        <w:tc>
          <w:tcPr>
            <w:tcW w:w="8157"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rsidTr="00BB03D0">
        <w:tc>
          <w:tcPr>
            <w:tcW w:w="1805" w:type="dxa"/>
          </w:tcPr>
          <w:p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3"/>
        <w:rPr>
          <w:lang w:eastAsia="zh-CN"/>
        </w:rPr>
      </w:pPr>
      <w:r>
        <w:rPr>
          <w:lang w:eastAsia="zh-CN"/>
        </w:rPr>
        <w:t>2.2.5 Other aspects on PRACH</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is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rsidR="00B94E2A" w:rsidRDefault="002127BF">
      <w:pPr>
        <w:pStyle w:val="ListParagraph"/>
        <w:numPr>
          <w:ilvl w:val="1"/>
          <w:numId w:val="7"/>
        </w:numPr>
        <w:rPr>
          <w:rFonts w:eastAsia="SimSun"/>
          <w:lang w:eastAsia="zh-CN"/>
        </w:rPr>
      </w:pPr>
      <w:r>
        <w:rPr>
          <w:rFonts w:eastAsia="SimSun"/>
          <w:lang w:eastAsia="zh-CN"/>
        </w:rPr>
        <w:lastRenderedPageBreak/>
        <w:t>Consider applying short control signal exemption to PRACH transmission by the UE.</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rsidR="00B94E2A" w:rsidRDefault="00B94E2A">
      <w:pPr>
        <w:pStyle w:val="BodyText"/>
        <w:spacing w:after="0"/>
        <w:rPr>
          <w:rFonts w:ascii="Times New Roman" w:hAnsi="Times New Roman"/>
          <w:sz w:val="22"/>
          <w:szCs w:val="22"/>
          <w:lang w:eastAsia="zh-CN"/>
        </w:rPr>
      </w:pP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rsidTr="00BB03D0">
        <w:tc>
          <w:tcPr>
            <w:tcW w:w="1805"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rsidTr="00BB03D0">
        <w:tc>
          <w:tcPr>
            <w:tcW w:w="1805"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rsidTr="00BB03D0">
        <w:tc>
          <w:tcPr>
            <w:tcW w:w="1805"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rsidTr="00BB03D0">
        <w:tc>
          <w:tcPr>
            <w:tcW w:w="1805"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w:t>
            </w:r>
            <w:proofErr w:type="spellStart"/>
            <w:r w:rsidRPr="009948DC">
              <w:rPr>
                <w:rFonts w:ascii="Times New Roman" w:hAnsi="Times New Roman"/>
                <w:sz w:val="22"/>
                <w:szCs w:val="22"/>
                <w:lang w:eastAsia="zh-CN"/>
              </w:rPr>
              <w:t>be</w:t>
            </w:r>
            <w:proofErr w:type="spellEnd"/>
            <w:r w:rsidRPr="009948DC">
              <w:rPr>
                <w:rFonts w:ascii="Times New Roman" w:hAnsi="Times New Roman"/>
                <w:sz w:val="22"/>
                <w:szCs w:val="22"/>
                <w:lang w:eastAsia="zh-CN"/>
              </w:rPr>
              <w:t xml:space="preserve"> discussed in this sub-AI. </w:t>
            </w:r>
          </w:p>
        </w:tc>
      </w:tr>
      <w:tr w:rsidR="00BB03D0" w:rsidTr="00BB03D0">
        <w:tc>
          <w:tcPr>
            <w:tcW w:w="1805" w:type="dxa"/>
          </w:tcPr>
          <w:p w:rsidR="00BB03D0" w:rsidRDefault="00BB03D0" w:rsidP="00BB03D0">
            <w:pPr>
              <w:pStyle w:val="BodyText"/>
              <w:spacing w:after="0"/>
              <w:rPr>
                <w:rFonts w:ascii="Times New Roman" w:hAnsi="Times New Roman"/>
                <w:sz w:val="22"/>
                <w:szCs w:val="22"/>
                <w:lang w:eastAsia="zh-CN"/>
              </w:rPr>
            </w:pPr>
            <w:bookmarkStart w:id="8" w:name="_GoBack" w:colFirst="0" w:colLast="-1"/>
            <w:r>
              <w:rPr>
                <w:rFonts w:ascii="Times New Roman" w:hAnsi="Times New Roman"/>
                <w:sz w:val="22"/>
                <w:szCs w:val="22"/>
                <w:lang w:eastAsia="zh-CN"/>
              </w:rPr>
              <w:t>Samsung</w:t>
            </w:r>
          </w:p>
        </w:tc>
        <w:tc>
          <w:tcPr>
            <w:tcW w:w="8157" w:type="dxa"/>
          </w:tcPr>
          <w:p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bookmarkEnd w:id="8"/>
    </w:tbl>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rsidR="00B94E2A" w:rsidRDefault="002127BF">
      <w:pPr>
        <w:pStyle w:val="BodyText"/>
        <w:numPr>
          <w:ilvl w:val="0"/>
          <w:numId w:val="17"/>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1"/>
        <w:numPr>
          <w:ilvl w:val="0"/>
          <w:numId w:val="5"/>
        </w:numPr>
        <w:ind w:left="360"/>
        <w:rPr>
          <w:rFonts w:cs="Arial"/>
          <w:sz w:val="32"/>
          <w:szCs w:val="32"/>
          <w:lang w:val="en-US"/>
        </w:rPr>
      </w:pPr>
      <w:r>
        <w:rPr>
          <w:rFonts w:cs="Arial"/>
          <w:sz w:val="32"/>
          <w:szCs w:val="32"/>
        </w:rPr>
        <w:t>Summary of Moderator Proposals and Conclusions</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1"/>
        <w:numPr>
          <w:ilvl w:val="0"/>
          <w:numId w:val="5"/>
        </w:numPr>
        <w:ind w:left="360"/>
        <w:rPr>
          <w:rFonts w:cs="Arial"/>
          <w:sz w:val="32"/>
          <w:szCs w:val="32"/>
          <w:lang w:val="en-US"/>
        </w:rPr>
      </w:pPr>
      <w:r>
        <w:rPr>
          <w:rFonts w:cs="Arial"/>
          <w:sz w:val="32"/>
          <w:szCs w:val="32"/>
        </w:rPr>
        <w:lastRenderedPageBreak/>
        <w:t>Summary of Agreements/Conclusions in RAN1 #104bis-e</w:t>
      </w:r>
    </w:p>
    <w:p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B94E2A">
      <w:pPr>
        <w:pStyle w:val="BodyText"/>
        <w:spacing w:after="0"/>
        <w:rPr>
          <w:rFonts w:ascii="Times New Roman" w:hAnsi="Times New Roman"/>
          <w:sz w:val="22"/>
          <w:szCs w:val="22"/>
          <w:lang w:eastAsia="zh-CN"/>
        </w:rPr>
      </w:pPr>
    </w:p>
    <w:p w:rsidR="00B94E2A" w:rsidRDefault="002127BF">
      <w:pPr>
        <w:pStyle w:val="Heading1"/>
        <w:textAlignment w:val="auto"/>
        <w:rPr>
          <w:rFonts w:cs="Arial"/>
          <w:sz w:val="32"/>
          <w:szCs w:val="32"/>
          <w:lang w:val="en-US"/>
        </w:rPr>
      </w:pPr>
      <w:r>
        <w:rPr>
          <w:rFonts w:cs="Arial"/>
          <w:sz w:val="32"/>
          <w:szCs w:val="32"/>
          <w:lang w:val="en-US"/>
        </w:rPr>
        <w:t>Reference</w:t>
      </w:r>
    </w:p>
    <w:p w:rsidR="00B94E2A" w:rsidRDefault="002127BF">
      <w:pPr>
        <w:pStyle w:val="ListParagraph"/>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rsidR="00B94E2A" w:rsidRDefault="002127BF">
      <w:pPr>
        <w:pStyle w:val="ListParagraph"/>
        <w:numPr>
          <w:ilvl w:val="0"/>
          <w:numId w:val="18"/>
        </w:numPr>
        <w:ind w:left="540" w:hanging="540"/>
        <w:rPr>
          <w:rFonts w:eastAsia="Calibri"/>
          <w:lang w:eastAsia="zh-CN"/>
        </w:rPr>
      </w:pPr>
      <w:r>
        <w:rPr>
          <w:rFonts w:eastAsia="Calibri"/>
          <w:lang w:eastAsia="zh-CN"/>
        </w:rPr>
        <w:t>R1-2102385, “Discussion on initial access aspects,” OPPO</w:t>
      </w:r>
    </w:p>
    <w:p w:rsidR="00B94E2A" w:rsidRDefault="002127BF">
      <w:pPr>
        <w:pStyle w:val="ListParagraph"/>
        <w:numPr>
          <w:ilvl w:val="0"/>
          <w:numId w:val="18"/>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rsidR="00B94E2A" w:rsidRDefault="002127BF">
      <w:pPr>
        <w:pStyle w:val="ListParagraph"/>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rsidR="00B94E2A" w:rsidRDefault="002127BF">
      <w:pPr>
        <w:pStyle w:val="ListParagraph"/>
        <w:numPr>
          <w:ilvl w:val="0"/>
          <w:numId w:val="18"/>
        </w:numPr>
        <w:ind w:left="540" w:hanging="540"/>
        <w:rPr>
          <w:rFonts w:eastAsia="Calibri"/>
          <w:lang w:eastAsia="zh-CN"/>
        </w:rPr>
      </w:pPr>
      <w:r>
        <w:rPr>
          <w:rFonts w:eastAsia="Calibri"/>
          <w:lang w:eastAsia="zh-CN"/>
        </w:rPr>
        <w:t>R1-2102558, “Initial access aspects,” Nokia, Nokia Shanghai Bell</w:t>
      </w:r>
    </w:p>
    <w:p w:rsidR="00B94E2A" w:rsidRDefault="002127BF">
      <w:pPr>
        <w:pStyle w:val="ListParagraph"/>
        <w:numPr>
          <w:ilvl w:val="0"/>
          <w:numId w:val="18"/>
        </w:numPr>
        <w:ind w:left="540" w:hanging="540"/>
        <w:rPr>
          <w:rFonts w:eastAsia="Calibri"/>
          <w:lang w:eastAsia="zh-CN"/>
        </w:rPr>
      </w:pPr>
      <w:r>
        <w:rPr>
          <w:rFonts w:eastAsia="Calibri"/>
          <w:lang w:eastAsia="zh-CN"/>
        </w:rPr>
        <w:t>R1-2102621, “Initial access aspects for up to 71GHz operation,” CATT</w:t>
      </w:r>
    </w:p>
    <w:p w:rsidR="00B94E2A" w:rsidRDefault="002127BF">
      <w:pPr>
        <w:pStyle w:val="ListParagraph"/>
        <w:numPr>
          <w:ilvl w:val="0"/>
          <w:numId w:val="18"/>
        </w:numPr>
        <w:ind w:left="540" w:hanging="540"/>
        <w:rPr>
          <w:rFonts w:eastAsia="Calibri"/>
          <w:lang w:eastAsia="zh-CN"/>
        </w:rPr>
      </w:pPr>
      <w:r>
        <w:rPr>
          <w:rFonts w:eastAsia="Calibri"/>
          <w:lang w:eastAsia="zh-CN"/>
        </w:rPr>
        <w:t xml:space="preserve">R1-2102688, “Discussion on initial access of 52.6-71 GHz NR operation,” </w:t>
      </w:r>
      <w:proofErr w:type="spellStart"/>
      <w:r>
        <w:rPr>
          <w:rFonts w:eastAsia="Calibri"/>
          <w:lang w:eastAsia="zh-CN"/>
        </w:rPr>
        <w:t>MediaTek</w:t>
      </w:r>
      <w:proofErr w:type="spellEnd"/>
      <w:r>
        <w:rPr>
          <w:rFonts w:eastAsia="Calibri"/>
          <w:lang w:eastAsia="zh-CN"/>
        </w:rPr>
        <w:t xml:space="preserve"> Inc.</w:t>
      </w:r>
    </w:p>
    <w:p w:rsidR="00B94E2A" w:rsidRDefault="002127BF">
      <w:pPr>
        <w:pStyle w:val="ListParagraph"/>
        <w:numPr>
          <w:ilvl w:val="0"/>
          <w:numId w:val="18"/>
        </w:numPr>
        <w:ind w:left="540" w:hanging="540"/>
        <w:rPr>
          <w:rFonts w:eastAsia="Calibri"/>
          <w:lang w:eastAsia="zh-CN"/>
        </w:rPr>
      </w:pPr>
      <w:r>
        <w:rPr>
          <w:rFonts w:eastAsia="Calibri"/>
          <w:lang w:eastAsia="zh-CN"/>
        </w:rPr>
        <w:t>R1-2102715, “Considerations on initial access for NR from 52.6GHz to 71 GHz,” Fujitsu</w:t>
      </w:r>
    </w:p>
    <w:p w:rsidR="00B94E2A" w:rsidRDefault="002127BF">
      <w:pPr>
        <w:pStyle w:val="ListParagraph"/>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rsidR="00B94E2A" w:rsidRDefault="002127BF">
      <w:pPr>
        <w:pStyle w:val="ListParagraph"/>
        <w:numPr>
          <w:ilvl w:val="0"/>
          <w:numId w:val="18"/>
        </w:numPr>
        <w:ind w:left="540" w:hanging="540"/>
        <w:rPr>
          <w:rFonts w:eastAsia="Calibri"/>
          <w:lang w:eastAsia="zh-CN"/>
        </w:rPr>
      </w:pPr>
      <w:r>
        <w:rPr>
          <w:rFonts w:eastAsia="Calibri"/>
          <w:lang w:eastAsia="zh-CN"/>
        </w:rPr>
        <w:t>R1-2102788, “Initial Access Aspects,” Ericsson</w:t>
      </w:r>
    </w:p>
    <w:p w:rsidR="00B94E2A" w:rsidRDefault="002127BF">
      <w:pPr>
        <w:pStyle w:val="ListParagraph"/>
        <w:numPr>
          <w:ilvl w:val="0"/>
          <w:numId w:val="18"/>
        </w:numPr>
        <w:ind w:left="540" w:hanging="540"/>
        <w:rPr>
          <w:rFonts w:eastAsia="Calibri"/>
          <w:lang w:eastAsia="zh-CN"/>
        </w:rPr>
      </w:pPr>
      <w:r>
        <w:rPr>
          <w:rFonts w:eastAsia="Calibri"/>
          <w:lang w:eastAsia="zh-CN"/>
        </w:rPr>
        <w:t>R1-2102977, “On initial access aspects for NR from 52.6GHz to 71GHz,” Xiaomi</w:t>
      </w:r>
    </w:p>
    <w:p w:rsidR="00B94E2A" w:rsidRDefault="002127BF">
      <w:pPr>
        <w:pStyle w:val="ListParagraph"/>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rsidR="00B94E2A" w:rsidRDefault="002127BF">
      <w:pPr>
        <w:pStyle w:val="ListParagraph"/>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rsidR="00B94E2A" w:rsidRDefault="002127BF">
      <w:pPr>
        <w:pStyle w:val="ListParagraph"/>
        <w:numPr>
          <w:ilvl w:val="0"/>
          <w:numId w:val="18"/>
        </w:numPr>
        <w:ind w:left="540" w:hanging="540"/>
        <w:rPr>
          <w:rFonts w:eastAsia="Calibri"/>
          <w:lang w:eastAsia="zh-CN"/>
        </w:rPr>
      </w:pPr>
      <w:r>
        <w:rPr>
          <w:rFonts w:eastAsia="Calibri"/>
          <w:lang w:eastAsia="zh-CN"/>
        </w:rPr>
        <w:t>R1-2103096, “Discussion on Initial access signals and channels,” Apple</w:t>
      </w:r>
    </w:p>
    <w:p w:rsidR="00B94E2A" w:rsidRDefault="002127BF">
      <w:pPr>
        <w:pStyle w:val="ListParagraph"/>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rsidR="00B94E2A" w:rsidRDefault="002127BF">
      <w:pPr>
        <w:pStyle w:val="ListParagraph"/>
        <w:numPr>
          <w:ilvl w:val="0"/>
          <w:numId w:val="18"/>
        </w:numPr>
        <w:ind w:left="540" w:hanging="540"/>
        <w:rPr>
          <w:rFonts w:eastAsia="Calibri"/>
          <w:lang w:eastAsia="zh-CN"/>
        </w:rPr>
      </w:pPr>
      <w:r>
        <w:rPr>
          <w:rFonts w:eastAsia="Calibri"/>
          <w:lang w:eastAsia="zh-CN"/>
        </w:rPr>
        <w:t>R1-2103229, “Initial access aspects for NR from 52.6 GHz to 71 GHz,” Samsung</w:t>
      </w:r>
    </w:p>
    <w:p w:rsidR="00B94E2A" w:rsidRDefault="002127BF">
      <w:pPr>
        <w:pStyle w:val="ListParagraph"/>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rsidR="00B94E2A" w:rsidRDefault="002127BF">
      <w:pPr>
        <w:pStyle w:val="ListParagraph"/>
        <w:numPr>
          <w:ilvl w:val="0"/>
          <w:numId w:val="18"/>
        </w:numPr>
        <w:ind w:left="540" w:hanging="540"/>
        <w:rPr>
          <w:rFonts w:eastAsia="Calibri"/>
          <w:lang w:eastAsia="zh-CN"/>
        </w:rPr>
      </w:pPr>
      <w:r>
        <w:rPr>
          <w:rFonts w:eastAsia="Calibri"/>
          <w:lang w:eastAsia="zh-CN"/>
        </w:rPr>
        <w:t>R1-2103339, “Initial access aspects to support NR above 52.6 GHz,” LG Electronics</w:t>
      </w:r>
    </w:p>
    <w:p w:rsidR="00B94E2A" w:rsidRDefault="002127BF">
      <w:pPr>
        <w:pStyle w:val="ListParagraph"/>
        <w:numPr>
          <w:ilvl w:val="0"/>
          <w:numId w:val="18"/>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rsidR="00B94E2A" w:rsidRDefault="002127BF">
      <w:pPr>
        <w:pStyle w:val="ListParagraph"/>
        <w:numPr>
          <w:ilvl w:val="0"/>
          <w:numId w:val="18"/>
        </w:numPr>
        <w:ind w:left="540" w:hanging="540"/>
        <w:rPr>
          <w:rFonts w:eastAsia="Calibri"/>
          <w:lang w:eastAsia="zh-CN"/>
        </w:rPr>
      </w:pPr>
      <w:r>
        <w:rPr>
          <w:rFonts w:eastAsia="Calibri"/>
          <w:lang w:eastAsia="zh-CN"/>
        </w:rPr>
        <w:t>R1-2103442, “Further Discussion of Initial Access Aspects,” AT&amp;T</w:t>
      </w:r>
    </w:p>
    <w:p w:rsidR="00B94E2A" w:rsidRDefault="002127BF">
      <w:pPr>
        <w:pStyle w:val="ListParagraph"/>
        <w:numPr>
          <w:ilvl w:val="0"/>
          <w:numId w:val="18"/>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rsidR="00B94E2A" w:rsidRDefault="002127BF">
      <w:pPr>
        <w:pStyle w:val="ListParagraph"/>
        <w:numPr>
          <w:ilvl w:val="0"/>
          <w:numId w:val="18"/>
        </w:numPr>
        <w:ind w:left="540" w:hanging="540"/>
        <w:rPr>
          <w:rFonts w:eastAsia="Calibri"/>
          <w:lang w:eastAsia="zh-CN"/>
        </w:rPr>
      </w:pPr>
      <w:r>
        <w:rPr>
          <w:rFonts w:eastAsia="Calibri"/>
          <w:lang w:eastAsia="zh-CN"/>
        </w:rPr>
        <w:t>R1-2103472, “Initial access aspects,” Sharp</w:t>
      </w:r>
    </w:p>
    <w:p w:rsidR="00B94E2A" w:rsidRDefault="002127BF">
      <w:pPr>
        <w:pStyle w:val="ListParagraph"/>
        <w:numPr>
          <w:ilvl w:val="0"/>
          <w:numId w:val="18"/>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rsidR="00B94E2A" w:rsidRDefault="002127BF">
      <w:pPr>
        <w:pStyle w:val="ListParagraph"/>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rsidR="00B94E2A" w:rsidRDefault="002127BF">
      <w:pPr>
        <w:pStyle w:val="ListParagraph"/>
        <w:numPr>
          <w:ilvl w:val="0"/>
          <w:numId w:val="18"/>
        </w:numPr>
        <w:ind w:left="540" w:hanging="540"/>
        <w:rPr>
          <w:rFonts w:eastAsia="Calibri"/>
          <w:lang w:eastAsia="zh-CN"/>
        </w:rPr>
      </w:pPr>
      <w:r>
        <w:rPr>
          <w:rFonts w:eastAsia="Calibri"/>
          <w:lang w:eastAsia="zh-CN"/>
        </w:rPr>
        <w:t>R1-2103567, “Initial access aspects for NR from 52.6 to 71 GHz,” NTT DOCOMO, INC.</w:t>
      </w:r>
    </w:p>
    <w:p w:rsidR="00B94E2A" w:rsidRDefault="002127BF">
      <w:pPr>
        <w:pStyle w:val="ListParagraph"/>
        <w:numPr>
          <w:ilvl w:val="0"/>
          <w:numId w:val="18"/>
        </w:numPr>
        <w:ind w:left="540" w:hanging="540"/>
        <w:rPr>
          <w:lang w:eastAsia="zh-CN"/>
        </w:rPr>
      </w:pPr>
      <w:r>
        <w:rPr>
          <w:rFonts w:eastAsia="Calibri"/>
          <w:lang w:eastAsia="zh-CN"/>
        </w:rPr>
        <w:t>R1-2103691, “Discussion on initial access aspects for NR beyond 52.6GHz,” WILUS Inc.</w:t>
      </w:r>
    </w:p>
    <w:p w:rsidR="00B94E2A" w:rsidRDefault="00B94E2A">
      <w:pPr>
        <w:rPr>
          <w:lang w:eastAsia="zh-CN"/>
        </w:rPr>
      </w:pPr>
    </w:p>
    <w:p w:rsidR="00B94E2A" w:rsidRDefault="00B94E2A">
      <w:pPr>
        <w:rPr>
          <w:lang w:eastAsia="zh-CN"/>
        </w:rPr>
      </w:pPr>
    </w:p>
    <w:sectPr w:rsidR="00B94E2A">
      <w:headerReference w:type="even" r:id="rId16"/>
      <w:footerReference w:type="even" r:id="rId17"/>
      <w:footerReference w:type="default" r:id="rId1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C32" w:rsidRDefault="00C02C32">
      <w:pPr>
        <w:spacing w:after="0" w:line="240" w:lineRule="auto"/>
      </w:pPr>
      <w:r>
        <w:separator/>
      </w:r>
    </w:p>
  </w:endnote>
  <w:endnote w:type="continuationSeparator" w:id="0">
    <w:p w:rsidR="00C02C32" w:rsidRDefault="00C0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E2A" w:rsidRDefault="002127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94E2A" w:rsidRDefault="00B94E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E2A" w:rsidRDefault="002127BF">
    <w:pPr>
      <w:pStyle w:val="Footer"/>
      <w:ind w:right="360"/>
    </w:pPr>
    <w:r>
      <w:rPr>
        <w:rStyle w:val="PageNumber"/>
      </w:rPr>
      <w:fldChar w:fldCharType="begin"/>
    </w:r>
    <w:r>
      <w:rPr>
        <w:rStyle w:val="PageNumber"/>
      </w:rPr>
      <w:instrText xml:space="preserve"> PAGE </w:instrText>
    </w:r>
    <w:r>
      <w:rPr>
        <w:rStyle w:val="PageNumber"/>
      </w:rPr>
      <w:fldChar w:fldCharType="separate"/>
    </w:r>
    <w:r w:rsidR="00BB03D0">
      <w:rPr>
        <w:rStyle w:val="PageNumber"/>
        <w:noProof/>
      </w:rPr>
      <w:t>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B03D0">
      <w:rPr>
        <w:rStyle w:val="PageNumber"/>
        <w:noProof/>
      </w:rPr>
      <w:t>44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C32" w:rsidRDefault="00C02C32">
      <w:pPr>
        <w:spacing w:after="0" w:line="240" w:lineRule="auto"/>
      </w:pPr>
      <w:r>
        <w:separator/>
      </w:r>
    </w:p>
  </w:footnote>
  <w:footnote w:type="continuationSeparator" w:id="0">
    <w:p w:rsidR="00C02C32" w:rsidRDefault="00C02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E2A" w:rsidRDefault="002127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6"/>
  </w:num>
  <w:num w:numId="7">
    <w:abstractNumId w:val="1"/>
  </w:num>
  <w:num w:numId="8">
    <w:abstractNumId w:val="6"/>
  </w:num>
  <w:num w:numId="9">
    <w:abstractNumId w:val="15"/>
  </w:num>
  <w:num w:numId="10">
    <w:abstractNumId w:val="13"/>
  </w:num>
  <w:num w:numId="11">
    <w:abstractNumId w:val="10"/>
  </w:num>
  <w:num w:numId="12">
    <w:abstractNumId w:val="3"/>
  </w:num>
  <w:num w:numId="13">
    <w:abstractNumId w:val="4"/>
  </w:num>
  <w:num w:numId="14">
    <w:abstractNumId w:val="11"/>
  </w:num>
  <w:num w:numId="15">
    <w:abstractNumId w:val="7"/>
  </w:num>
  <w:num w:numId="16">
    <w:abstractNumId w:val="2"/>
  </w:num>
  <w:num w:numId="17">
    <w:abstractNumId w:val="14"/>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D8"/>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E3A"/>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88"/>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953B7"/>
    <w:rsid w:val="000A3BCD"/>
    <w:rsid w:val="000E4A7C"/>
    <w:rsid w:val="000E5B23"/>
    <w:rsid w:val="0010265C"/>
    <w:rsid w:val="00125956"/>
    <w:rsid w:val="00135A55"/>
    <w:rsid w:val="001530CB"/>
    <w:rsid w:val="00161CEF"/>
    <w:rsid w:val="001824B7"/>
    <w:rsid w:val="0018681A"/>
    <w:rsid w:val="001B07D1"/>
    <w:rsid w:val="001C175A"/>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313C4"/>
    <w:rsid w:val="008447D3"/>
    <w:rsid w:val="00896296"/>
    <w:rsid w:val="008B1F9D"/>
    <w:rsid w:val="008C011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76F34"/>
    <w:rsid w:val="00D81E96"/>
    <w:rsid w:val="00DA68A9"/>
    <w:rsid w:val="00DA7A67"/>
    <w:rsid w:val="00DB5EBB"/>
    <w:rsid w:val="00DE2F91"/>
    <w:rsid w:val="00DF70A2"/>
    <w:rsid w:val="00E2328C"/>
    <w:rsid w:val="00E311E5"/>
    <w:rsid w:val="00E34D14"/>
    <w:rsid w:val="00E47A16"/>
    <w:rsid w:val="00E565C1"/>
    <w:rsid w:val="00EA1780"/>
    <w:rsid w:val="00EE6999"/>
    <w:rsid w:val="00EF5F5C"/>
    <w:rsid w:val="00F605D0"/>
    <w:rsid w:val="00F828FD"/>
    <w:rsid w:val="00F8765A"/>
    <w:rsid w:val="00F91C21"/>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1AC97A06-4E15-49E0-99C5-CC3EF15084CF}">
  <ds:schemaRefs>
    <ds:schemaRef ds:uri="http://schemas.openxmlformats.org/officeDocument/2006/bibliography"/>
  </ds:schemaRefs>
</ds:datastoreItem>
</file>

<file path=customXml/itemProps8.xml><?xml version="1.0" encoding="utf-8"?>
<ds:datastoreItem xmlns:ds="http://schemas.openxmlformats.org/officeDocument/2006/customXml" ds:itemID="{EE01FAB0-4C9B-46F2-9683-C2DEE4052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44</Pages>
  <Words>16142</Words>
  <Characters>92015</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107942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Hongbo Si/5G Standards /SRA/Engineer/Samsung Electronics </cp:lastModifiedBy>
  <cp:revision>6</cp:revision>
  <cp:lastPrinted>2011-11-09T07:49:00Z</cp:lastPrinted>
  <dcterms:created xsi:type="dcterms:W3CDTF">2021-04-14T02:22:00Z</dcterms:created>
  <dcterms:modified xsi:type="dcterms:W3CDTF">2021-04-14T02:37:00Z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