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94E2A" w:rsidRDefault="002127BF">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12 – 20, 2021</w:t>
          </w:r>
        </w:p>
      </w:sdtContent>
    </w:sdt>
    <w:p w:rsidR="00B94E2A" w:rsidRDefault="00B94E2A">
      <w:pPr>
        <w:spacing w:after="0"/>
        <w:ind w:left="1988" w:hanging="1988"/>
        <w:jc w:val="both"/>
        <w:rPr>
          <w:rFonts w:ascii="Arial" w:hAnsi="Arial" w:cs="Arial"/>
          <w:b/>
          <w:sz w:val="24"/>
        </w:rPr>
      </w:pPr>
    </w:p>
    <w:p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B94E2A" w:rsidRDefault="00B94E2A">
      <w:pPr>
        <w:spacing w:after="0"/>
        <w:ind w:left="2388" w:hangingChars="995" w:hanging="2388"/>
        <w:jc w:val="both"/>
        <w:rPr>
          <w:sz w:val="24"/>
        </w:rPr>
      </w:pPr>
    </w:p>
    <w:p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rsidR="00B94E2A" w:rsidRDefault="00B94E2A">
      <w:pPr>
        <w:ind w:firstLine="288"/>
        <w:rPr>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t>Summary of issues</w:t>
      </w:r>
    </w:p>
    <w:p w:rsidR="00B94E2A" w:rsidRDefault="00B94E2A">
      <w:pPr>
        <w:pStyle w:val="BodyText"/>
        <w:spacing w:after="0"/>
        <w:rPr>
          <w:rFonts w:ascii="Times New Roman" w:hAnsi="Times New Roman"/>
          <w:sz w:val="22"/>
          <w:szCs w:val="22"/>
          <w:lang w:eastAsia="zh-CN"/>
        </w:rPr>
      </w:pPr>
    </w:p>
    <w:p w:rsidR="00B94E2A" w:rsidRDefault="002127BF">
      <w:pPr>
        <w:pStyle w:val="Heading2"/>
        <w:rPr>
          <w:lang w:eastAsia="zh-CN"/>
        </w:rPr>
      </w:pPr>
      <w:r>
        <w:rPr>
          <w:lang w:eastAsia="zh-CN"/>
        </w:rPr>
        <w:t xml:space="preserve">2.1 SSB Aspects </w:t>
      </w:r>
    </w:p>
    <w:p w:rsidR="00B94E2A" w:rsidRDefault="002127BF">
      <w:pPr>
        <w:pStyle w:val="Heading3"/>
        <w:rPr>
          <w:lang w:eastAsia="zh-CN"/>
        </w:rPr>
      </w:pPr>
      <w:r>
        <w:rPr>
          <w:lang w:eastAsia="zh-CN"/>
        </w:rPr>
        <w:t>2.1.1 Supported Numerology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connected mode UE.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for initial access and other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both initial access and non-initial access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additional SCS is supported for initial access, only consider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or 960kHz) for initial access related signals and channels in the initial BWP.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rsidR="00B94E2A" w:rsidRDefault="00B94E2A">
      <w:pPr>
        <w:pStyle w:val="BodyText"/>
        <w:spacing w:after="0"/>
        <w:ind w:left="1440"/>
        <w:rPr>
          <w:rFonts w:ascii="Times New Roman" w:hAnsi="Times New Roman"/>
          <w:sz w:val="22"/>
          <w:szCs w:val="22"/>
          <w:lang w:eastAsia="zh-CN"/>
        </w:rPr>
      </w:pP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rsidR="00B94E2A" w:rsidRDefault="00B94E2A">
      <w:pPr>
        <w:pStyle w:val="BodyText"/>
        <w:spacing w:after="0"/>
        <w:ind w:left="1440"/>
        <w:rPr>
          <w:rFonts w:ascii="Times New Roman" w:hAnsi="Times New Roman"/>
          <w:sz w:val="22"/>
          <w:szCs w:val="22"/>
          <w:lang w:eastAsia="zh-CN"/>
        </w:rPr>
      </w:pP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tc>
          <w:tcPr>
            <w:tcW w:w="1720" w:type="dxa"/>
          </w:tcPr>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242" w:type="dxa"/>
          </w:tcPr>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rsidR="00567A2E" w:rsidRPr="00C34AE4" w:rsidRDefault="00567A2E" w:rsidP="00567A2E">
            <w:pPr>
              <w:pStyle w:val="BodyText"/>
              <w:spacing w:after="0"/>
              <w:rPr>
                <w:rFonts w:ascii="Times New Roman" w:hAnsi="Times New Roman"/>
                <w:sz w:val="22"/>
                <w:szCs w:val="22"/>
                <w:lang w:eastAsia="zh-CN"/>
              </w:rPr>
            </w:pPr>
            <w:r w:rsidRPr="00C34AE4">
              <w:rPr>
                <w:noProof/>
              </w:rPr>
              <w:drawing>
                <wp:inline distT="0" distB="0" distL="0" distR="0" wp14:anchorId="61FC8AF0" wp14:editId="306B0862">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2.1.2 DRS Related Aspects (including potential use of Short Signal Exemption for SSB)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SSB for non-initial access cases with Type0-PDCCH not configured in MIB. </w:t>
      </w:r>
    </w:p>
    <w:p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HiSilicon,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rsidR="00B94E2A" w:rsidRDefault="00B94E2A">
            <w:pPr>
              <w:pStyle w:val="BodyText"/>
              <w:spacing w:after="0" w:line="280" w:lineRule="atLeast"/>
              <w:rPr>
                <w:rFonts w:ascii="Times New Roman" w:hAnsi="Times New Roman"/>
                <w:sz w:val="22"/>
                <w:szCs w:val="22"/>
                <w:lang w:eastAsia="zh-CN"/>
              </w:rPr>
            </w:pP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w:t>
            </w:r>
            <w:proofErr w:type="gramStart"/>
            <w:r>
              <w:rPr>
                <w:sz w:val="22"/>
                <w:szCs w:val="22"/>
                <w:lang w:eastAsia="zh-CN"/>
              </w:rPr>
              <w:t>0 ..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rsidR="00B94E2A" w:rsidRDefault="00B94E2A">
            <w:pPr>
              <w:pStyle w:val="BodyText"/>
              <w:spacing w:after="0" w:line="280" w:lineRule="atLeast"/>
              <w:rPr>
                <w:rFonts w:ascii="Times New Roman" w:hAnsi="Times New Roman"/>
                <w:sz w:val="22"/>
                <w:szCs w:val="22"/>
                <w:lang w:eastAsia="zh-CN"/>
              </w:rPr>
            </w:pPr>
          </w:p>
        </w:tc>
      </w:tr>
      <w:tr w:rsidR="00AB5177" w:rsidTr="004D288C">
        <w:tc>
          <w:tcPr>
            <w:tcW w:w="1720"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rsidTr="004D288C">
        <w:tc>
          <w:tcPr>
            <w:tcW w:w="1720"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242"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lastRenderedPageBreak/>
        <w:t>2.1.3 SSB Resource Pattern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legacy pattern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i.e. Case D, can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new pattern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e.g. Case A/C for SSB with 15/30kHz SCS, can be also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SS/PBCH block design unchanged for all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 xml:space="preserve">Consider SSB pattern in a slot with 3 SSB containing slots followed by 1 non-SSB carrying slot for 480 kHz and 6 SSB carrying slots followed by 2 non-SSB carrying slots for </w:t>
      </w:r>
      <w:proofErr w:type="gramStart"/>
      <w:r>
        <w:t>960kHz</w:t>
      </w:r>
      <w:proofErr w:type="gramEnd"/>
      <w:r>
        <w:t>, to accommodate Rx-</w:t>
      </w:r>
      <w:proofErr w:type="spellStart"/>
      <w:r>
        <w:t>Tx</w:t>
      </w:r>
      <w:proofErr w:type="spellEnd"/>
      <w:r>
        <w:t xml:space="preserve"> switching gap.</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 xml:space="preserve">Consider 480 kHz and </w:t>
      </w:r>
      <w:proofErr w:type="gramStart"/>
      <w:r>
        <w:t>960kHz</w:t>
      </w:r>
      <w:proofErr w:type="gramEnd"/>
      <w:r>
        <w:t xml:space="preserve"> SCS based SSB positions in a slot with SSB symbols 2, 3, 4, 5 and 9, 10, 11, 12 in a slot.</w:t>
      </w:r>
    </w:p>
    <w:p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rsidR="00B94E2A" w:rsidRDefault="002127BF">
      <w:pPr>
        <w:pStyle w:val="ListParagraph"/>
        <w:numPr>
          <w:ilvl w:val="1"/>
          <w:numId w:val="7"/>
        </w:numPr>
        <w:spacing w:line="240" w:lineRule="auto"/>
        <w:contextualSpacing/>
      </w:pPr>
      <w:r>
        <w:t>Support to introduce a unified SSB Pattern for 480kHz SCS and 960kHz SCS (if supported):</w:t>
      </w:r>
    </w:p>
    <w:p w:rsidR="00B94E2A" w:rsidRDefault="002127BF">
      <w:pPr>
        <w:pStyle w:val="ListParagraph"/>
        <w:numPr>
          <w:ilvl w:val="2"/>
          <w:numId w:val="7"/>
        </w:numPr>
        <w:spacing w:line="240" w:lineRule="auto"/>
        <w:contextualSpacing/>
      </w:pPr>
      <w:r>
        <w:t>The first symbol of candidate SSB have indexes {2</w:t>
      </w:r>
      <w:proofErr w:type="gramStart"/>
      <w:r>
        <w:t>,9,16,23</w:t>
      </w:r>
      <w:proofErr w:type="gramEnd"/>
      <w:r>
        <w:t xml:space="preserve">} within each SSB burst. </w:t>
      </w:r>
    </w:p>
    <w:p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rsidR="00B94E2A" w:rsidRDefault="002127BF">
      <w:pPr>
        <w:pStyle w:val="ListParagraph"/>
        <w:numPr>
          <w:ilvl w:val="2"/>
          <w:numId w:val="7"/>
        </w:numPr>
        <w:spacing w:line="240" w:lineRule="auto"/>
        <w:contextualSpacing/>
      </w:pPr>
      <w:r>
        <w:t>A beam switching gap of 1 symbol is inserted between SSBs within the “SSB slot”</w:t>
      </w:r>
    </w:p>
    <w:p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rsidR="00B94E2A" w:rsidRDefault="002127BF">
      <w:pPr>
        <w:pStyle w:val="ListParagraph"/>
        <w:numPr>
          <w:ilvl w:val="2"/>
          <w:numId w:val="7"/>
        </w:numPr>
        <w:spacing w:line="240" w:lineRule="auto"/>
        <w:contextualSpacing/>
      </w:pPr>
      <w:r>
        <w:t>Additional “gap slots” may be inserted between “SSB slots” to account for URLLC and UL traffic</w:t>
      </w:r>
    </w:p>
    <w:p w:rsidR="00B94E2A" w:rsidRDefault="002127BF">
      <w:pPr>
        <w:pStyle w:val="ListParagraph"/>
        <w:numPr>
          <w:ilvl w:val="2"/>
          <w:numId w:val="7"/>
        </w:numPr>
        <w:spacing w:line="240" w:lineRule="auto"/>
        <w:contextualSpacing/>
      </w:pPr>
      <w:r>
        <w:lastRenderedPageBreak/>
        <w:t>Consider the option of aligning the higher SCS SSBs with the corresponding beams for the lower SCS SSB</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rsidR="00B94E2A" w:rsidRDefault="002127BF">
      <w:pPr>
        <w:pStyle w:val="ListParagraph"/>
        <w:numPr>
          <w:ilvl w:val="1"/>
          <w:numId w:val="7"/>
        </w:numPr>
        <w:spacing w:line="240" w:lineRule="auto"/>
        <w:contextualSpacing/>
      </w:pPr>
      <w:r>
        <w:t>Support new SS/PBCH block patterns for 480 kHz and 960 kHz SCSs.</w:t>
      </w:r>
    </w:p>
    <w:p w:rsidR="00B94E2A" w:rsidRDefault="002127BF">
      <w:pPr>
        <w:pStyle w:val="ListParagraph"/>
        <w:numPr>
          <w:ilvl w:val="2"/>
          <w:numId w:val="7"/>
        </w:numPr>
        <w:spacing w:line="240" w:lineRule="auto"/>
        <w:contextualSpacing/>
      </w:pPr>
      <w:r>
        <w:t>At least one symbol should be reserved between neighboring SS/PBCH block for beam sweeping delay.</w:t>
      </w:r>
    </w:p>
    <w:p w:rsidR="00B94E2A" w:rsidRDefault="002127BF">
      <w:pPr>
        <w:pStyle w:val="ListParagraph"/>
        <w:numPr>
          <w:ilvl w:val="2"/>
          <w:numId w:val="7"/>
        </w:numPr>
        <w:spacing w:line="240" w:lineRule="auto"/>
        <w:contextualSpacing/>
      </w:pPr>
      <w:r>
        <w:t xml:space="preserve">Symbols should be reserved for CORESET and HARQ with same SCS as SS/PBCH block. </w:t>
      </w:r>
    </w:p>
    <w:p w:rsidR="00B94E2A" w:rsidRDefault="002127BF">
      <w:pPr>
        <w:pStyle w:val="ListParagraph"/>
        <w:numPr>
          <w:ilvl w:val="2"/>
          <w:numId w:val="7"/>
        </w:numPr>
        <w:spacing w:line="240" w:lineRule="auto"/>
        <w:contextualSpacing/>
      </w:pPr>
      <w:r>
        <w:t>SS/PBCH block candidate locations in a slot for Case A can be reused.</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[25] NTT </w:t>
      </w:r>
      <w:proofErr w:type="spellStart"/>
      <w:r>
        <w:t>Docomo</w:t>
      </w:r>
      <w:proofErr w:type="spellEnd"/>
      <w: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(e.g.,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comments on SSB resource pattern aspects, based on latest RAN1 agreement on support of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(at least) for non-initial access without Type0-PDCCH configuration in MIB.</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Whether any change is needed to SSB resource pattern (symbol positions, and slots positions in time domain)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resource pattern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resource pattern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accounting also the RX-TX switching time (pending on RAN4 feedback).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the total time of 5ms restricts the distribution/total duration of “UL gaps”</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discussed in last meeting, the need for beam switching gap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would need to be confirmed by RAN4. Based on our understanding this would not be needed, but we are OK to wait RAN4 feedback on this.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w:t>
            </w:r>
            <w:r>
              <w:rPr>
                <w:rFonts w:ascii="Times New Roman" w:hAnsi="Times New Roman"/>
                <w:sz w:val="22"/>
                <w:szCs w:val="22"/>
                <w:lang w:eastAsia="zh-CN"/>
              </w:rPr>
              <w:lastRenderedPageBreak/>
              <w:t xml:space="preserve">Case A or Case C for the SSB locations within a slot regardless of RAN4 feedback on the beam sweeping gap.  </w:t>
            </w:r>
          </w:p>
          <w:p w:rsidR="00B94E2A" w:rsidRDefault="00B94E2A">
            <w:pPr>
              <w:pStyle w:val="BodyText"/>
              <w:spacing w:after="0" w:line="280" w:lineRule="atLeast"/>
              <w:rPr>
                <w:rFonts w:ascii="Times New Roman" w:hAnsi="Times New Roman"/>
                <w:sz w:val="22"/>
                <w:szCs w:val="22"/>
                <w:lang w:eastAsia="zh-CN"/>
              </w:rPr>
            </w:pP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also acknowledge that feedback from RAN4 is still needed on the issue of beam switching gap and </w:t>
            </w:r>
            <w:proofErr w:type="spellStart"/>
            <w:r>
              <w:rPr>
                <w:rFonts w:ascii="Times New Roman" w:hAnsi="Times New Roman"/>
                <w:szCs w:val="22"/>
                <w:lang w:eastAsia="zh-CN"/>
              </w:rPr>
              <w:t>Tx</w:t>
            </w:r>
            <w:proofErr w:type="spellEnd"/>
            <w:r>
              <w:rPr>
                <w:rFonts w:ascii="Times New Roman" w:hAnsi="Times New Roman"/>
                <w:szCs w:val="22"/>
                <w:lang w:eastAsia="zh-CN"/>
              </w:rPr>
              <w:t>/Rx, Rx/</w:t>
            </w:r>
            <w:proofErr w:type="spellStart"/>
            <w:r>
              <w:rPr>
                <w:rFonts w:ascii="Times New Roman" w:hAnsi="Times New Roman"/>
                <w:szCs w:val="22"/>
                <w:lang w:eastAsia="zh-CN"/>
              </w:rPr>
              <w:t>Tx</w:t>
            </w:r>
            <w:proofErr w:type="spellEnd"/>
            <w:r>
              <w:rPr>
                <w:rFonts w:ascii="Times New Roman" w:hAnsi="Times New Roman"/>
                <w:szCs w:val="22"/>
                <w:lang w:eastAsia="zh-CN"/>
              </w:rPr>
              <w:t xml:space="preserve"> switching times, so it is difficult to make progress on the precise time domain pattern.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widowControl w:val="0"/>
              <w:spacing w:before="180" w:line="260" w:lineRule="auto"/>
              <w:rPr>
                <w:lang w:eastAsia="zh-CN"/>
              </w:rPr>
            </w:pPr>
            <w:r>
              <w:rPr>
                <w:rFonts w:hint="eastAsia"/>
                <w:lang w:eastAsia="zh-CN"/>
              </w:rPr>
              <w:t>For SSB 120kHz SCS, Case D can be reused.</w:t>
            </w:r>
          </w:p>
          <w:p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w:t>
            </w:r>
            <w:r>
              <w:rPr>
                <w:rFonts w:hint="eastAsia"/>
                <w:lang w:eastAsia="zh"/>
              </w:rPr>
              <w:lastRenderedPageBreak/>
              <w:t xml:space="preserve">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rsidR="00B94E2A" w:rsidRDefault="00B94E2A">
            <w:pPr>
              <w:pStyle w:val="BodyText"/>
              <w:spacing w:after="0" w:line="280" w:lineRule="atLeast"/>
              <w:rPr>
                <w:rFonts w:ascii="Times New Roman" w:hAnsi="Times New Roman"/>
                <w:sz w:val="22"/>
                <w:szCs w:val="22"/>
                <w:lang w:eastAsia="zh-CN"/>
              </w:rPr>
            </w:pPr>
          </w:p>
        </w:tc>
      </w:tr>
      <w:tr w:rsidR="00AB5177" w:rsidTr="004D288C">
        <w:tc>
          <w:tcPr>
            <w:tcW w:w="1720"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rsidR="00AB5177" w:rsidRDefault="00AB5177" w:rsidP="004D288C">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rsidTr="004D288C">
        <w:tc>
          <w:tcPr>
            <w:tcW w:w="1720"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242"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2.1.4 CORESET#0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3.</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w:t>
      </w:r>
      <w:proofErr w:type="gramStart"/>
      <w:r>
        <w:rPr>
          <w:rFonts w:ascii="Times New Roman" w:hAnsi="Times New Roman"/>
          <w:sz w:val="22"/>
          <w:szCs w:val="22"/>
          <w:lang w:eastAsia="zh-CN"/>
        </w:rPr>
        <w:t>_{</w:t>
      </w:r>
      <w:proofErr w:type="spellStart"/>
      <w:proofErr w:type="gramEnd"/>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Type0-PDCCH CSS may utilize symbols {0</w:t>
      </w:r>
      <w:proofErr w:type="gramStart"/>
      <w:r>
        <w:t>,1</w:t>
      </w:r>
      <w:proofErr w:type="gramEnd"/>
      <w:r>
        <w:t xml:space="preserve">} and {7,8} that correspond to SSB in the first half and second half of the slot.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rsidR="00B94E2A" w:rsidRDefault="002127BF">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CORESET#0 bandwidth can be increased, 96 RB can be added to the CORESET#0 configuration table for 120 kHz SS/PBCH block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we would propose to </w:t>
            </w:r>
            <w:proofErr w:type="gramStart"/>
            <w:r>
              <w:rPr>
                <w:rFonts w:ascii="Times New Roman" w:hAnsi="Times New Roman"/>
                <w:sz w:val="22"/>
                <w:szCs w:val="22"/>
                <w:lang w:eastAsia="zh-CN"/>
              </w:rPr>
              <w:t xml:space="preserve">support  </w:t>
            </w:r>
            <w:proofErr w:type="gramEnd"/>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r>
              <w:rPr>
                <w:rFonts w:ascii="Times New Roman" w:hAnsi="Times New Roman"/>
                <w:sz w:val="22"/>
                <w:szCs w:val="22"/>
                <w:lang w:eastAsia="zh-CN"/>
              </w:rPr>
              <w:t>etc</w:t>
            </w:r>
            <w:proofErr w:type="spellEnd"/>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rsidTr="00AB5177">
        <w:tc>
          <w:tcPr>
            <w:tcW w:w="1720" w:type="dxa"/>
          </w:tcPr>
          <w:p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242"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rsidTr="00AB5177">
        <w:tc>
          <w:tcPr>
            <w:tcW w:w="1720" w:type="dxa"/>
          </w:tcPr>
          <w:p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242" w:type="dxa"/>
          </w:tcPr>
          <w:p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bl>
    <w:p w:rsidR="00B94E2A" w:rsidRPr="00AB5177"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2.1.5 Various other aspects on SSB Design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support of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as default value, LBT operation control, application of short signal exemption for DB, TRS availability for time error correction, and SSB coverage enhancements.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rsidR="00B94E2A" w:rsidRDefault="00B94E2A">
      <w:pPr>
        <w:pStyle w:val="BodyText"/>
        <w:spacing w:after="0"/>
        <w:ind w:left="72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2127BF">
      <w:pPr>
        <w:pStyle w:val="Heading2"/>
        <w:rPr>
          <w:lang w:eastAsia="zh-CN"/>
        </w:rPr>
      </w:pPr>
      <w:r>
        <w:rPr>
          <w:lang w:eastAsia="zh-CN"/>
        </w:rPr>
        <w:lastRenderedPageBreak/>
        <w:t xml:space="preserve">2.2 PRACH Aspects </w:t>
      </w:r>
    </w:p>
    <w:p w:rsidR="00B94E2A" w:rsidRDefault="002127BF">
      <w:pPr>
        <w:pStyle w:val="Heading3"/>
        <w:rPr>
          <w:lang w:eastAsia="zh-CN"/>
        </w:rPr>
      </w:pPr>
      <w:r>
        <w:rPr>
          <w:lang w:eastAsia="zh-CN"/>
        </w:rPr>
        <w:t>2.2.1 Supported PRACH Numerology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SCS for PRACH in non-initial access use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SCS for PRACH in initial access use case when UE’s SSB search complexity can be mitigated.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rsidR="00B94E2A" w:rsidRDefault="00B94E2A">
      <w:pPr>
        <w:pStyle w:val="BodyText"/>
        <w:numPr>
          <w:ilvl w:val="1"/>
          <w:numId w:val="7"/>
        </w:numPr>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SSB for non-initial access cases with Type0-PDCCH not configured in MIB. </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tc>
          <w:tcPr>
            <w:tcW w:w="1720" w:type="dxa"/>
          </w:tcPr>
          <w:p w:rsidR="00B94E2A" w:rsidRDefault="00B94E2A">
            <w:pPr>
              <w:pStyle w:val="BodyText"/>
              <w:spacing w:after="0" w:line="280" w:lineRule="atLeast"/>
              <w:rPr>
                <w:rFonts w:ascii="Times New Roman" w:eastAsiaTheme="minorEastAsia" w:hAnsi="Times New Roman"/>
                <w:sz w:val="22"/>
                <w:szCs w:val="22"/>
                <w:lang w:eastAsia="ko-KR"/>
              </w:rPr>
            </w:pPr>
          </w:p>
        </w:tc>
        <w:tc>
          <w:tcPr>
            <w:tcW w:w="8242" w:type="dxa"/>
          </w:tcPr>
          <w:p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 xml:space="preserve">For the sake of truly supporting the single numerology operation, our preference is SCS 120 kHz, 480 kHz, </w:t>
            </w:r>
            <w:proofErr w:type="gramStart"/>
            <w:r>
              <w:rPr>
                <w:sz w:val="22"/>
                <w:szCs w:val="22"/>
                <w:lang w:eastAsia="zh-CN"/>
              </w:rPr>
              <w:t>960</w:t>
            </w:r>
            <w:proofErr w:type="gramEnd"/>
            <w:r>
              <w:rPr>
                <w:sz w:val="22"/>
                <w:szCs w:val="22"/>
                <w:lang w:eastAsia="zh-CN"/>
              </w:rPr>
              <w:t xml:space="preserve"> kHz for PRACH (for both initial access and non-initial access cases).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tc>
          <w:tcPr>
            <w:tcW w:w="1720" w:type="dxa"/>
          </w:tcPr>
          <w:p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242" w:type="dxa"/>
          </w:tcPr>
          <w:p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bl>
    <w:p w:rsidR="00B94E2A" w:rsidRDefault="00B94E2A">
      <w:pPr>
        <w:pStyle w:val="B2"/>
        <w:rPr>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2.2.2 PRACH Sequence and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Sequence length L=571 and 1151 for PRACH when the SCS is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are not needed.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B94E2A" w:rsidRDefault="002127BF">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480kHz and/or 960 kHz SSB SCS is agreed to be supported, support 480 and/or 960 kHz PRACH SCS with sequence length L=139 for PRACH Formats A1~A3, B1~B4, C0, and C2, respectively.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571 with SCS 480 kHz and 960 kHz, i.e., \mu\in{5,\ 6}, in addition to the formats for L_{RA}= 139.</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1151 with SCS 480 kHz and 960 kHz, i.e., \mu {5, 6}.</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PRACH SCS if supported, it is not needed to introduce preamble sequence lengths of 571 and 1151.</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[Interdigital], Sharp,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tc>
          <w:tcPr>
            <w:tcW w:w="9962" w:type="dxa"/>
          </w:tcPr>
          <w:p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480kHz and/or 960 kHz SSB SCS is agreed to be supported, support 480 and/or 960 kHz PRACH SCS with sequence length L=139 for PRACH Formats A1~A3, B1~B4, C0, and C2, respectively.</w:t>
            </w:r>
          </w:p>
          <w:p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480 and/or 960 kHz PRACH SCS with sequence length L=571, 1151 for PRACH Formats A1~A3, B1~B4, C0, and C2, respectively.</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480 and/or 960 kHz PRACH SCS with sequence length L for PRACH Formats A1~A3, B1~B4, C0, and C2, respectively.</w:t>
      </w:r>
    </w:p>
    <w:p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61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34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61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tc>
          <w:tcPr>
            <w:tcW w:w="161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tc>
          <w:tcPr>
            <w:tcW w:w="161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r w:rsidR="00B94E2A">
        <w:tc>
          <w:tcPr>
            <w:tcW w:w="161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tc>
          <w:tcPr>
            <w:tcW w:w="161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tc>
          <w:tcPr>
            <w:tcW w:w="161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tc>
          <w:tcPr>
            <w:tcW w:w="161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tc>
          <w:tcPr>
            <w:tcW w:w="161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tc>
          <w:tcPr>
            <w:tcW w:w="161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tc>
          <w:tcPr>
            <w:tcW w:w="161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34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tc>
          <w:tcPr>
            <w:tcW w:w="161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34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2.2.3 RACH Occasion Resources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Set the reference SCS for RACH slot determination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how to configure time domain ROs should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slot}^{RA} (TS 38.211, Section 5.3.2).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L=571.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L=1151.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proofErr w:type="gramStart"/>
      <w:r>
        <w:rPr>
          <w:rFonts w:ascii="Times New Roman" w:hAnsi="Times New Roman" w:hint="eastAsia"/>
          <w:sz w:val="22"/>
          <w:szCs w:val="22"/>
          <w:lang w:eastAsia="zh-CN"/>
        </w:rPr>
        <w:t>khz</w:t>
      </w:r>
      <w:proofErr w:type="spellEnd"/>
      <w:proofErr w:type="gram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proposed to limit number of RO in a reference 60 (or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slot. For example, 4 RO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2 RO for 960kHz.</w:t>
      </w: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gaps for beam switching, we are still awaiting feedback from RAN4 so too early to </w:t>
            </w:r>
            <w:proofErr w:type="gramStart"/>
            <w:r>
              <w:rPr>
                <w:rFonts w:ascii="Times New Roman" w:hAnsi="Times New Roman"/>
                <w:szCs w:val="22"/>
                <w:lang w:eastAsia="zh-CN"/>
              </w:rPr>
              <w:t>concluded</w:t>
            </w:r>
            <w:proofErr w:type="gramEnd"/>
            <w:r>
              <w:rPr>
                <w:rFonts w:ascii="Times New Roman" w:hAnsi="Times New Roman"/>
                <w:szCs w:val="22"/>
                <w:lang w:eastAsia="zh-CN"/>
              </w:rPr>
              <w:t>.</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tc>
          <w:tcPr>
            <w:tcW w:w="1720"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242"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6" w:name="OLE_LINK156"/>
            <w:bookmarkStart w:id="7"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6"/>
            <w:bookmarkEnd w:id="7"/>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lastRenderedPageBreak/>
        <w:t>2.2.4 RA Preamble ID calculation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rsidR="00B94E2A" w:rsidRDefault="002127BF">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the calculation of RA-RNTI to accommodate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PRACH SCS if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Reuse the same RA-RNTI equation in NR Rel-16, divide the system frame into N segments (each segment is 80 slots using the used SCS), and signal the segment index that transmit the preamble in the DCI.</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tc>
          <w:tcPr>
            <w:tcW w:w="1720" w:type="dxa"/>
          </w:tcPr>
          <w:p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tc>
          <w:tcPr>
            <w:tcW w:w="1720" w:type="dxa"/>
          </w:tcPr>
          <w:p w:rsidR="00B94E2A" w:rsidRDefault="002127BF">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tc>
          <w:tcPr>
            <w:tcW w:w="1720" w:type="dxa"/>
          </w:tcPr>
          <w:p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tc>
          <w:tcPr>
            <w:tcW w:w="1720" w:type="dxa"/>
          </w:tcPr>
          <w:p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tc>
          <w:tcPr>
            <w:tcW w:w="1720" w:type="dxa"/>
          </w:tcPr>
          <w:p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tc>
          <w:tcPr>
            <w:tcW w:w="1720"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242"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2.2.5 Other aspects on PRACH</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61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34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61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tc>
          <w:tcPr>
            <w:tcW w:w="161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tc>
          <w:tcPr>
            <w:tcW w:w="1615" w:type="dxa"/>
          </w:tcPr>
          <w:p w:rsidR="007F3DD8" w:rsidRPr="009948DC" w:rsidRDefault="007F3DD8" w:rsidP="007F3DD8">
            <w:pPr>
              <w:pStyle w:val="BodyText"/>
              <w:spacing w:after="0"/>
              <w:rPr>
                <w:rFonts w:ascii="Times New Roman" w:hAnsi="Times New Roman"/>
                <w:sz w:val="22"/>
                <w:szCs w:val="22"/>
                <w:lang w:eastAsia="zh-CN"/>
              </w:rPr>
            </w:pPr>
            <w:bookmarkStart w:id="8" w:name="_GoBack" w:colFirst="0" w:colLast="0"/>
            <w:r w:rsidRPr="009948DC">
              <w:rPr>
                <w:rFonts w:ascii="Times New Roman" w:hAnsi="Times New Roman"/>
                <w:sz w:val="22"/>
                <w:szCs w:val="22"/>
                <w:lang w:eastAsia="zh-CN"/>
              </w:rPr>
              <w:t>Huawei/HiSilicon</w:t>
            </w:r>
          </w:p>
        </w:tc>
        <w:tc>
          <w:tcPr>
            <w:tcW w:w="834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bookmarkEnd w:id="8"/>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lastRenderedPageBreak/>
        <w:t>Summary of Agreements/Conclusions in RAN1 #104bis-e</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textAlignment w:val="auto"/>
        <w:rPr>
          <w:rFonts w:cs="Arial"/>
          <w:sz w:val="32"/>
          <w:szCs w:val="32"/>
          <w:lang w:val="en-US"/>
        </w:rPr>
      </w:pPr>
      <w:r>
        <w:rPr>
          <w:rFonts w:cs="Arial"/>
          <w:sz w:val="32"/>
          <w:szCs w:val="32"/>
          <w:lang w:val="en-US"/>
        </w:rPr>
        <w:t>Reference</w:t>
      </w:r>
    </w:p>
    <w:p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R1-2102688, “Discussion on initial access of 52.6-71 GHz NR operation,” </w:t>
      </w:r>
      <w:proofErr w:type="spellStart"/>
      <w:r>
        <w:rPr>
          <w:rFonts w:eastAsia="Calibri"/>
          <w:lang w:eastAsia="zh-CN"/>
        </w:rPr>
        <w:t>MediaTek</w:t>
      </w:r>
      <w:proofErr w:type="spellEnd"/>
      <w:r>
        <w:rPr>
          <w:rFonts w:eastAsia="Calibri"/>
          <w:lang w:eastAsia="zh-CN"/>
        </w:rPr>
        <w:t xml:space="preserve"> Inc.</w:t>
      </w:r>
    </w:p>
    <w:p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rsidR="00B94E2A" w:rsidRDefault="00B94E2A">
      <w:pPr>
        <w:rPr>
          <w:lang w:eastAsia="zh-CN"/>
        </w:rPr>
      </w:pPr>
    </w:p>
    <w:p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F9" w:rsidRDefault="00D306F9">
      <w:pPr>
        <w:spacing w:after="0" w:line="240" w:lineRule="auto"/>
      </w:pPr>
      <w:r>
        <w:separator/>
      </w:r>
    </w:p>
  </w:endnote>
  <w:endnote w:type="continuationSeparator" w:id="0">
    <w:p w:rsidR="00D306F9" w:rsidRDefault="00D3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E2A" w:rsidRDefault="00212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4E2A" w:rsidRDefault="00B94E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E2A" w:rsidRDefault="002127BF">
    <w:pPr>
      <w:pStyle w:val="Footer"/>
      <w:ind w:right="360"/>
    </w:pPr>
    <w:r>
      <w:rPr>
        <w:rStyle w:val="PageNumber"/>
      </w:rPr>
      <w:fldChar w:fldCharType="begin"/>
    </w:r>
    <w:r>
      <w:rPr>
        <w:rStyle w:val="PageNumber"/>
      </w:rPr>
      <w:instrText xml:space="preserve"> PAGE </w:instrText>
    </w:r>
    <w:r>
      <w:rPr>
        <w:rStyle w:val="PageNumber"/>
      </w:rPr>
      <w:fldChar w:fldCharType="separate"/>
    </w:r>
    <w:r w:rsidR="007F3DD8">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3DD8">
      <w:rPr>
        <w:rStyle w:val="PageNumber"/>
        <w:noProof/>
      </w:rPr>
      <w:t>43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F9" w:rsidRDefault="00D306F9">
      <w:pPr>
        <w:spacing w:after="0" w:line="240" w:lineRule="auto"/>
      </w:pPr>
      <w:r>
        <w:separator/>
      </w:r>
    </w:p>
  </w:footnote>
  <w:footnote w:type="continuationSeparator" w:id="0">
    <w:p w:rsidR="00D306F9" w:rsidRDefault="00D30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BF02E7A-FD25-4531-8F95-089589EEEEEC}">
  <ds:schemaRefs>
    <ds:schemaRef ds:uri="http://schemas.openxmlformats.org/officeDocument/2006/bibliography"/>
  </ds:schemaRefs>
</ds:datastoreItem>
</file>

<file path=customXml/itemProps8.xml><?xml version="1.0" encoding="utf-8"?>
<ds:datastoreItem xmlns:ds="http://schemas.openxmlformats.org/officeDocument/2006/customXml" ds:itemID="{5A25FDBC-9AF2-4E87-8356-7B3751F5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43</Pages>
  <Words>15748</Words>
  <Characters>89769</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105307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Keyvan 3</cp:lastModifiedBy>
  <cp:revision>5</cp:revision>
  <cp:lastPrinted>2011-11-09T07:49:00Z</cp:lastPrinted>
  <dcterms:created xsi:type="dcterms:W3CDTF">2021-04-14T02:22:00Z</dcterms:created>
  <dcterms:modified xsi:type="dcterms:W3CDTF">2021-04-14T02:25:00Z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