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SCell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NTT </w:t>
      </w:r>
      <w:proofErr w:type="spellStart"/>
      <w:r w:rsidR="003B38EE">
        <w:rPr>
          <w:rFonts w:ascii="Times New Roman" w:hAnsi="Times New Roman"/>
          <w:sz w:val="22"/>
          <w:szCs w:val="22"/>
          <w:lang w:eastAsia="zh-CN"/>
        </w:rPr>
        <w:t>Docomo</w:t>
      </w:r>
      <w:proofErr w:type="spellEnd"/>
      <w:r w:rsidR="003B38EE">
        <w:rPr>
          <w:rFonts w:ascii="Times New Roman" w:hAnsi="Times New Roman"/>
          <w:sz w:val="22"/>
          <w:szCs w:val="22"/>
          <w:lang w:eastAsia="zh-CN"/>
        </w:rPr>
        <w:t xml:space="preserve">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4C7EA6">
        <w:tc>
          <w:tcPr>
            <w:tcW w:w="1615"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47"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4C7EA6">
        <w:tc>
          <w:tcPr>
            <w:tcW w:w="1615" w:type="dxa"/>
          </w:tcPr>
          <w:p w14:paraId="0D6D3439" w14:textId="4C9627BD" w:rsidR="0021424A" w:rsidRDefault="0021424A"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4C7EA6">
        <w:tc>
          <w:tcPr>
            <w:tcW w:w="1615" w:type="dxa"/>
          </w:tcPr>
          <w:p w14:paraId="2882559D" w14:textId="45312024"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14:paraId="08AAD495"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4C7EA6">
        <w:tc>
          <w:tcPr>
            <w:tcW w:w="1615" w:type="dxa"/>
          </w:tcPr>
          <w:p w14:paraId="3A5EA951" w14:textId="5304B5B9"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76BC540B" w14:textId="77777777"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F73C73" w14:paraId="6E4C5508" w14:textId="77777777" w:rsidTr="004C7EA6">
        <w:tc>
          <w:tcPr>
            <w:tcW w:w="1615" w:type="dxa"/>
          </w:tcPr>
          <w:p w14:paraId="1714D46C" w14:textId="0E10EC98" w:rsidR="00F73C73" w:rsidRDefault="00F73C73"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61DB110F" w14:textId="77777777" w:rsidR="00F73C73"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152602F6" w14:textId="7CF09E25" w:rsidR="00D74E95"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addition of 240 kHz SCS SSB does not provide any performance advantage and only increases the </w:t>
            </w:r>
            <w:r w:rsidR="00F8317A">
              <w:rPr>
                <w:rFonts w:ascii="Times New Roman" w:hAnsi="Times New Roman"/>
                <w:sz w:val="22"/>
                <w:szCs w:val="22"/>
                <w:lang w:eastAsia="zh-CN"/>
              </w:rPr>
              <w:t xml:space="preserve">initial access </w:t>
            </w:r>
            <w:r>
              <w:rPr>
                <w:rFonts w:ascii="Times New Roman" w:hAnsi="Times New Roman"/>
                <w:sz w:val="22"/>
                <w:szCs w:val="22"/>
                <w:lang w:eastAsia="zh-CN"/>
              </w:rPr>
              <w:t>PSS/SSS blind detection complexity (assuming Case B is supported).</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lastRenderedPageBreak/>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w:t>
      </w:r>
      <w:proofErr w:type="spellStart"/>
      <w:r w:rsidRPr="00BA4FD4">
        <w:rPr>
          <w:rFonts w:ascii="Times New Roman" w:hAnsi="Times New Roman"/>
          <w:sz w:val="22"/>
          <w:szCs w:val="22"/>
          <w:lang w:eastAsia="zh-CN"/>
        </w:rPr>
        <w:t>subCarrierSpacingCommon</w:t>
      </w:r>
      <w:proofErr w:type="spellEnd"/>
      <w:r w:rsidRPr="00BA4FD4">
        <w:rPr>
          <w:rFonts w:ascii="Times New Roman" w:hAnsi="Times New Roman"/>
          <w:sz w:val="22"/>
          <w:szCs w:val="22"/>
          <w:lang w:eastAsia="zh-CN"/>
        </w:rPr>
        <w:t xml:space="preserve">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Support DBTW for 60 GHz unlicensed spectrum. The DBTW may be disabled or enabled by the gNB.</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The indication of Q can be in MIB for a best effort, and if not possible, in SIB1;</w:t>
      </w:r>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UE-specific RRC signaling (e.g., for SCell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lastRenderedPageBreak/>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Spreadtrum,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Spreadtrum,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7631D2">
        <w:tc>
          <w:tcPr>
            <w:tcW w:w="1615"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r w:rsidR="006213FD" w14:paraId="71BB44EE" w14:textId="77777777" w:rsidTr="007631D2">
        <w:tc>
          <w:tcPr>
            <w:tcW w:w="1615" w:type="dxa"/>
          </w:tcPr>
          <w:p w14:paraId="5A88028B" w14:textId="236F2AC7"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14:paraId="2ED663B1" w14:textId="7AC8D45A"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7631D2">
        <w:tc>
          <w:tcPr>
            <w:tcW w:w="1615" w:type="dxa"/>
          </w:tcPr>
          <w:p w14:paraId="7B70CFD0" w14:textId="662C268B"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6CF8B05"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8E6EC9" w14:paraId="47171880" w14:textId="77777777" w:rsidTr="007631D2">
        <w:tc>
          <w:tcPr>
            <w:tcW w:w="1615" w:type="dxa"/>
          </w:tcPr>
          <w:p w14:paraId="32081A39" w14:textId="5F39239D"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2E22EBB3" w14:textId="77777777"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BE2CE73" w14:textId="3076F91A" w:rsidR="008E6EC9" w:rsidRPr="00A4503A" w:rsidRDefault="008E6EC9" w:rsidP="008E6EC9">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One-shot LBT within COT is not required before gNB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lastRenderedPageBreak/>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lastRenderedPageBreak/>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7631D2">
        <w:tc>
          <w:tcPr>
            <w:tcW w:w="1615"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7631D2">
        <w:tc>
          <w:tcPr>
            <w:tcW w:w="1615" w:type="dxa"/>
          </w:tcPr>
          <w:p w14:paraId="467DC2C0" w14:textId="6F8FD2BB"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sz w:val="22"/>
                <w:szCs w:val="22"/>
                <w:lang w:eastAsia="zh-CN"/>
              </w:rPr>
            </w:pPr>
          </w:p>
        </w:tc>
      </w:tr>
      <w:tr w:rsidR="00331571" w14:paraId="41C7F42F" w14:textId="77777777" w:rsidTr="007631D2">
        <w:tc>
          <w:tcPr>
            <w:tcW w:w="1615" w:type="dxa"/>
          </w:tcPr>
          <w:p w14:paraId="7C5D9C7A" w14:textId="3BA5BBCC"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6022674F" w14:textId="77777777"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7631D2">
        <w:tc>
          <w:tcPr>
            <w:tcW w:w="1615" w:type="dxa"/>
          </w:tcPr>
          <w:p w14:paraId="25BBA7DA" w14:textId="1DB68E7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7F84F230" w14:textId="77777777" w:rsidR="00AD5FA5" w:rsidRDefault="00AD5FA5" w:rsidP="00AD5FA5">
            <w:pPr>
              <w:pStyle w:val="BodyText"/>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BodyText"/>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
          <w:p w14:paraId="73D4D13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lastRenderedPageBreak/>
              <w:t>Do we need URLLC and UL traffic and how many (may be wait for RAN4 feedback on timing for UL/DL switching)</w:t>
            </w:r>
          </w:p>
          <w:p w14:paraId="466C594B"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to multiplex CORESET0/SIB1 PDSCH in the slot having the SSB</w:t>
            </w:r>
          </w:p>
          <w:p w14:paraId="2B231151" w14:textId="45AA7261" w:rsidR="00AD5FA5" w:rsidRDefault="00AD5FA5" w:rsidP="00AD5FA5">
            <w:pPr>
              <w:pStyle w:val="BodyText"/>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(e.g., CA)</w:t>
            </w:r>
          </w:p>
        </w:tc>
      </w:tr>
      <w:tr w:rsidR="00822E3A" w14:paraId="38504F40" w14:textId="77777777" w:rsidTr="007631D2">
        <w:tc>
          <w:tcPr>
            <w:tcW w:w="1615" w:type="dxa"/>
          </w:tcPr>
          <w:p w14:paraId="5E19936C" w14:textId="5F844379" w:rsidR="00822E3A"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347" w:type="dxa"/>
          </w:tcPr>
          <w:p w14:paraId="1639892D" w14:textId="139B50F7" w:rsidR="00822E3A" w:rsidRPr="000A57C8"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 xml:space="preserve">}^{CORESET}={1,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w:t>
      </w:r>
      <w:proofErr w:type="gramStart"/>
      <w:r w:rsidRPr="00AD3333">
        <w:rPr>
          <w:rFonts w:ascii="Times New Roman" w:hAnsi="Times New Roman"/>
          <w:sz w:val="22"/>
          <w:szCs w:val="22"/>
          <w:lang w:eastAsia="zh-CN"/>
        </w:rPr>
        <w:t>_{</w:t>
      </w:r>
      <w:proofErr w:type="spellStart"/>
      <w:proofErr w:type="gramEnd"/>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7631D2">
        <w:tc>
          <w:tcPr>
            <w:tcW w:w="1615"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w:t>
            </w:r>
            <w:r>
              <w:rPr>
                <w:rFonts w:ascii="Times New Roman" w:hAnsi="Times New Roman"/>
                <w:sz w:val="22"/>
                <w:szCs w:val="22"/>
                <w:lang w:eastAsia="zh-CN"/>
              </w:rPr>
              <w:lastRenderedPageBreak/>
              <w:t xml:space="preserve">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#0/Type0-PDCCH (i.e., Alt 1 of the first sub-bullet)</w:t>
            </w:r>
            <w:r w:rsidR="003A72AF">
              <w:rPr>
                <w:rFonts w:ascii="Times New Roman" w:hAnsi="Times New Roman"/>
                <w:sz w:val="22"/>
                <w:szCs w:val="22"/>
                <w:lang w:eastAsia="zh-CN"/>
              </w:rPr>
              <w:t xml:space="preserve">. </w:t>
            </w:r>
          </w:p>
        </w:tc>
      </w:tr>
      <w:tr w:rsidR="00E17977" w14:paraId="2695A8F8" w14:textId="77777777" w:rsidTr="007631D2">
        <w:tc>
          <w:tcPr>
            <w:tcW w:w="1615" w:type="dxa"/>
          </w:tcPr>
          <w:p w14:paraId="6438E791" w14:textId="0FBFCD1B"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14:paraId="57F69480" w14:textId="77777777"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7631D2">
        <w:tc>
          <w:tcPr>
            <w:tcW w:w="1615" w:type="dxa"/>
          </w:tcPr>
          <w:p w14:paraId="253FB497" w14:textId="14BAF309"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30A5218"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r w:rsidR="00AB7E46" w14:paraId="75C34887" w14:textId="77777777" w:rsidTr="007631D2">
        <w:tc>
          <w:tcPr>
            <w:tcW w:w="1615" w:type="dxa"/>
          </w:tcPr>
          <w:p w14:paraId="4EAC5B36" w14:textId="34146BF8" w:rsidR="00AB7E46" w:rsidRDefault="00AB7E46"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4533F824" w14:textId="7C438DF8" w:rsidR="00AB7E46" w:rsidRPr="00BC7344" w:rsidRDefault="00AB7E46" w:rsidP="00AB7E4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w:t>
            </w:r>
            <w:r>
              <w:rPr>
                <w:rFonts w:ascii="Times New Roman" w:hAnsi="Times New Roman"/>
                <w:sz w:val="22"/>
                <w:szCs w:val="22"/>
                <w:lang w:eastAsia="zh-CN"/>
              </w:rPr>
              <w:t>nly support 120kHz Type0-PDCCH (current specification)</w:t>
            </w:r>
            <w:r>
              <w:rPr>
                <w:rFonts w:ascii="Times New Roman" w:hAnsi="Times New Roman"/>
                <w:sz w:val="22"/>
                <w:szCs w:val="22"/>
                <w:lang w:eastAsia="zh-CN"/>
              </w:rPr>
              <w:t>.</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631D2">
        <w:tc>
          <w:tcPr>
            <w:tcW w:w="1615" w:type="dxa"/>
          </w:tcPr>
          <w:p w14:paraId="260516C3" w14:textId="34CAC19C"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C46ED77" w14:textId="61723ABD"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631D2">
        <w:tc>
          <w:tcPr>
            <w:tcW w:w="1615" w:type="dxa"/>
          </w:tcPr>
          <w:p w14:paraId="3BF96313" w14:textId="4288A917"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95AA0D3" w14:textId="0FCBB744"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8041C" w14:paraId="6BFE3A0E" w14:textId="77777777" w:rsidTr="007631D2">
        <w:tc>
          <w:tcPr>
            <w:tcW w:w="1615" w:type="dxa"/>
          </w:tcPr>
          <w:p w14:paraId="0B03D136" w14:textId="6AB0FA51"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2C7DAA62" w14:textId="37B91518"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lastRenderedPageBreak/>
        <w:t>Proposal 8</w:t>
      </w:r>
      <w:r w:rsidRPr="00DD474A">
        <w:rPr>
          <w:rFonts w:ascii="Times New Roman" w:hAnsi="Times New Roman"/>
          <w:sz w:val="22"/>
          <w:szCs w:val="22"/>
          <w:lang w:eastAsia="zh-CN"/>
        </w:rPr>
        <w:tab/>
        <w:t xml:space="preserve">For cases other than initial access (e.g. for a SCell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If 480 and/or 960 kHz SCS PRACH is supported, support only the sequence length L=139 for the cases other than initial access (e.g., for SCell).</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Huawei, HiSilicon</w:t>
      </w:r>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347"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for the cases other than initial access (e.g., for SCell).</w:t>
            </w:r>
          </w:p>
        </w:tc>
      </w:tr>
      <w:tr w:rsidR="00494D82" w14:paraId="5B12E3B8" w14:textId="77777777" w:rsidTr="007631D2">
        <w:tc>
          <w:tcPr>
            <w:tcW w:w="1615"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Establishing time alignment when adding SCell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7631D2">
        <w:tc>
          <w:tcPr>
            <w:tcW w:w="1615"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7631D2">
        <w:tc>
          <w:tcPr>
            <w:tcW w:w="1615" w:type="dxa"/>
          </w:tcPr>
          <w:p w14:paraId="6F2672AE" w14:textId="6C8CF1F8" w:rsidR="00206160" w:rsidRDefault="00206160" w:rsidP="0020616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7631D2">
        <w:tc>
          <w:tcPr>
            <w:tcW w:w="1615" w:type="dxa"/>
          </w:tcPr>
          <w:p w14:paraId="36F22200" w14:textId="16CB2009"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r w:rsidR="00D41CD1" w14:paraId="25744307" w14:textId="77777777" w:rsidTr="007631D2">
        <w:tc>
          <w:tcPr>
            <w:tcW w:w="1615" w:type="dxa"/>
          </w:tcPr>
          <w:p w14:paraId="0A5880AC" w14:textId="38219890" w:rsidR="00D41CD1" w:rsidRDefault="00D41CD1"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004D02E2" w14:textId="417A477C" w:rsidR="00D41CD1" w:rsidRPr="00CB03A1" w:rsidRDefault="00D41CD1" w:rsidP="005E2D38">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If 480 and/or 960 kHz SCS PRACH is supported, support only the sequence length L=139 for the cases other than initial access (e.g., for SCell).</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SCell)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CD586D5" w14:textId="33E80571" w:rsidR="005251C0" w:rsidRDefault="005251C0" w:rsidP="005251C0">
            <w:pPr>
              <w:pStyle w:val="BodyText"/>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lastRenderedPageBreak/>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ROs to allow for gNB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POs to allow for gNB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by the gNB.</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631D2">
        <w:tc>
          <w:tcPr>
            <w:tcW w:w="1615" w:type="dxa"/>
          </w:tcPr>
          <w:p w14:paraId="64EA5011" w14:textId="26360810"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01E001BE"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9AF84C8"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FD649F" w14:paraId="0BB9A7AF" w14:textId="77777777" w:rsidTr="007631D2">
        <w:tc>
          <w:tcPr>
            <w:tcW w:w="1615" w:type="dxa"/>
          </w:tcPr>
          <w:p w14:paraId="4E870F8C" w14:textId="3A36D4BD"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48C33CB" w14:textId="77777777" w:rsidR="00FD649F" w:rsidRPr="009748B0" w:rsidRDefault="00FD649F" w:rsidP="00FD649F">
            <w:pPr>
              <w:pStyle w:val="BodyText"/>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w:t>
            </w:r>
            <w:r w:rsidRPr="009748B0">
              <w:rPr>
                <w:rFonts w:ascii="Times New Roman" w:hAnsi="Times New Roman"/>
                <w:sz w:val="22"/>
                <w:szCs w:val="22"/>
                <w:lang w:eastAsia="zh-CN"/>
              </w:rPr>
              <w:lastRenderedPageBreak/>
              <w:t xml:space="preserve">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r w:rsidR="00890D9E" w14:paraId="618DD4D3" w14:textId="77777777" w:rsidTr="007631D2">
        <w:tc>
          <w:tcPr>
            <w:tcW w:w="1615" w:type="dxa"/>
          </w:tcPr>
          <w:p w14:paraId="0F141658" w14:textId="6069E502" w:rsidR="00890D9E"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347" w:type="dxa"/>
          </w:tcPr>
          <w:p w14:paraId="10A9EA4A" w14:textId="65827986" w:rsidR="00890D9E" w:rsidRPr="009748B0"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bookmarkStart w:id="2" w:name="_GoBack"/>
            <w:bookmarkEnd w:id="2"/>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r w:rsidRPr="0012150B">
        <w:rPr>
          <w:rFonts w:ascii="Times New Roman" w:hAnsi="Times New Roman" w:hint="eastAsia"/>
          <w:sz w:val="22"/>
          <w:szCs w:val="22"/>
          <w:lang w:eastAsia="zh-CN"/>
        </w:rPr>
        <w:t>(</w:t>
      </w:r>
      <w:proofErr w:type="spellStart"/>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lastRenderedPageBreak/>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631D2">
        <w:tc>
          <w:tcPr>
            <w:tcW w:w="1615" w:type="dxa"/>
          </w:tcPr>
          <w:p w14:paraId="065AA07C" w14:textId="4574C0FE"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DCB6380" w14:textId="2B1CAF95"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631D2">
        <w:tc>
          <w:tcPr>
            <w:tcW w:w="1615" w:type="dxa"/>
          </w:tcPr>
          <w:p w14:paraId="1322EDA0" w14:textId="3242DA65" w:rsidR="0007660A" w:rsidRDefault="0007660A"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E02D79C" w14:textId="49C130A1" w:rsidR="0007660A" w:rsidRDefault="0007660A" w:rsidP="0007660A">
            <w:pPr>
              <w:pStyle w:val="BodyText"/>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r w:rsidR="00603018" w14:paraId="65F3E204" w14:textId="77777777" w:rsidTr="007631D2">
        <w:tc>
          <w:tcPr>
            <w:tcW w:w="1615" w:type="dxa"/>
          </w:tcPr>
          <w:p w14:paraId="192C6A6C" w14:textId="2B1135AD" w:rsidR="00603018" w:rsidRDefault="00603018" w:rsidP="00603018">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57FB7CE9" w14:textId="7646F089" w:rsidR="00603018" w:rsidRPr="00E81DC3" w:rsidRDefault="00603018"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gNB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lastRenderedPageBreak/>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lastRenderedPageBreak/>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r w:rsidRPr="00B117CB">
        <w:rPr>
          <w:rFonts w:eastAsia="Calibri"/>
          <w:lang w:eastAsia="zh-CN"/>
        </w:rPr>
        <w:t>Spreadtrum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r w:rsidRPr="00B117CB">
        <w:rPr>
          <w:rFonts w:eastAsia="Calibri"/>
          <w:lang w:eastAsia="zh-CN"/>
        </w:rPr>
        <w:t>InterDigital,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2ACD8" w14:textId="77777777" w:rsidR="006A669C" w:rsidRDefault="006A669C">
      <w:pPr>
        <w:spacing w:after="0" w:line="240" w:lineRule="auto"/>
      </w:pPr>
      <w:r>
        <w:separator/>
      </w:r>
    </w:p>
  </w:endnote>
  <w:endnote w:type="continuationSeparator" w:id="0">
    <w:p w14:paraId="69303907" w14:textId="77777777" w:rsidR="006A669C" w:rsidRDefault="006A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B9F7" w14:textId="77777777" w:rsidR="0021424A" w:rsidRDefault="002142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21424A" w:rsidRDefault="00214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42D5" w14:textId="26A8E204" w:rsidR="0021424A" w:rsidRDefault="0021424A">
    <w:pPr>
      <w:pStyle w:val="Footer"/>
      <w:ind w:right="360"/>
    </w:pPr>
    <w:r>
      <w:rPr>
        <w:rStyle w:val="PageNumber"/>
      </w:rPr>
      <w:fldChar w:fldCharType="begin"/>
    </w:r>
    <w:r>
      <w:rPr>
        <w:rStyle w:val="PageNumber"/>
      </w:rPr>
      <w:instrText xml:space="preserve"> PAGE </w:instrText>
    </w:r>
    <w:r>
      <w:rPr>
        <w:rStyle w:val="PageNumber"/>
      </w:rPr>
      <w:fldChar w:fldCharType="separate"/>
    </w:r>
    <w:r w:rsidR="00890D9E">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0D9E">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F7F5F" w14:textId="77777777" w:rsidR="006A669C" w:rsidRDefault="006A669C">
      <w:pPr>
        <w:spacing w:after="0" w:line="240" w:lineRule="auto"/>
      </w:pPr>
      <w:r>
        <w:separator/>
      </w:r>
    </w:p>
  </w:footnote>
  <w:footnote w:type="continuationSeparator" w:id="0">
    <w:p w14:paraId="2EEEC32B" w14:textId="77777777" w:rsidR="006A669C" w:rsidRDefault="006A6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6966" w14:textId="77777777" w:rsidR="0021424A" w:rsidRDefault="002142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character" w:customStyle="1" w:styleId="Mention">
    <w:name w:val="Mention"/>
    <w:basedOn w:val="DefaultParagraphFont"/>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E2328C"/>
    <w:rsid w:val="00E311E5"/>
    <w:rsid w:val="00E34D14"/>
    <w:rsid w:val="00E47A16"/>
    <w:rsid w:val="00E565C1"/>
    <w:rsid w:val="00EA1780"/>
    <w:rsid w:val="00EE6999"/>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C513D10-57C5-4321-80D5-A0ED8DA44A3C}">
  <ds:schemaRefs>
    <ds:schemaRef ds:uri="http://schemas.openxmlformats.org/officeDocument/2006/bibliography"/>
  </ds:schemaRefs>
</ds:datastoreItem>
</file>

<file path=customXml/itemProps8.xml><?xml version="1.0" encoding="utf-8"?>
<ds:datastoreItem xmlns:ds="http://schemas.openxmlformats.org/officeDocument/2006/customXml" ds:itemID="{853CC52C-DAFE-4635-947D-F8CB0234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34</TotalTime>
  <Pages>36</Pages>
  <Words>12735</Words>
  <Characters>72595</Characters>
  <Application>Microsoft Office Word</Application>
  <DocSecurity>0</DocSecurity>
  <Lines>604</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Mukherjee, Amitav</cp:lastModifiedBy>
  <cp:revision>13</cp:revision>
  <cp:lastPrinted>2011-11-09T07:49:00Z</cp:lastPrinted>
  <dcterms:created xsi:type="dcterms:W3CDTF">2021-04-13T21:23:00Z</dcterms:created>
  <dcterms:modified xsi:type="dcterms:W3CDTF">2021-04-13T21:58:00Z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