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5"/>
        <w:rPr>
          <w:rFonts w:eastAsia="宋体" w:cs="Arial"/>
          <w:bCs/>
          <w:sz w:val="22"/>
          <w:szCs w:val="22"/>
          <w:lang w:val="en-GB" w:eastAsia="zh-CN"/>
        </w:rPr>
      </w:pPr>
    </w:p>
    <w:p w14:paraId="24AE4547" w14:textId="57293DAA" w:rsidR="002F170A" w:rsidRPr="007130BE" w:rsidRDefault="002F170A" w:rsidP="002F170A">
      <w:pPr>
        <w:pStyle w:val="a5"/>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5"/>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5"/>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5"/>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2"/>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2"/>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af2"/>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18BC1C70" w14:textId="77777777" w:rsidTr="00731175">
        <w:tc>
          <w:tcPr>
            <w:tcW w:w="1255" w:type="dxa"/>
          </w:tcPr>
          <w:p w14:paraId="20CFCCC4" w14:textId="6A88F562"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EEF2DC7" w14:textId="78D8BD12"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F701DE3" w14:textId="77777777" w:rsidTr="00731175">
        <w:tc>
          <w:tcPr>
            <w:tcW w:w="1255" w:type="dxa"/>
          </w:tcPr>
          <w:p w14:paraId="4FD87216" w14:textId="6B3779CF"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3D9D87D0" w14:textId="6ABB6A2F"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0FF6B983" w14:textId="77777777" w:rsidTr="00731175">
        <w:tc>
          <w:tcPr>
            <w:tcW w:w="1255" w:type="dxa"/>
          </w:tcPr>
          <w:p w14:paraId="5C865E63" w14:textId="3F4FFF90"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B0C065C"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29DFF640" w14:textId="175CE977" w:rsidR="008D7969" w:rsidRDefault="008D7969" w:rsidP="008D7969">
            <w:pPr>
              <w:rPr>
                <w:rFonts w:eastAsiaTheme="minorEastAsia"/>
                <w:sz w:val="18"/>
                <w:szCs w:val="18"/>
                <w:lang w:eastAsia="zh-CN"/>
              </w:rPr>
            </w:pPr>
            <w:r>
              <w:rPr>
                <w:rFonts w:eastAsiaTheme="minorEastAsia"/>
                <w:sz w:val="18"/>
                <w:szCs w:val="18"/>
                <w:lang w:val="en-GB" w:eastAsia="zh-CN"/>
              </w:rPr>
              <w:lastRenderedPageBreak/>
              <w:t>And when sending LS to RAN2 (if needed), it is better to also include such clarification in the LS, since serving cell and non-serving cell have clear definition in RAN2.</w:t>
            </w:r>
          </w:p>
        </w:tc>
      </w:tr>
      <w:tr w:rsidR="007857B6" w:rsidRPr="007130BE" w14:paraId="01B0905A" w14:textId="77777777" w:rsidTr="00731175">
        <w:tc>
          <w:tcPr>
            <w:tcW w:w="1255" w:type="dxa"/>
          </w:tcPr>
          <w:p w14:paraId="37086FAF" w14:textId="58F20DD5" w:rsidR="007857B6" w:rsidRPr="007857B6" w:rsidRDefault="007857B6" w:rsidP="007857B6">
            <w:pPr>
              <w:rPr>
                <w:rFonts w:eastAsiaTheme="minorEastAsia" w:hint="eastAsia"/>
                <w:sz w:val="18"/>
                <w:szCs w:val="18"/>
                <w:lang w:eastAsia="zh-CN"/>
              </w:rPr>
            </w:pPr>
            <w:r>
              <w:rPr>
                <w:rFonts w:eastAsiaTheme="minorEastAsia" w:hint="eastAsia"/>
                <w:sz w:val="18"/>
                <w:szCs w:val="18"/>
                <w:lang w:val="en-GB" w:eastAsia="zh-CN"/>
              </w:rPr>
              <w:lastRenderedPageBreak/>
              <w:t>L</w:t>
            </w:r>
            <w:r>
              <w:rPr>
                <w:rFonts w:eastAsiaTheme="minorEastAsia"/>
                <w:sz w:val="18"/>
                <w:szCs w:val="18"/>
                <w:lang w:val="en-GB" w:eastAsia="zh-CN"/>
              </w:rPr>
              <w:t xml:space="preserve">enovo, Motorola Mobility </w:t>
            </w:r>
          </w:p>
        </w:tc>
        <w:tc>
          <w:tcPr>
            <w:tcW w:w="7805" w:type="dxa"/>
          </w:tcPr>
          <w:p w14:paraId="59B14BAA" w14:textId="59099C90" w:rsidR="007857B6" w:rsidRDefault="007857B6" w:rsidP="007857B6">
            <w:pPr>
              <w:rPr>
                <w:rFonts w:eastAsiaTheme="minorEastAsia" w:hint="eastAsia"/>
                <w:sz w:val="18"/>
                <w:szCs w:val="18"/>
                <w:lang w:val="en-GB" w:eastAsia="zh-CN"/>
              </w:rPr>
            </w:pPr>
            <w:r>
              <w:rPr>
                <w:rFonts w:eastAsiaTheme="minorEastAsia"/>
                <w:sz w:val="18"/>
                <w:szCs w:val="18"/>
                <w:lang w:val="en-GB" w:eastAsia="zh-CN"/>
              </w:rPr>
              <w:t>Fine to discuss it to have a common understanding in RAN1 for further discussion.</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776427"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776427"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af2"/>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2"/>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lastRenderedPageBreak/>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af2"/>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af2"/>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af2"/>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57A5FBF9" w14:textId="77777777" w:rsidTr="00311A3E">
        <w:tc>
          <w:tcPr>
            <w:tcW w:w="1345" w:type="dxa"/>
          </w:tcPr>
          <w:p w14:paraId="65AA6901" w14:textId="3BADFF55"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558B2F64" w14:textId="7077AFFA" w:rsidR="00292E59" w:rsidRDefault="00F01A60" w:rsidP="00AE719E">
            <w:pPr>
              <w:rPr>
                <w:rFonts w:eastAsiaTheme="minorEastAsia"/>
                <w:bCs/>
                <w:sz w:val="18"/>
                <w:szCs w:val="18"/>
                <w:lang w:val="en-GB" w:eastAsia="zh-CN"/>
              </w:rPr>
            </w:pPr>
            <w:r>
              <w:rPr>
                <w:rFonts w:eastAsiaTheme="minorEastAsia"/>
                <w:bCs/>
                <w:sz w:val="18"/>
                <w:szCs w:val="18"/>
                <w:lang w:val="en-GB" w:eastAsia="zh-CN"/>
              </w:rPr>
              <w:t xml:space="preserve">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w:t>
            </w:r>
            <w:r>
              <w:rPr>
                <w:rFonts w:eastAsiaTheme="minorEastAsia"/>
                <w:bCs/>
                <w:sz w:val="18"/>
                <w:szCs w:val="18"/>
                <w:lang w:val="en-GB" w:eastAsia="zh-CN"/>
              </w:rPr>
              <w:lastRenderedPageBreak/>
              <w:t>from PCI to TCI state. RAN2 design can be very different if 2 PCID is mapped to 2 mutually exclusive groups of TCI states vs a fully flexible mapping.</w:t>
            </w:r>
          </w:p>
        </w:tc>
      </w:tr>
      <w:tr w:rsidR="005432BD" w:rsidRPr="007130BE" w14:paraId="17E2D3B8" w14:textId="77777777" w:rsidTr="00311A3E">
        <w:tc>
          <w:tcPr>
            <w:tcW w:w="1345" w:type="dxa"/>
          </w:tcPr>
          <w:p w14:paraId="327EBE4F" w14:textId="2F3D6CBB" w:rsidR="005432BD" w:rsidRDefault="005432BD" w:rsidP="00311A3E">
            <w:pPr>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715" w:type="dxa"/>
          </w:tcPr>
          <w:p w14:paraId="4357BC62" w14:textId="62810571"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14:paraId="4CC8FD8D" w14:textId="77777777" w:rsidTr="00311A3E">
        <w:tc>
          <w:tcPr>
            <w:tcW w:w="1345" w:type="dxa"/>
          </w:tcPr>
          <w:p w14:paraId="7288AF2E" w14:textId="5F6D46E5"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E45B86C"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0B577FE" w14:textId="53C10364" w:rsidR="008D7969" w:rsidRDefault="008D7969" w:rsidP="008D7969">
            <w:pPr>
              <w:rPr>
                <w:rFonts w:eastAsiaTheme="minor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2"/>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af2"/>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1310F589" w14:textId="77777777" w:rsidTr="00731175">
        <w:tc>
          <w:tcPr>
            <w:tcW w:w="1345" w:type="dxa"/>
          </w:tcPr>
          <w:p w14:paraId="001F0D45" w14:textId="471D5940"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24CB037" w14:textId="4BF5BF45"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3ED23144" w14:textId="77777777" w:rsidTr="00731175">
        <w:tc>
          <w:tcPr>
            <w:tcW w:w="1345" w:type="dxa"/>
          </w:tcPr>
          <w:p w14:paraId="75C21A0A" w14:textId="546D460D"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26DF163" w14:textId="132BDB2C"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7B4D21C" w14:textId="77777777" w:rsidTr="00731175">
        <w:tc>
          <w:tcPr>
            <w:tcW w:w="1345" w:type="dxa"/>
          </w:tcPr>
          <w:p w14:paraId="643F5FBA" w14:textId="6D94F6DA"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6E485369" w14:textId="06CF0881"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14:paraId="5C40B548" w14:textId="77777777" w:rsidTr="00731175">
        <w:tc>
          <w:tcPr>
            <w:tcW w:w="1345" w:type="dxa"/>
          </w:tcPr>
          <w:p w14:paraId="6CC3B20F" w14:textId="3F2889BD"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2A92C949" w14:textId="1138E97C" w:rsidR="007857B6" w:rsidRDefault="007857B6" w:rsidP="007857B6">
            <w:pPr>
              <w:rPr>
                <w:rFonts w:eastAsiaTheme="minorEastAsia" w:hint="eastAsia"/>
                <w:sz w:val="18"/>
                <w:szCs w:val="18"/>
                <w:lang w:val="en-GB" w:eastAsia="zh-CN"/>
              </w:rPr>
            </w:pPr>
            <w:r>
              <w:rPr>
                <w:rFonts w:eastAsiaTheme="minorEastAsia"/>
                <w:bCs/>
                <w:sz w:val="18"/>
                <w:szCs w:val="18"/>
                <w:lang w:val="en-GB" w:eastAsia="zh-CN"/>
              </w:rPr>
              <w:t>Support FL proposal.</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lastRenderedPageBreak/>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2"/>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2"/>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2"/>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2"/>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3CA524FD" w14:textId="77777777" w:rsidTr="00731175">
        <w:tc>
          <w:tcPr>
            <w:tcW w:w="1255" w:type="dxa"/>
          </w:tcPr>
          <w:p w14:paraId="3E6F3590" w14:textId="04B2C3C1"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4B66AA6E" w14:textId="590C84AD"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70A1FA5A" w14:textId="77777777" w:rsidTr="00731175">
        <w:tc>
          <w:tcPr>
            <w:tcW w:w="1255" w:type="dxa"/>
          </w:tcPr>
          <w:p w14:paraId="23AE8717" w14:textId="4A757369"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79814E33" w14:textId="2DBF6AFA"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211844EE" w14:textId="77777777" w:rsidTr="00731175">
        <w:tc>
          <w:tcPr>
            <w:tcW w:w="1255" w:type="dxa"/>
          </w:tcPr>
          <w:p w14:paraId="0554C20E" w14:textId="4A6FC313"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FA53CC0" w14:textId="3C9B8A0B"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35CA8483" w14:textId="77777777" w:rsidTr="00731175">
        <w:tc>
          <w:tcPr>
            <w:tcW w:w="1255" w:type="dxa"/>
          </w:tcPr>
          <w:p w14:paraId="39E18657" w14:textId="24EF9443"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1BEB87EE" w14:textId="1617A5AC" w:rsidR="007857B6" w:rsidRDefault="007857B6" w:rsidP="007857B6">
            <w:pPr>
              <w:rPr>
                <w:rFonts w:eastAsiaTheme="minorEastAsia" w:hint="eastAsia"/>
                <w:sz w:val="18"/>
                <w:szCs w:val="18"/>
                <w:lang w:val="en-GB" w:eastAsia="zh-CN"/>
              </w:rPr>
            </w:pPr>
            <w:r>
              <w:rPr>
                <w:rFonts w:eastAsiaTheme="minorEastAsia"/>
                <w:bCs/>
                <w:sz w:val="18"/>
                <w:szCs w:val="18"/>
                <w:lang w:val="en-GB" w:eastAsia="zh-CN"/>
              </w:rPr>
              <w:t>Support FL proposal and agree with QC’s clarification.</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lastRenderedPageBreak/>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2"/>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a"/>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lastRenderedPageBreak/>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497E9331" w14:textId="77777777" w:rsidTr="00731175">
        <w:tc>
          <w:tcPr>
            <w:tcW w:w="1165" w:type="dxa"/>
          </w:tcPr>
          <w:p w14:paraId="1285620F" w14:textId="6B1519B0"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20F8C1A" w14:textId="238771B2"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5376F76C" w14:textId="77777777" w:rsidTr="00731175">
        <w:tc>
          <w:tcPr>
            <w:tcW w:w="1165" w:type="dxa"/>
          </w:tcPr>
          <w:p w14:paraId="6DC34FE6" w14:textId="0958748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78DD0E35" w14:textId="0A45C133"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313F0D88" w14:textId="77777777" w:rsidTr="00731175">
        <w:tc>
          <w:tcPr>
            <w:tcW w:w="1165" w:type="dxa"/>
          </w:tcPr>
          <w:p w14:paraId="059E9D20" w14:textId="48F12B5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30FE924B" w14:textId="6718788D"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14:paraId="376A94C8" w14:textId="77777777" w:rsidTr="00731175">
        <w:tc>
          <w:tcPr>
            <w:tcW w:w="1165" w:type="dxa"/>
          </w:tcPr>
          <w:p w14:paraId="58DFA88B" w14:textId="1F849AA3"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14:paraId="3D2D0F8B" w14:textId="77777777"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14:paraId="04BA276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14:paraId="74868770" w14:textId="77777777"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14:paraId="1751C7CC" w14:textId="6806B88A" w:rsidR="007857B6" w:rsidRDefault="007857B6" w:rsidP="007857B6">
            <w:pPr>
              <w:rPr>
                <w:rFonts w:eastAsiaTheme="minorEastAsia" w:hint="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a0"/>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a"/>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lastRenderedPageBreak/>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3E71EBC3" w14:textId="0A2E8680"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65871886" w14:textId="77777777" w:rsidTr="00731175">
        <w:tc>
          <w:tcPr>
            <w:tcW w:w="1345" w:type="dxa"/>
          </w:tcPr>
          <w:p w14:paraId="13EE3639" w14:textId="507A8A22"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4A2D30B" w14:textId="08122594"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C7FF1BD" w14:textId="77777777" w:rsidTr="00731175">
        <w:tc>
          <w:tcPr>
            <w:tcW w:w="1345" w:type="dxa"/>
          </w:tcPr>
          <w:p w14:paraId="481B255F" w14:textId="664DC6CE"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54758BC5" w14:textId="59314BF2"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599F0E5" w14:textId="77777777" w:rsidTr="00731175">
        <w:tc>
          <w:tcPr>
            <w:tcW w:w="1345" w:type="dxa"/>
          </w:tcPr>
          <w:p w14:paraId="282D7D10" w14:textId="365FFA2B"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4239F0F" w14:textId="1B0D154C"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in </w:t>
            </w:r>
            <w:proofErr w:type="gramStart"/>
            <w:r>
              <w:rPr>
                <w:rFonts w:eastAsiaTheme="minorEastAsia"/>
                <w:sz w:val="18"/>
                <w:szCs w:val="18"/>
                <w:lang w:val="en-GB" w:eastAsia="zh-CN"/>
              </w:rPr>
              <w:t>principle, and</w:t>
            </w:r>
            <w:proofErr w:type="gramEnd"/>
            <w:r>
              <w:rPr>
                <w:rFonts w:eastAsiaTheme="minorEastAsia"/>
                <w:sz w:val="18"/>
                <w:szCs w:val="18"/>
                <w:lang w:val="en-GB" w:eastAsia="zh-CN"/>
              </w:rPr>
              <w:t xml:space="preserve"> agree with QC/ZTE/OPPO/Xiaomi for further clarification.</w:t>
            </w:r>
          </w:p>
        </w:tc>
      </w:tr>
      <w:tr w:rsidR="007857B6" w:rsidRPr="007130BE" w14:paraId="3DF340DB" w14:textId="77777777" w:rsidTr="00731175">
        <w:tc>
          <w:tcPr>
            <w:tcW w:w="1345" w:type="dxa"/>
          </w:tcPr>
          <w:p w14:paraId="64B2DEA2" w14:textId="7669ABDB"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3D13DC32" w14:textId="4EF2F5DB" w:rsidR="007857B6" w:rsidRDefault="007857B6" w:rsidP="007857B6">
            <w:pPr>
              <w:rPr>
                <w:rFonts w:eastAsiaTheme="minorEastAsia" w:hint="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af2"/>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06B30F19" w14:textId="77777777" w:rsidTr="00731175">
        <w:tc>
          <w:tcPr>
            <w:tcW w:w="1345" w:type="dxa"/>
          </w:tcPr>
          <w:p w14:paraId="34E5FF5E" w14:textId="554BD12C"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76827AEF" w14:textId="58A45921"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32CC6672" w14:textId="77777777" w:rsidTr="00731175">
        <w:tc>
          <w:tcPr>
            <w:tcW w:w="1345" w:type="dxa"/>
          </w:tcPr>
          <w:p w14:paraId="0536D8CF" w14:textId="035CB928"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242822D1" w14:textId="1737F6E5"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6E11E204" w14:textId="77777777" w:rsidTr="00731175">
        <w:tc>
          <w:tcPr>
            <w:tcW w:w="1345" w:type="dxa"/>
          </w:tcPr>
          <w:p w14:paraId="53E8C954" w14:textId="71E4BFDD"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24806E3D" w14:textId="6FA165E9" w:rsidR="007857B6" w:rsidRDefault="007857B6" w:rsidP="007857B6">
            <w:pPr>
              <w:rPr>
                <w:rFonts w:eastAsiaTheme="minorEastAsia" w:hint="eastAsia"/>
                <w:sz w:val="18"/>
                <w:szCs w:val="18"/>
                <w:lang w:val="en-GB" w:eastAsia="zh-CN"/>
              </w:rPr>
            </w:pPr>
            <w:r>
              <w:rPr>
                <w:rFonts w:eastAsiaTheme="minorEastAsia"/>
                <w:sz w:val="18"/>
                <w:szCs w:val="18"/>
                <w:lang w:val="en-GB" w:eastAsia="zh-CN"/>
              </w:rPr>
              <w:t xml:space="preserve">Support FL’s proposal. </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lastRenderedPageBreak/>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2"/>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a"/>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15BE3593" w14:textId="77777777" w:rsidTr="00731175">
        <w:tc>
          <w:tcPr>
            <w:tcW w:w="1255" w:type="dxa"/>
          </w:tcPr>
          <w:p w14:paraId="4487BB8F" w14:textId="05F6815C"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2633367E" w14:textId="5CCD4E48"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63CDB205" w14:textId="77777777" w:rsidTr="00731175">
        <w:tc>
          <w:tcPr>
            <w:tcW w:w="1255" w:type="dxa"/>
          </w:tcPr>
          <w:p w14:paraId="3096B9A0" w14:textId="4918F5A0"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15C0F8F" w14:textId="5D93DF9A"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14:paraId="589ECFBF" w14:textId="77777777" w:rsidTr="00731175">
        <w:tc>
          <w:tcPr>
            <w:tcW w:w="1255" w:type="dxa"/>
          </w:tcPr>
          <w:p w14:paraId="24E4024D" w14:textId="4BAAFFFA" w:rsidR="007857B6" w:rsidRDefault="007857B6" w:rsidP="007857B6">
            <w:pPr>
              <w:rPr>
                <w:rFonts w:eastAsiaTheme="minorEastAsia" w:hint="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5A3905C2" w14:textId="7A2AFB26"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lastRenderedPageBreak/>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lastRenderedPageBreak/>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a"/>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Huawei, </w:t>
            </w:r>
            <w:proofErr w:type="spellStart"/>
            <w:r w:rsidRPr="007130BE">
              <w:rPr>
                <w:rFonts w:ascii="Arial" w:eastAsia="宋体"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lastRenderedPageBreak/>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af2"/>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2"/>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2"/>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2"/>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2"/>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lastRenderedPageBreak/>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lastRenderedPageBreak/>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2"/>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2"/>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2"/>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2"/>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2"/>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2"/>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776427"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lastRenderedPageBreak/>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776427"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a"/>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f1"/>
                  <w:b w:val="0"/>
                  <w:noProof/>
                  <w:lang w:val="en-GB"/>
                </w:rPr>
                <w:t>Proposal 1</w:t>
              </w:r>
              <w:r w:rsidRPr="007130BE">
                <w:rPr>
                  <w:rFonts w:asciiTheme="minorHAnsi" w:hAnsiTheme="minorHAnsi"/>
                  <w:b w:val="0"/>
                  <w:noProof/>
                  <w:lang w:val="en-GB"/>
                </w:rPr>
                <w:tab/>
              </w:r>
              <w:r w:rsidRPr="007130BE">
                <w:rPr>
                  <w:rStyle w:val="af1"/>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776427" w:rsidP="00395822">
            <w:pPr>
              <w:pStyle w:val="afa"/>
              <w:tabs>
                <w:tab w:val="right" w:leader="dot" w:pos="9629"/>
              </w:tabs>
              <w:rPr>
                <w:rFonts w:asciiTheme="minorHAnsi" w:hAnsiTheme="minorHAnsi"/>
                <w:b w:val="0"/>
                <w:noProof/>
                <w:lang w:val="en-GB"/>
              </w:rPr>
            </w:pPr>
            <w:hyperlink w:anchor="_Toc68618535" w:history="1">
              <w:r w:rsidR="00395822" w:rsidRPr="007130BE">
                <w:rPr>
                  <w:rStyle w:val="af1"/>
                  <w:b w:val="0"/>
                  <w:noProof/>
                  <w:lang w:val="en-GB"/>
                </w:rPr>
                <w:t>Proposal 2</w:t>
              </w:r>
              <w:r w:rsidR="00395822" w:rsidRPr="007130BE">
                <w:rPr>
                  <w:rFonts w:asciiTheme="minorHAnsi" w:hAnsiTheme="minorHAnsi"/>
                  <w:b w:val="0"/>
                  <w:noProof/>
                  <w:lang w:val="en-GB"/>
                </w:rPr>
                <w:tab/>
              </w:r>
              <w:r w:rsidR="00395822" w:rsidRPr="007130BE">
                <w:rPr>
                  <w:rStyle w:val="af1"/>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776427" w:rsidP="00395822">
            <w:pPr>
              <w:pStyle w:val="afa"/>
              <w:tabs>
                <w:tab w:val="right" w:leader="dot" w:pos="9629"/>
              </w:tabs>
              <w:rPr>
                <w:rFonts w:asciiTheme="minorHAnsi" w:hAnsiTheme="minorHAnsi"/>
                <w:b w:val="0"/>
                <w:noProof/>
                <w:lang w:val="en-GB"/>
              </w:rPr>
            </w:pPr>
            <w:hyperlink w:anchor="_Toc68618536" w:history="1">
              <w:r w:rsidR="00395822" w:rsidRPr="007130BE">
                <w:rPr>
                  <w:rStyle w:val="af1"/>
                  <w:b w:val="0"/>
                  <w:noProof/>
                  <w:lang w:val="en-GB"/>
                </w:rPr>
                <w:t>Proposal 3</w:t>
              </w:r>
              <w:r w:rsidR="00395822" w:rsidRPr="007130BE">
                <w:rPr>
                  <w:rFonts w:asciiTheme="minorHAnsi" w:hAnsiTheme="minorHAnsi"/>
                  <w:b w:val="0"/>
                  <w:noProof/>
                  <w:lang w:val="en-GB"/>
                </w:rPr>
                <w:tab/>
              </w:r>
              <w:r w:rsidR="00395822" w:rsidRPr="007130BE">
                <w:rPr>
                  <w:rStyle w:val="af1"/>
                  <w:b w:val="0"/>
                  <w:noProof/>
                  <w:lang w:val="en-GB"/>
                </w:rPr>
                <w:t>Agree on Option 1: Indicate/associate non-serving cell PCI in the TCI state. FFS other non-serving cell information</w:t>
              </w:r>
            </w:hyperlink>
          </w:p>
          <w:p w14:paraId="576B87DD" w14:textId="77777777" w:rsidR="00395822" w:rsidRPr="007130BE" w:rsidRDefault="00776427" w:rsidP="00395822">
            <w:pPr>
              <w:pStyle w:val="afa"/>
              <w:tabs>
                <w:tab w:val="right" w:leader="dot" w:pos="9629"/>
              </w:tabs>
              <w:rPr>
                <w:rFonts w:asciiTheme="minorHAnsi" w:hAnsiTheme="minorHAnsi"/>
                <w:b w:val="0"/>
                <w:noProof/>
                <w:lang w:val="en-GB"/>
              </w:rPr>
            </w:pPr>
            <w:hyperlink w:anchor="_Toc68618537" w:history="1">
              <w:r w:rsidR="00395822" w:rsidRPr="007130BE">
                <w:rPr>
                  <w:rStyle w:val="af1"/>
                  <w:b w:val="0"/>
                  <w:noProof/>
                  <w:lang w:val="en-GB"/>
                </w:rPr>
                <w:t>Proposal 4</w:t>
              </w:r>
              <w:r w:rsidR="00395822" w:rsidRPr="007130BE">
                <w:rPr>
                  <w:rFonts w:asciiTheme="minorHAnsi" w:hAnsiTheme="minorHAnsi"/>
                  <w:b w:val="0"/>
                  <w:noProof/>
                  <w:lang w:val="en-GB"/>
                </w:rPr>
                <w:tab/>
              </w:r>
              <w:r w:rsidR="00395822" w:rsidRPr="007130BE">
                <w:rPr>
                  <w:rStyle w:val="af1"/>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16273" w14:textId="77777777" w:rsidR="00776427" w:rsidRDefault="00776427">
      <w:r>
        <w:separator/>
      </w:r>
    </w:p>
  </w:endnote>
  <w:endnote w:type="continuationSeparator" w:id="0">
    <w:p w14:paraId="1EA57F1F" w14:textId="77777777" w:rsidR="00776427" w:rsidRDefault="0077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36364" w14:textId="77777777" w:rsidR="00776427" w:rsidRDefault="00776427">
      <w:r>
        <w:separator/>
      </w:r>
    </w:p>
  </w:footnote>
  <w:footnote w:type="continuationSeparator" w:id="0">
    <w:p w14:paraId="45C1DF95" w14:textId="77777777" w:rsidR="00776427" w:rsidRDefault="0077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5432BD" w:rsidRDefault="005432BD"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7225B976-0512-4DB6-84BC-D02FA01B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8B5E-59BB-4007-9A0D-F4D72318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8839</Words>
  <Characters>50387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3</cp:revision>
  <cp:lastPrinted>2011-08-03T09:36:00Z</cp:lastPrinted>
  <dcterms:created xsi:type="dcterms:W3CDTF">2021-04-12T07:18:00Z</dcterms:created>
  <dcterms:modified xsi:type="dcterms:W3CDTF">2021-04-12T07:20:00Z</dcterms:modified>
</cp:coreProperties>
</file>