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0FBA05CD"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00380610" w:rsidRPr="00380610">
              <w:rPr>
                <w:rFonts w:ascii="Times New Roman" w:hAnsi="Times New Roman"/>
              </w:rPr>
              <w:t xml:space="preserve">expects beam alignment between the 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and the 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A3FE1B4" w:rsidR="00380610" w:rsidRPr="00825D4A" w:rsidRDefault="00380610" w:rsidP="00825D4A">
            <w:pPr>
              <w:pStyle w:val="ListParagraph"/>
              <w:numPr>
                <w:ilvl w:val="1"/>
                <w:numId w:val="41"/>
              </w:numPr>
              <w:wordWrap/>
              <w:snapToGrid w:val="0"/>
              <w:spacing w:after="0" w:line="240" w:lineRule="auto"/>
              <w:rPr>
                <w:rFonts w:ascii="Times New Roman" w:eastAsiaTheme="minorEastAsia" w:hAnsi="Times New Roman"/>
              </w:rPr>
            </w:pPr>
            <w:r w:rsidRPr="00825D4A">
              <w:rPr>
                <w:rFonts w:ascii="Times New Roman" w:eastAsia="DengXian" w:hAnsi="Times New Roman"/>
              </w:rPr>
              <w:t>Beam al</w:t>
            </w:r>
            <w:r w:rsidR="00E04817">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sidR="00E04817">
              <w:rPr>
                <w:rFonts w:ascii="Times New Roman" w:eastAsia="DengXian" w:hAnsi="Times New Roman"/>
              </w:rPr>
              <w:t xml:space="preserve">the PL-RS and the RS in UL TCI (or, if applicable, </w:t>
            </w:r>
            <w:r w:rsidRPr="00825D4A">
              <w:rPr>
                <w:rFonts w:ascii="Times New Roman" w:eastAsia="DengXian" w:hAnsi="Times New Roman"/>
              </w:rPr>
              <w:t>joint TCI</w:t>
            </w:r>
            <w:r w:rsidR="00E04817">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p>
          <w:p w14:paraId="03D9083A" w14:textId="77777777"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40642218" w14:textId="27630AC1"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8880469" w14:textId="2BA5AFDA"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cs="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r w:rsidRPr="00380610">
              <w:rPr>
                <w:rFonts w:ascii="Times New Roman" w:hAnsi="Times New Roman"/>
                <w:strike/>
              </w:rPr>
              <w:t xml:space="preserve"> </w:t>
            </w:r>
          </w:p>
          <w:p w14:paraId="751E1AFD" w14:textId="41ED7FD5" w:rsidR="00380610" w:rsidRPr="00380610" w:rsidRDefault="00380610" w:rsidP="00380610">
            <w:pPr>
              <w:numPr>
                <w:ilvl w:val="0"/>
                <w:numId w:val="40"/>
              </w:numPr>
              <w:wordWrap/>
              <w:autoSpaceDE/>
              <w:snapToGrid w:val="0"/>
              <w:jc w:val="left"/>
              <w:rPr>
                <w:rFonts w:ascii="Times New Roman" w:eastAsia="Times New Roman" w:hAnsi="Times New Roman" w:cs="Times New Roman"/>
              </w:rPr>
            </w:pPr>
            <w:r>
              <w:rPr>
                <w:rFonts w:ascii="Times New Roman" w:eastAsia="Times New Roman" w:hAnsi="Times New Roman" w:cs="Times New Roman"/>
              </w:rPr>
              <w:t>FFS</w:t>
            </w:r>
            <w:r w:rsidRPr="00380610">
              <w:rPr>
                <w:rFonts w:ascii="Times New Roman" w:eastAsia="Times New Roman" w:hAnsi="Times New Roman" w:cs="Times New Roman"/>
              </w:rPr>
              <w:t>: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070DD8">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070DD8">
            <w:pPr>
              <w:snapToGrid w:val="0"/>
              <w:rPr>
                <w:rFonts w:ascii="Times New Roman" w:hAnsi="Times New Roman"/>
                <w:bCs/>
                <w:color w:val="3333FF"/>
                <w:sz w:val="18"/>
                <w:szCs w:val="18"/>
              </w:rPr>
            </w:pPr>
          </w:p>
        </w:tc>
      </w:tr>
      <w:tr w:rsidR="000478B4" w:rsidRPr="000478B4" w14:paraId="76928F9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070DD8">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lastRenderedPageBreak/>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ListParagraph"/>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ListParagraph"/>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53514B">
            <w:pPr>
              <w:pStyle w:val="ListParagraph"/>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ListParagraph"/>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1408929E" w:rsidR="005D18B9" w:rsidRPr="00380610" w:rsidRDefault="005D18B9" w:rsidP="005D18B9">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2" w:author="ZTE" w:date="2021-04-19T15:21:00Z">
              <w:r w:rsidRPr="00380610" w:rsidDel="005D18B9">
                <w:rPr>
                  <w:rFonts w:ascii="Times New Roman" w:hAnsi="Times New Roman"/>
                </w:rPr>
                <w:delText xml:space="preserve">beam alignment between </w:delText>
              </w:r>
            </w:del>
            <w:r w:rsidRPr="00380610">
              <w:rPr>
                <w:rFonts w:ascii="Times New Roman" w:hAnsi="Times New Roman"/>
              </w:rPr>
              <w:t xml:space="preserve">the </w:t>
            </w:r>
            <w:ins w:id="3" w:author="ZTE" w:date="2021-04-19T15:22: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4" w:author="ZTE" w:date="2021-04-19T15:21:00Z">
              <w:r>
                <w:rPr>
                  <w:rFonts w:ascii="Times New Roman" w:hAnsi="Times New Roman"/>
                </w:rPr>
                <w:t xml:space="preserve">is the same as </w:t>
              </w:r>
            </w:ins>
            <w:del w:id="5" w:author="ZTE" w:date="2021-04-19T15:21:00Z">
              <w:r w:rsidRPr="00380610" w:rsidDel="005D18B9">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1B406B4" w14:textId="129A7C96" w:rsidR="005D18B9" w:rsidRPr="00825D4A" w:rsidDel="005D18B9" w:rsidRDefault="005D18B9" w:rsidP="005D18B9">
            <w:pPr>
              <w:pStyle w:val="ListParagraph"/>
              <w:numPr>
                <w:ilvl w:val="1"/>
                <w:numId w:val="41"/>
              </w:numPr>
              <w:wordWrap/>
              <w:snapToGrid w:val="0"/>
              <w:spacing w:after="0" w:line="240" w:lineRule="auto"/>
              <w:rPr>
                <w:del w:id="6" w:author="ZTE" w:date="2021-04-19T15:23:00Z"/>
                <w:rFonts w:ascii="Times New Roman" w:eastAsiaTheme="minorEastAsia" w:hAnsi="Times New Roman"/>
              </w:rPr>
            </w:pPr>
            <w:del w:id="7" w:author="ZTE" w:date="2021-04-19T15:23:00Z">
              <w:r w:rsidRPr="00825D4A" w:rsidDel="005D18B9">
                <w:rPr>
                  <w:rFonts w:ascii="Times New Roman" w:eastAsia="DengXian" w:hAnsi="Times New Roman"/>
                </w:rPr>
                <w:delText>Beam al</w:delText>
              </w:r>
              <w:r w:rsidDel="005D18B9">
                <w:rPr>
                  <w:rFonts w:ascii="Times New Roman" w:eastAsia="DengXian" w:hAnsi="Times New Roman"/>
                </w:rPr>
                <w:delText>ignment indicates that the total number of TCI/</w:delText>
              </w:r>
              <w:r w:rsidRPr="00825D4A" w:rsidDel="005D18B9">
                <w:rPr>
                  <w:rFonts w:ascii="Times New Roman" w:eastAsia="DengXian" w:hAnsi="Times New Roman"/>
                </w:rPr>
                <w:delText xml:space="preserve">spatialRelation for </w:delText>
              </w:r>
              <w:r w:rsidDel="005D18B9">
                <w:rPr>
                  <w:rFonts w:ascii="Times New Roman" w:eastAsia="DengXian" w:hAnsi="Times New Roman"/>
                </w:rPr>
                <w:delText xml:space="preserve">the PL-RS and the RS in UL TCI (or, if applicable, </w:delText>
              </w:r>
              <w:r w:rsidRPr="00825D4A" w:rsidDel="005D18B9">
                <w:rPr>
                  <w:rFonts w:ascii="Times New Roman" w:eastAsia="DengXian" w:hAnsi="Times New Roman"/>
                </w:rPr>
                <w:delText>joint TCI</w:delText>
              </w:r>
              <w:r w:rsidDel="005D18B9">
                <w:rPr>
                  <w:rFonts w:ascii="Times New Roman" w:eastAsia="DengXian" w:hAnsi="Times New Roman"/>
                </w:rPr>
                <w:delText>)</w:delText>
              </w:r>
              <w:r w:rsidRPr="00825D4A" w:rsidDel="005D18B9">
                <w:rPr>
                  <w:rFonts w:ascii="Times New Roman" w:eastAsia="DengXian" w:hAnsi="Times New Roman"/>
                </w:rPr>
                <w:delText xml:space="preserve"> should be counted as 1 based on the principle defined in UE FG 2-62.</w:delText>
              </w:r>
            </w:del>
          </w:p>
          <w:p w14:paraId="527201FA"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We would be supportive of the direction of the vivo proposal, which is very much in line with the common beam operation that we are targeting. However, we cannot have that all possibilities to determine PLRS are optional – th</w:t>
            </w:r>
            <w:r>
              <w:rPr>
                <w:rFonts w:ascii="Times New Roman" w:hAnsi="Times New Roman"/>
                <w:bCs/>
                <w:sz w:val="18"/>
                <w:szCs w:val="18"/>
                <w:lang w:eastAsia="zh-CN"/>
              </w:rPr>
              <w:lastRenderedPageBreak/>
              <w:t xml:space="preserve">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Frauhofer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197067">
            <w:pPr>
              <w:pStyle w:val="ListParagraph"/>
              <w:numPr>
                <w:ilvl w:val="1"/>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44EE3041" w:rsidR="00197067" w:rsidRPr="0041209A"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8" w:author="ZTE" w:date="2021-04-19T15:21:00Z">
              <w:r w:rsidRPr="00380610" w:rsidDel="005D18B9">
                <w:rPr>
                  <w:rFonts w:ascii="Times New Roman" w:hAnsi="Times New Roman"/>
                </w:rPr>
                <w:delText xml:space="preserve">beam alignment between </w:delText>
              </w:r>
            </w:del>
            <w:r>
              <w:rPr>
                <w:rFonts w:ascii="Times New Roman" w:hAnsi="Times New Roman"/>
              </w:rPr>
              <w:t>a</w:t>
            </w:r>
            <w:r w:rsidRPr="00380610">
              <w:rPr>
                <w:rFonts w:ascii="Times New Roman" w:hAnsi="Times New Roman"/>
              </w:rPr>
              <w:t xml:space="preserve"> </w:t>
            </w:r>
            <w:ins w:id="9" w:author="ZTE" w:date="2021-04-19T15:22:00Z">
              <w:r>
                <w:rPr>
                  <w:rFonts w:ascii="Times New Roman" w:hAnsi="Times New Roman"/>
                </w:rPr>
                <w:t xml:space="preserve">periodic </w:t>
              </w:r>
            </w:ins>
            <w:r>
              <w:rPr>
                <w:rFonts w:ascii="Times New Roman" w:hAnsi="Times New Roman"/>
              </w:rPr>
              <w:t xml:space="preserve">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ins w:id="10" w:author="ZTE" w:date="2021-04-19T15:21:00Z">
              <w:r>
                <w:rPr>
                  <w:rFonts w:ascii="Times New Roman" w:hAnsi="Times New Roman"/>
                </w:rPr>
                <w:t xml:space="preserve">is the same as </w:t>
              </w:r>
            </w:ins>
            <w:del w:id="11" w:author="ZTE" w:date="2021-04-19T15:21:00Z">
              <w:r w:rsidRPr="00380610" w:rsidDel="005D18B9">
                <w:rPr>
                  <w:rFonts w:ascii="Times New Roman" w:hAnsi="Times New Roman"/>
                </w:rPr>
                <w:delText xml:space="preserve">and the </w:delText>
              </w:r>
            </w:del>
            <w:r>
              <w:rPr>
                <w:rFonts w:ascii="Times New Roman" w:hAnsi="Times New Roman"/>
              </w:rPr>
              <w:t xml:space="preserve">the PL RS included in or associated with the UL/joint TCI state. </w:t>
            </w:r>
          </w:p>
          <w:p w14:paraId="0E4A1BF7" w14:textId="77777777" w:rsidR="00197067" w:rsidRPr="0041209A" w:rsidRDefault="00197067" w:rsidP="00197067">
            <w:pPr>
              <w:pStyle w:val="ListParagraph"/>
              <w:numPr>
                <w:ilvl w:val="0"/>
                <w:numId w:val="41"/>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197067">
            <w:pPr>
              <w:pStyle w:val="ListParagraph"/>
              <w:numPr>
                <w:ilvl w:val="1"/>
                <w:numId w:val="41"/>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197067">
            <w:pPr>
              <w:numPr>
                <w:ilvl w:val="0"/>
                <w:numId w:val="41"/>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bookmarkStart w:id="12" w:name="_GoBack"/>
        <w:bookmarkEnd w:id="12"/>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75E82FD6"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For </w:t>
            </w:r>
            <w:r w:rsidRPr="000478B4">
              <w:rPr>
                <w:rFonts w:ascii="Times New Roman" w:hAnsi="Times New Roman" w:cs="Times New Roman"/>
                <w:highlight w:val="cyan"/>
                <w:lang w:eastAsia="ko-KR"/>
              </w:rPr>
              <w:t>[periodic, semi-persistent, and aperiodic]</w:t>
            </w:r>
            <w:r w:rsidRPr="000478B4">
              <w:rPr>
                <w:rFonts w:ascii="Times New Roman" w:hAnsi="Times New Roman" w:cs="Times New Roman"/>
                <w:lang w:eastAsia="ko-KR"/>
              </w:rPr>
              <w:t xml:space="preserve"> reporting, in one reporting instance, depending on NW configuration, beam(s) associated with a non-serving cell can be mixed with that associated with serving-cell </w:t>
            </w:r>
          </w:p>
          <w:p w14:paraId="2113C90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 and semi-persistent</w:t>
            </w:r>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lastRenderedPageBreak/>
              <w:t>FFS: How to report the K beams and corresponding qualities if the Tx power among the non-serving cell and with serving-cell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051D36BF"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 support MAC CE based dynamic activation/deactivation of a subset of higher-layer-configured measurement for non-serving cell SSBs</w:t>
            </w:r>
          </w:p>
          <w:p w14:paraId="038AD6E1" w14:textId="77777777"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DengXian" w:hAnsi="Times New Roman" w:cs="Times New Roman"/>
                <w:bCs/>
                <w:szCs w:val="18"/>
                <w:lang w:eastAsia="ko-KR"/>
              </w:rPr>
              <w:t>Additionally activated non-serving cell information for SSBs to be measured, or activated non-serving cell SSBs</w:t>
            </w:r>
          </w:p>
          <w:p w14:paraId="4E485E77" w14:textId="71F3C7E1" w:rsidR="00A00CDC"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semi-persistent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070DD8">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070DD8">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lastRenderedPageBreak/>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103EBD">
            <w:pPr>
              <w:pStyle w:val="ListParagraph"/>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C6492D">
            <w:pPr>
              <w:pStyle w:val="ListParagraph"/>
              <w:numPr>
                <w:ilvl w:val="0"/>
                <w:numId w:val="17"/>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lastRenderedPageBreak/>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E75CB1">
            <w:pPr>
              <w:pStyle w:val="ListParagraph"/>
              <w:numPr>
                <w:ilvl w:val="0"/>
                <w:numId w:val="47"/>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343A9C65" w:rsidR="008E5199" w:rsidRPr="000478B4" w:rsidRDefault="008E5199">
            <w:pPr>
              <w:snapToGrid w:val="0"/>
              <w:rPr>
                <w:rFonts w:ascii="Times New Roman" w:hAnsi="Times New Roman" w:cs="Times New Roman"/>
                <w:sz w:val="16"/>
                <w:szCs w:val="18"/>
              </w:rPr>
            </w:pPr>
          </w:p>
          <w:p w14:paraId="478E956C" w14:textId="77777777"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77777777" w:rsidR="008E5199" w:rsidRPr="000478B4" w:rsidRDefault="008E5199">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CEBA9B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1B2364" w:rsidRPr="000478B4">
              <w:rPr>
                <w:rFonts w:ascii="Times New Roman" w:eastAsia="Malgun Gothic" w:hAnsi="Times New Roman" w:cs="Times New Roman"/>
                <w:bCs/>
              </w:rPr>
              <w:t>s</w:t>
            </w:r>
            <w:r w:rsidRPr="000478B4">
              <w:rPr>
                <w:rFonts w:ascii="Times New Roman" w:eastAsia="Malgun Gothic" w:hAnsi="Times New Roman" w:cs="Times New Roman"/>
                <w:bCs/>
              </w:rPr>
              <w:t>upport UE to report panel-specific information as a UE capability. Select from at least the following:</w:t>
            </w:r>
          </w:p>
          <w:p w14:paraId="3DCB490E"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the total number of DL/UL panel entities </w:t>
            </w:r>
          </w:p>
          <w:p w14:paraId="3ABE76A7"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number of antenna ports/layers per panel entity</w:t>
            </w:r>
          </w:p>
          <w:p w14:paraId="37DAB2F8"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maximum number of resources per panel entity for SRS BM</w:t>
            </w:r>
          </w:p>
          <w:p w14:paraId="5C10A6D0"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lastRenderedPageBreak/>
              <w:t>Information related to maximum achievable EIRP per panel entity</w:t>
            </w:r>
          </w:p>
          <w:p w14:paraId="05DC67C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panel switching delay </w:t>
            </w:r>
          </w:p>
          <w:p w14:paraId="738644E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Note: above ‘panel entity’ is a logical entity and how to map physical panels to the logical entities is up to UE implementation</w:t>
            </w:r>
          </w:p>
          <w:p w14:paraId="010E9602" w14:textId="77777777" w:rsidR="001068D1" w:rsidRPr="000478B4" w:rsidRDefault="001068D1" w:rsidP="000478B4">
            <w:pPr>
              <w:wordWrap/>
              <w:snapToGrid w:val="0"/>
              <w:rPr>
                <w:rFonts w:ascii="Times New Roman" w:eastAsia="Malgun Gothic" w:hAnsi="Times New Roman" w:cs="Times New Roman"/>
                <w:bCs/>
              </w:rPr>
            </w:pPr>
          </w:p>
          <w:p w14:paraId="279D8BD7" w14:textId="1A5127C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76889A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9DB9A03"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s</w:t>
            </w:r>
            <w:r w:rsidRPr="000478B4">
              <w:rPr>
                <w:rFonts w:ascii="Times New Roman" w:eastAsia="Malgun Gothic" w:hAnsi="Times New Roman" w:cs="Times New Roman"/>
                <w:bCs/>
              </w:rPr>
              <w:t>upport UE to report information related to panel activation/selection status</w:t>
            </w:r>
          </w:p>
          <w:p w14:paraId="0AB69AB0" w14:textId="38B0448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070DD8">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070DD8">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070DD8">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070DD8">
            <w:pPr>
              <w:snapToGrid w:val="0"/>
              <w:rPr>
                <w:rFonts w:ascii="Times New Roman" w:hAnsi="Times New Roman"/>
                <w:bCs/>
                <w:sz w:val="18"/>
                <w:szCs w:val="18"/>
                <w:lang w:eastAsia="zh-CN"/>
              </w:rPr>
            </w:pPr>
          </w:p>
          <w:p w14:paraId="13CFBC30" w14:textId="3C2B13EE" w:rsid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070DD8">
            <w:pPr>
              <w:snapToGrid w:val="0"/>
              <w:rPr>
                <w:rFonts w:ascii="Times New Roman" w:hAnsi="Times New Roman"/>
                <w:bCs/>
                <w:sz w:val="18"/>
                <w:szCs w:val="18"/>
                <w:lang w:eastAsia="zh-CN"/>
              </w:rPr>
            </w:pPr>
          </w:p>
          <w:p w14:paraId="4B27F94E" w14:textId="0CB60D7E" w:rsidR="009B2F46" w:rsidRP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13"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14"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ListParagraph"/>
              <w:numPr>
                <w:ilvl w:val="0"/>
                <w:numId w:val="43"/>
              </w:numPr>
              <w:wordWrap/>
              <w:snapToGrid w:val="0"/>
              <w:spacing w:after="0"/>
              <w:rPr>
                <w:rFonts w:ascii="Times New Roman" w:eastAsia="Malgun Gothic" w:hAnsi="Times New Roman"/>
                <w:bCs/>
              </w:rPr>
            </w:pPr>
            <w:ins w:id="15" w:author="Darcy Tsai" w:date="2021-04-19T11:07:00Z">
              <w:r w:rsidRPr="007A6A8A">
                <w:rPr>
                  <w:rFonts w:ascii="Times New Roman" w:eastAsia="Malgun Gothic" w:hAnsi="Times New Roman"/>
                  <w:bCs/>
                </w:rPr>
                <w:t>S</w:t>
              </w:r>
            </w:ins>
            <w:del w:id="16"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17" w:author="Darcy Tsai" w:date="2021-04-19T11:08:00Z">
              <w:r w:rsidRPr="007A6A8A">
                <w:rPr>
                  <w:rFonts w:ascii="Times New Roman" w:eastAsia="Malgun Gothic" w:hAnsi="Times New Roman"/>
                  <w:bCs/>
                </w:rPr>
                <w:t>, for example:</w:t>
              </w:r>
            </w:ins>
            <w:del w:id="18" w:author="Darcy Tsai" w:date="2021-04-19T11:08:00Z">
              <w:r w:rsidRPr="007A6A8A" w:rsidDel="007A6A8A">
                <w:rPr>
                  <w:rFonts w:ascii="Times New Roman" w:eastAsia="Malgun Gothic" w:hAnsi="Times New Roman"/>
                  <w:bCs/>
                </w:rPr>
                <w:delText xml:space="preserve">. Select from at least the </w:delText>
              </w:r>
            </w:del>
            <w:del w:id="19"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lastRenderedPageBreak/>
              <w:t>Information related to maximum achievable EIRP per panel entity</w:t>
            </w:r>
          </w:p>
          <w:p w14:paraId="300ECE6F"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ListParagraph"/>
              <w:numPr>
                <w:ilvl w:val="0"/>
                <w:numId w:val="37"/>
              </w:numPr>
              <w:wordWrap/>
              <w:snapToGrid w:val="0"/>
              <w:spacing w:after="0"/>
              <w:rPr>
                <w:ins w:id="20" w:author="Darcy Tsai" w:date="2021-04-19T11:09:00Z"/>
                <w:rFonts w:ascii="Times New Roman" w:eastAsia="Malgun Gothic" w:hAnsi="Times New Roman"/>
                <w:bCs/>
              </w:rPr>
            </w:pPr>
            <w:ins w:id="21" w:author="Darcy Tsai" w:date="2021-04-19T11:10: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ListParagraph"/>
              <w:numPr>
                <w:ilvl w:val="0"/>
                <w:numId w:val="37"/>
              </w:numPr>
              <w:wordWrap/>
              <w:snapToGrid w:val="0"/>
              <w:spacing w:after="0"/>
              <w:rPr>
                <w:ins w:id="22"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ListParagraph"/>
              <w:numPr>
                <w:ilvl w:val="0"/>
                <w:numId w:val="37"/>
              </w:numPr>
              <w:wordWrap/>
              <w:snapToGrid w:val="0"/>
              <w:spacing w:after="0"/>
              <w:jc w:val="left"/>
              <w:rPr>
                <w:rFonts w:ascii="Times New Roman" w:eastAsia="Malgun Gothic" w:hAnsi="Times New Roman"/>
                <w:bCs/>
              </w:rPr>
            </w:pPr>
            <w:ins w:id="23"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24" w:author="Darcy Tsai" w:date="2021-04-19T11:12:00Z">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lastRenderedPageBreak/>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E0826" w14:textId="77777777" w:rsidR="004C2DF5" w:rsidRDefault="004C2DF5">
      <w:pPr>
        <w:rPr>
          <w:rFonts w:hint="eastAsia"/>
        </w:rPr>
      </w:pPr>
      <w:r>
        <w:separator/>
      </w:r>
    </w:p>
  </w:endnote>
  <w:endnote w:type="continuationSeparator" w:id="0">
    <w:p w14:paraId="1B2AFEB3" w14:textId="77777777" w:rsidR="004C2DF5" w:rsidRDefault="004C2D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E9444" w14:textId="77777777" w:rsidR="004C2DF5" w:rsidRDefault="004C2DF5">
      <w:pPr>
        <w:rPr>
          <w:rFonts w:hint="eastAsia"/>
        </w:rPr>
      </w:pPr>
      <w:r>
        <w:rPr>
          <w:color w:val="000000"/>
        </w:rPr>
        <w:separator/>
      </w:r>
    </w:p>
  </w:footnote>
  <w:footnote w:type="continuationSeparator" w:id="0">
    <w:p w14:paraId="0B158BCE" w14:textId="77777777" w:rsidR="004C2DF5" w:rsidRDefault="004C2DF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4"/>
  </w:num>
  <w:num w:numId="4">
    <w:abstractNumId w:val="12"/>
  </w:num>
  <w:num w:numId="5">
    <w:abstractNumId w:val="25"/>
  </w:num>
  <w:num w:numId="6">
    <w:abstractNumId w:val="11"/>
  </w:num>
  <w:num w:numId="7">
    <w:abstractNumId w:val="33"/>
  </w:num>
  <w:num w:numId="8">
    <w:abstractNumId w:val="7"/>
  </w:num>
  <w:num w:numId="9">
    <w:abstractNumId w:val="8"/>
  </w:num>
  <w:num w:numId="10">
    <w:abstractNumId w:val="35"/>
  </w:num>
  <w:num w:numId="11">
    <w:abstractNumId w:val="0"/>
  </w:num>
  <w:num w:numId="12">
    <w:abstractNumId w:val="1"/>
  </w:num>
  <w:num w:numId="13">
    <w:abstractNumId w:val="13"/>
  </w:num>
  <w:num w:numId="14">
    <w:abstractNumId w:val="16"/>
  </w:num>
  <w:num w:numId="15">
    <w:abstractNumId w:val="5"/>
  </w:num>
  <w:num w:numId="16">
    <w:abstractNumId w:val="19"/>
  </w:num>
  <w:num w:numId="17">
    <w:abstractNumId w:val="30"/>
  </w:num>
  <w:num w:numId="18">
    <w:abstractNumId w:val="17"/>
  </w:num>
  <w:num w:numId="19">
    <w:abstractNumId w:val="32"/>
  </w:num>
  <w:num w:numId="20">
    <w:abstractNumId w:val="28"/>
  </w:num>
  <w:num w:numId="21">
    <w:abstractNumId w:val="23"/>
  </w:num>
  <w:num w:numId="22">
    <w:abstractNumId w:val="17"/>
  </w:num>
  <w:num w:numId="23">
    <w:abstractNumId w:val="29"/>
  </w:num>
  <w:num w:numId="24">
    <w:abstractNumId w:val="15"/>
  </w:num>
  <w:num w:numId="25">
    <w:abstractNumId w:val="38"/>
  </w:num>
  <w:num w:numId="26">
    <w:abstractNumId w:val="10"/>
  </w:num>
  <w:num w:numId="27">
    <w:abstractNumId w:val="36"/>
  </w:num>
  <w:num w:numId="28">
    <w:abstractNumId w:val="3"/>
  </w:num>
  <w:num w:numId="29">
    <w:abstractNumId w:val="18"/>
  </w:num>
  <w:num w:numId="30">
    <w:abstractNumId w:val="34"/>
  </w:num>
  <w:num w:numId="31">
    <w:abstractNumId w:val="27"/>
  </w:num>
  <w:num w:numId="32">
    <w:abstractNumId w:val="30"/>
  </w:num>
  <w:num w:numId="33">
    <w:abstractNumId w:val="16"/>
  </w:num>
  <w:num w:numId="34">
    <w:abstractNumId w:val="20"/>
  </w:num>
  <w:num w:numId="35">
    <w:abstractNumId w:val="15"/>
  </w:num>
  <w:num w:numId="36">
    <w:abstractNumId w:val="24"/>
  </w:num>
  <w:num w:numId="37">
    <w:abstractNumId w:val="14"/>
  </w:num>
  <w:num w:numId="38">
    <w:abstractNumId w:val="30"/>
  </w:num>
  <w:num w:numId="39">
    <w:abstractNumId w:val="2"/>
  </w:num>
  <w:num w:numId="40">
    <w:abstractNumId w:val="31"/>
  </w:num>
  <w:num w:numId="41">
    <w:abstractNumId w:val="39"/>
  </w:num>
  <w:num w:numId="42">
    <w:abstractNumId w:val="26"/>
  </w:num>
  <w:num w:numId="43">
    <w:abstractNumId w:val="21"/>
  </w:num>
  <w:num w:numId="44">
    <w:abstractNumId w:val="22"/>
  </w:num>
  <w:num w:numId="45">
    <w:abstractNumId w:val="16"/>
  </w:num>
  <w:num w:numId="46">
    <w:abstractNumId w:val="16"/>
  </w:num>
  <w:num w:numId="47">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C00"/>
    <w:rsid w:val="00107573"/>
    <w:rsid w:val="00110301"/>
    <w:rsid w:val="00111241"/>
    <w:rsid w:val="00111447"/>
    <w:rsid w:val="001122C8"/>
    <w:rsid w:val="001128C7"/>
    <w:rsid w:val="00112E92"/>
    <w:rsid w:val="001134B1"/>
    <w:rsid w:val="001140AB"/>
    <w:rsid w:val="00114163"/>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493C"/>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62F"/>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C4F"/>
    <w:rsid w:val="003D6EC6"/>
    <w:rsid w:val="003D72FB"/>
    <w:rsid w:val="003E1794"/>
    <w:rsid w:val="003E3890"/>
    <w:rsid w:val="003E4171"/>
    <w:rsid w:val="003E44D5"/>
    <w:rsid w:val="003E5084"/>
    <w:rsid w:val="003E6539"/>
    <w:rsid w:val="003E6DD5"/>
    <w:rsid w:val="003E730C"/>
    <w:rsid w:val="003F0726"/>
    <w:rsid w:val="003F0BFA"/>
    <w:rsid w:val="003F1B00"/>
    <w:rsid w:val="003F324D"/>
    <w:rsid w:val="003F4B1B"/>
    <w:rsid w:val="003F5143"/>
    <w:rsid w:val="003F590D"/>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6623"/>
    <w:rsid w:val="005274F9"/>
    <w:rsid w:val="00532A92"/>
    <w:rsid w:val="00532E79"/>
    <w:rsid w:val="00534551"/>
    <w:rsid w:val="00534572"/>
    <w:rsid w:val="0053514B"/>
    <w:rsid w:val="00540691"/>
    <w:rsid w:val="005412C1"/>
    <w:rsid w:val="00542343"/>
    <w:rsid w:val="00542E24"/>
    <w:rsid w:val="00543BCA"/>
    <w:rsid w:val="00544C3D"/>
    <w:rsid w:val="00545048"/>
    <w:rsid w:val="00545DA2"/>
    <w:rsid w:val="005478C8"/>
    <w:rsid w:val="00547FF7"/>
    <w:rsid w:val="005503F0"/>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600328"/>
    <w:rsid w:val="006008CF"/>
    <w:rsid w:val="00600EB2"/>
    <w:rsid w:val="00601784"/>
    <w:rsid w:val="006019C3"/>
    <w:rsid w:val="00601C3E"/>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94"/>
    <w:rsid w:val="00A95BD6"/>
    <w:rsid w:val="00A96DCD"/>
    <w:rsid w:val="00A97C6D"/>
    <w:rsid w:val="00AA229E"/>
    <w:rsid w:val="00AA24CE"/>
    <w:rsid w:val="00AA2F1C"/>
    <w:rsid w:val="00AA3F0E"/>
    <w:rsid w:val="00AA62B9"/>
    <w:rsid w:val="00AB057F"/>
    <w:rsid w:val="00AB076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220B"/>
    <w:rsid w:val="00D43949"/>
    <w:rsid w:val="00D4467F"/>
    <w:rsid w:val="00D44AD5"/>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9E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A25"/>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DC4"/>
    <w:rsid w:val="00E168A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70A3"/>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E08C-8B06-479E-939E-F83F85F8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4681</Words>
  <Characters>29496</Characters>
  <Application>Microsoft Office Word</Application>
  <DocSecurity>0</DocSecurity>
  <Lines>245</Lines>
  <Paragraphs>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Varatharaajan, Sutharshun</cp:lastModifiedBy>
  <cp:revision>6</cp:revision>
  <dcterms:created xsi:type="dcterms:W3CDTF">2021-04-19T13:02:00Z</dcterms:created>
  <dcterms:modified xsi:type="dcterms:W3CDTF">2021-04-19T13:51:00Z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