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a3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65EA4A5F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</w:t>
            </w:r>
            <w:ins w:id="0" w:author="Eko Onggosanusi" w:date="2021-05-04T11:21:00Z">
              <w:r w:rsidR="00B6285B">
                <w:rPr>
                  <w:b/>
                  <w:sz w:val="18"/>
                  <w:szCs w:val="20"/>
                </w:rPr>
                <w:t>1</w:t>
              </w:r>
            </w:ins>
            <w:del w:id="1" w:author="Eko Onggosanusi" w:date="2021-05-04T11:21:00Z">
              <w:r w:rsidDel="00B6285B">
                <w:rPr>
                  <w:b/>
                  <w:sz w:val="18"/>
                  <w:szCs w:val="20"/>
                </w:rPr>
                <w:delText>0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  <w:ins w:id="2" w:author="Eko Onggosanusi" w:date="2021-05-04T11:21:00Z">
              <w:r w:rsidR="00B6285B">
                <w:rPr>
                  <w:sz w:val="18"/>
                  <w:szCs w:val="18"/>
                </w:rPr>
                <w:t xml:space="preserve"> Ericsson</w:t>
              </w:r>
            </w:ins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4B5F4FFD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</w:t>
            </w:r>
            <w:ins w:id="3" w:author="Eko Onggosanusi" w:date="2021-05-04T11:21:00Z">
              <w:r w:rsidR="00B6285B">
                <w:rPr>
                  <w:b/>
                  <w:sz w:val="18"/>
                  <w:szCs w:val="20"/>
                </w:rPr>
                <w:t>8</w:t>
              </w:r>
            </w:ins>
            <w:del w:id="4" w:author="Eko Onggosanusi" w:date="2021-05-04T11:21:00Z">
              <w:r w:rsidR="0093726F" w:rsidDel="00B6285B">
                <w:rPr>
                  <w:b/>
                  <w:sz w:val="18"/>
                  <w:szCs w:val="20"/>
                </w:rPr>
                <w:delText>7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</w:t>
            </w:r>
            <w:ins w:id="5" w:author="Eko Onggosanusi" w:date="2021-05-04T11:22:00Z">
              <w:r w:rsidR="00B6285B">
                <w:rPr>
                  <w:sz w:val="18"/>
                  <w:szCs w:val="20"/>
                </w:rPr>
                <w:t xml:space="preserve"> (OptA and B)</w:t>
              </w:r>
            </w:ins>
            <w:r>
              <w:rPr>
                <w:sz w:val="18"/>
                <w:szCs w:val="20"/>
              </w:rPr>
              <w:t xml:space="preserve">, ZTE, MTK, </w:t>
            </w:r>
            <w:r w:rsidR="00B6285B">
              <w:rPr>
                <w:sz w:val="18"/>
                <w:szCs w:val="20"/>
              </w:rPr>
              <w:t>Sony (OptA only</w:t>
            </w:r>
            <w:r>
              <w:rPr>
                <w:sz w:val="18"/>
                <w:szCs w:val="20"/>
              </w:rPr>
              <w:t>), Qualcomm (</w:t>
            </w:r>
            <w:r w:rsidR="00B6285B">
              <w:rPr>
                <w:sz w:val="18"/>
                <w:szCs w:val="20"/>
              </w:rPr>
              <w:t>OptA and B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  <w:ins w:id="6" w:author="Eko Onggosanusi" w:date="2021-05-04T11:21:00Z">
              <w:r w:rsidR="00B6285B">
                <w:rPr>
                  <w:sz w:val="18"/>
                  <w:szCs w:val="20"/>
                </w:rPr>
                <w:t>, OPPO (OptA only)</w:t>
              </w:r>
            </w:ins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1B812698" w:rsid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del w:id="7" w:author="Eko Onggosanusi" w:date="2021-05-04T11:14:00Z">
              <w:r w:rsidRPr="00C40984" w:rsidDel="002F40DA">
                <w:rPr>
                  <w:sz w:val="20"/>
                  <w:szCs w:val="22"/>
                  <w:lang w:eastAsia="ja-JP"/>
                </w:rPr>
                <w:delText>TRS</w:delText>
              </w:r>
            </w:del>
            <w:ins w:id="8" w:author="Eko Onggosanusi" w:date="2021-05-04T11:14:00Z">
              <w:r w:rsidR="002F40DA">
                <w:rPr>
                  <w:sz w:val="20"/>
                  <w:szCs w:val="22"/>
                  <w:lang w:eastAsia="ja-JP"/>
                </w:rPr>
                <w:t>CSI-</w:t>
              </w:r>
              <w:r w:rsidR="002F40DA" w:rsidRPr="00C40984">
                <w:rPr>
                  <w:sz w:val="20"/>
                  <w:szCs w:val="22"/>
                  <w:lang w:eastAsia="ja-JP"/>
                </w:rPr>
                <w:t>RS</w:t>
              </w:r>
            </w:ins>
            <w:r w:rsidRPr="00C40984">
              <w:rPr>
                <w:sz w:val="20"/>
                <w:szCs w:val="22"/>
                <w:lang w:eastAsia="ja-JP"/>
              </w:rPr>
              <w:t xml:space="preserve">, </w:t>
            </w:r>
            <w:del w:id="9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 xml:space="preserve">in </w:delText>
              </w:r>
            </w:del>
            <w:ins w:id="10" w:author="Eko Onggosanusi" w:date="2021-05-04T11:14:00Z">
              <w:r w:rsidR="00797FE1">
                <w:rPr>
                  <w:sz w:val="20"/>
                  <w:szCs w:val="22"/>
                  <w:lang w:eastAsia="ja-JP"/>
                </w:rPr>
                <w:t>with</w:t>
              </w:r>
              <w:r w:rsidR="00797FE1" w:rsidRPr="00C40984">
                <w:rPr>
                  <w:sz w:val="20"/>
                  <w:szCs w:val="22"/>
                  <w:lang w:eastAsia="ja-JP"/>
                </w:rPr>
                <w:t xml:space="preserve"> </w:t>
              </w:r>
            </w:ins>
            <w:del w:id="11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>the same/</w:delText>
              </w:r>
            </w:del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57DFBA67" w14:textId="03E00859" w:rsidR="00C40984" w:rsidRP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zh-TW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zh-TW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zh-TW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a3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ab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新細明體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  <w:r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新細明體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新細明體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With a common beam across a group of CCs (that can share the same beam, i.e. TCI state with QCL Type-D),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associated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Q2: Given the argument in Q1, using a common QCL Type D source RS for a group of CCs sharing the same beam can reduce UE complexity, as the UE tracks only a single RS for the set of carriers. Therefore, we support Alt 2. Opt B seems to require an additional QCL Type D relation (for the SSB to be a source RS for PDSCH/PDCCH), therefore, we should at least support Opt A, we also like to be able to support Opt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297B9717" w:rsidR="00BE20D1" w:rsidRDefault="002F40DA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E" w14:textId="77777777" w:rsidR="00135E69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Modified Opt A per OPPO’s comment.</w:t>
            </w:r>
          </w:p>
          <w:p w14:paraId="2FDDD07F" w14:textId="24BD32B8" w:rsidR="00797FE1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Re Ericsson’s question, we have the following agreement</w:t>
            </w:r>
            <w:r w:rsidR="005C4DE0">
              <w:rPr>
                <w:sz w:val="18"/>
              </w:rPr>
              <w:t xml:space="preserve"> (in short, TCI states could differ across CCs but they would ultimately refer to the same QCL Type-D RS – cf. Alt1 (either directly or indirectly))</w:t>
            </w:r>
            <w:r>
              <w:rPr>
                <w:sz w:val="18"/>
              </w:rPr>
              <w:t xml:space="preserve">: </w:t>
            </w:r>
          </w:p>
          <w:p w14:paraId="374D27DB" w14:textId="2D697B67" w:rsidR="00797FE1" w:rsidRPr="00797FE1" w:rsidRDefault="00797FE1" w:rsidP="00797FE1">
            <w:pPr>
              <w:snapToGrid w:val="0"/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  <w:t>On Rel-17 unified TCI framework, support common TCI state ID update and activation to provide common QCL information and/or common UL TX spatial filter(s) across a set of configured CCs:</w:t>
            </w:r>
          </w:p>
          <w:p w14:paraId="42AFF4BC" w14:textId="36E35008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color w:val="FF0000"/>
                <w:sz w:val="18"/>
                <w:szCs w:val="18"/>
              </w:rPr>
              <w:t>...</w:t>
            </w:r>
          </w:p>
          <w:p w14:paraId="07821D06" w14:textId="77777777" w:rsidR="00797FE1" w:rsidRPr="00797FE1" w:rsidRDefault="00797FE1" w:rsidP="00797FE1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jc w:val="both"/>
              <w:textAlignment w:val="baseline"/>
              <w:rPr>
                <w:rFonts w:eastAsia="Batang"/>
                <w:color w:val="FF0000"/>
                <w:sz w:val="18"/>
                <w:szCs w:val="18"/>
                <w:lang w:val="en-GB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Just as Rel.16, the RS in the TCI state that provides QCL-TypeA [or QCL-TypeB] shall be in the same CC as the target channel or RS</w:t>
            </w:r>
          </w:p>
          <w:p w14:paraId="498211A8" w14:textId="6675ED64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3366FF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The common TCI state ID implies that the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same/single RS</w:t>
            </w: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 determined according to the TCI state(s) indicated by a common TCI state ID is used to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provide QCL Type-D indication and to determine UL TX spatial filter across the set of configured CCs</w:t>
            </w:r>
          </w:p>
          <w:p w14:paraId="5520F29D" w14:textId="475D638D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…</w:t>
            </w:r>
          </w:p>
          <w:p w14:paraId="29C7F67D" w14:textId="6B946755" w:rsidR="00797FE1" w:rsidRPr="00A00C41" w:rsidRDefault="00797FE1" w:rsidP="00797FE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14702990" w:rsidR="00B538D6" w:rsidRDefault="00AD4025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606E4810" w:rsidR="00176FA0" w:rsidRPr="00176FA0" w:rsidRDefault="00AD4025" w:rsidP="00176FA0">
            <w:pPr>
              <w:snapToGrid w:val="0"/>
              <w:rPr>
                <w:sz w:val="20"/>
                <w:szCs w:val="22"/>
                <w:lang w:eastAsia="ja-JP"/>
              </w:rPr>
            </w:pPr>
            <w:r w:rsidRPr="00176FA0">
              <w:rPr>
                <w:sz w:val="18"/>
              </w:rPr>
              <w:t xml:space="preserve">Re the modified Opt. A, we agree that “the same” should be deleted. But </w:t>
            </w:r>
            <w:r w:rsidR="00176FA0" w:rsidRPr="00176FA0">
              <w:rPr>
                <w:sz w:val="18"/>
              </w:rPr>
              <w:t xml:space="preserve">does </w:t>
            </w:r>
            <w:r w:rsidRPr="00176FA0">
              <w:rPr>
                <w:sz w:val="18"/>
              </w:rPr>
              <w:t>changing “QCL-Type D TRS” to “QCL-Type D CSI-RS”</w:t>
            </w:r>
            <w:r w:rsidR="00176FA0" w:rsidRPr="00176FA0">
              <w:rPr>
                <w:sz w:val="18"/>
              </w:rPr>
              <w:t xml:space="preserve"> mean any type</w:t>
            </w:r>
            <w:r w:rsidRPr="00176FA0">
              <w:rPr>
                <w:sz w:val="18"/>
              </w:rPr>
              <w:t xml:space="preserve"> of CSI-RS</w:t>
            </w:r>
            <w:r w:rsidR="00176FA0" w:rsidRPr="00176FA0">
              <w:rPr>
                <w:sz w:val="18"/>
              </w:rPr>
              <w:t xml:space="preserve"> (BM, TRS, or CSI)</w:t>
            </w:r>
            <w:r w:rsidRPr="00176FA0">
              <w:rPr>
                <w:sz w:val="18"/>
              </w:rPr>
              <w:t xml:space="preserve"> can be supported as TypeD source in</w:t>
            </w:r>
            <w:r w:rsidR="00176FA0" w:rsidRPr="00176FA0">
              <w:rPr>
                <w:sz w:val="18"/>
              </w:rPr>
              <w:t xml:space="preserve"> Opt.A?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lastRenderedPageBreak/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>In this cas</w:t>
            </w:r>
            <w:bookmarkStart w:id="12" w:name="_GoBack"/>
            <w:r w:rsidRPr="00C82674">
              <w:rPr>
                <w:sz w:val="20"/>
                <w:szCs w:val="20"/>
              </w:rPr>
              <w:t>e</w:t>
            </w:r>
            <w:bookmarkEnd w:id="12"/>
            <w:r w:rsidRPr="00C826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ab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9A2D21" w:rsidRDefault="00701BD3" w:rsidP="00701BD3">
            <w:pPr>
              <w:snapToGrid w:val="0"/>
              <w:rPr>
                <w:b/>
                <w:strike/>
                <w:color w:val="3333FF"/>
                <w:sz w:val="20"/>
                <w:szCs w:val="20"/>
              </w:rPr>
            </w:pPr>
            <w:r w:rsidRPr="009A2D21">
              <w:rPr>
                <w:b/>
                <w:strike/>
                <w:color w:val="3333FF"/>
                <w:sz w:val="20"/>
                <w:szCs w:val="18"/>
              </w:rPr>
              <w:t xml:space="preserve">Please share your </w:t>
            </w:r>
            <w:r w:rsidRPr="009A2D21">
              <w:rPr>
                <w:b/>
                <w:strike/>
                <w:color w:val="3333FF"/>
                <w:sz w:val="20"/>
                <w:szCs w:val="20"/>
              </w:rPr>
              <w:t>view on the following questions</w:t>
            </w:r>
          </w:p>
          <w:p w14:paraId="54103DF5" w14:textId="77777777" w:rsidR="009A2D21" w:rsidRPr="009A2D21" w:rsidRDefault="00701BD3" w:rsidP="009A2D21">
            <w:pPr>
              <w:pStyle w:val="a3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strike/>
                <w:color w:val="3333FF"/>
                <w:sz w:val="20"/>
                <w:szCs w:val="20"/>
              </w:rPr>
              <w:t>Q1. Regardless your views on 1.4/1.5/1.12, which interpretation do you hold?</w:t>
            </w:r>
            <w:r w:rsidR="009A2D21">
              <w:rPr>
                <w:b/>
                <w:strike/>
                <w:color w:val="3333FF"/>
                <w:sz w:val="20"/>
                <w:szCs w:val="20"/>
              </w:rPr>
              <w:t xml:space="preserve"> </w:t>
            </w:r>
          </w:p>
          <w:p w14:paraId="6627E215" w14:textId="3CA2FEA8" w:rsidR="00B3291B" w:rsidRPr="009A2D21" w:rsidRDefault="009A2D21" w:rsidP="009A2D21">
            <w:p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color w:val="FF0000"/>
                <w:sz w:val="20"/>
                <w:szCs w:val="20"/>
              </w:rPr>
              <w:t>See the modified question after Mod V5 comment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a3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a3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6FC22AB9" w:rsidR="00D75DFF" w:rsidRDefault="002F40DA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9C57" w14:textId="4D71D960" w:rsidR="00842CCD" w:rsidRDefault="00BE183B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brevity, </w:t>
            </w:r>
            <w:r w:rsidR="00842CCD">
              <w:rPr>
                <w:sz w:val="18"/>
              </w:rPr>
              <w:t xml:space="preserve">I will use the term </w:t>
            </w:r>
            <w:r w:rsidR="00842CCD" w:rsidRPr="00BE183B">
              <w:rPr>
                <w:b/>
                <w:color w:val="3366FF"/>
                <w:sz w:val="20"/>
                <w:u w:val="single"/>
              </w:rPr>
              <w:t>‘other signals/channels’</w:t>
            </w:r>
            <w:r w:rsidR="00842CCD">
              <w:rPr>
                <w:sz w:val="18"/>
              </w:rPr>
              <w:t xml:space="preserve"> to refer to those mentioned in QA below</w:t>
            </w:r>
          </w:p>
          <w:p w14:paraId="7A0961E4" w14:textId="77777777" w:rsidR="00842CCD" w:rsidRPr="00842CCD" w:rsidRDefault="00842CCD" w:rsidP="009A2D21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QA. Does Rel-17 unified TCI apply to a channel, a CORESET, or a signal other than the ones already agreed.  </w:t>
            </w:r>
          </w:p>
          <w:p w14:paraId="5767F2FB" w14:textId="77777777" w:rsidR="00842CCD" w:rsidRPr="00842CCD" w:rsidRDefault="00842CCD" w:rsidP="009A2D21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797AEA97" w14:textId="29AE32D8" w:rsidR="00842CCD" w:rsidRPr="00BE183B" w:rsidRDefault="00842CCD" w:rsidP="009A2D21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>For UL: Some SRS resources or resource sets for BM</w:t>
            </w:r>
          </w:p>
          <w:p w14:paraId="415F6D39" w14:textId="77777777" w:rsidR="00BE183B" w:rsidRDefault="00BE183B" w:rsidP="009A2D21">
            <w:pPr>
              <w:snapToGrid w:val="0"/>
              <w:rPr>
                <w:sz w:val="18"/>
              </w:rPr>
            </w:pPr>
          </w:p>
          <w:p w14:paraId="7C313691" w14:textId="461D72DF" w:rsidR="00842CCD" w:rsidRP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From the above comments, I observe the following additional points:</w:t>
            </w:r>
          </w:p>
          <w:p w14:paraId="43E3EBB8" w14:textId="459CF6D7" w:rsidR="00D535AF" w:rsidRDefault="00842CCD" w:rsidP="009A2D21">
            <w:pPr>
              <w:pStyle w:val="a3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It should be possible to use Rel-17 TCI states for all ‘other signals/channels’. The question, for a given ‘other signal/channel’, is whether Interpretation 1 or Interpretation 2 is possible for the signal/channel of interest.</w:t>
            </w:r>
          </w:p>
          <w:p w14:paraId="31B66502" w14:textId="48C7EB3A" w:rsidR="00842CCD" w:rsidRDefault="00842CCD" w:rsidP="009A2D21">
            <w:pPr>
              <w:pStyle w:val="a3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Corollary: with Interpretation 2, the ‘other signal/channel’ of interest will use a TCI state update signaling</w:t>
            </w:r>
            <w:r w:rsidR="00E42ADA">
              <w:rPr>
                <w:sz w:val="18"/>
              </w:rPr>
              <w:t>/configuration</w:t>
            </w:r>
            <w:r>
              <w:rPr>
                <w:sz w:val="18"/>
              </w:rPr>
              <w:t xml:space="preserve"> mechanism different from that used for PDSCH/UE-dedicated CORESET</w:t>
            </w:r>
            <w:r w:rsidR="00B14BCD">
              <w:rPr>
                <w:sz w:val="18"/>
              </w:rPr>
              <w:t xml:space="preserve">/PUSCH/PUCCH. That signaling mechanism could be </w:t>
            </w:r>
            <w:r w:rsidR="009A2D21">
              <w:rPr>
                <w:sz w:val="18"/>
              </w:rPr>
              <w:t xml:space="preserve">a separate </w:t>
            </w:r>
            <w:r>
              <w:rPr>
                <w:sz w:val="18"/>
              </w:rPr>
              <w:t>Rel-17 MAC CE/DCI</w:t>
            </w:r>
            <w:r w:rsidR="009A2D21">
              <w:rPr>
                <w:sz w:val="18"/>
              </w:rPr>
              <w:t xml:space="preserve"> based (e.g. M/N&gt;1)</w:t>
            </w:r>
            <w:r>
              <w:rPr>
                <w:sz w:val="18"/>
              </w:rPr>
              <w:t>, or even Rel-15/16</w:t>
            </w:r>
            <w:r w:rsidR="00B14BCD">
              <w:rPr>
                <w:sz w:val="18"/>
              </w:rPr>
              <w:t xml:space="preserve"> (</w:t>
            </w:r>
            <w:r>
              <w:rPr>
                <w:sz w:val="18"/>
              </w:rPr>
              <w:t>TBD)</w:t>
            </w:r>
            <w:r w:rsidR="009A2D21">
              <w:rPr>
                <w:sz w:val="18"/>
              </w:rPr>
              <w:t xml:space="preserve">. But this ‘other signal/channel’ still uses Rel-17 TCI states. </w:t>
            </w:r>
            <w:r>
              <w:rPr>
                <w:sz w:val="18"/>
              </w:rPr>
              <w:t xml:space="preserve">   </w:t>
            </w:r>
          </w:p>
          <w:p w14:paraId="16E06FC1" w14:textId="7EA438C5" w:rsid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So we can reorient the discussion assuming only Rel-17 TCI states are used for all the ‘other signals/channels. </w:t>
            </w:r>
            <w:r w:rsidR="009A2D21">
              <w:rPr>
                <w:sz w:val="18"/>
              </w:rPr>
              <w:t>The question can be reframed below.</w:t>
            </w:r>
          </w:p>
          <w:p w14:paraId="499AD9CC" w14:textId="7D22DD77" w:rsidR="00842CCD" w:rsidRPr="00842CCD" w:rsidRDefault="00842CCD" w:rsidP="00842CCD">
            <w:pPr>
              <w:snapToGrid w:val="0"/>
              <w:rPr>
                <w:sz w:val="18"/>
              </w:rPr>
            </w:pPr>
          </w:p>
        </w:tc>
      </w:tr>
      <w:tr w:rsidR="009A2D21" w14:paraId="4FDB5A14" w14:textId="77777777" w:rsidTr="00D70135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066" w14:textId="77777777" w:rsidR="009A2D21" w:rsidRPr="00701BD3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0E956D7D" w14:textId="77777777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</w:p>
          <w:p w14:paraId="3DE3FA92" w14:textId="3ED25F50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>
              <w:rPr>
                <w:b/>
                <w:color w:val="3333FF"/>
                <w:sz w:val="20"/>
                <w:szCs w:val="20"/>
              </w:rPr>
              <w:t xml:space="preserve">Given that all the ‘other signals/channels’ (listed in QA above) configured with Rel-17 unified TCI states, </w:t>
            </w:r>
            <w:r w:rsidRPr="009A2D21">
              <w:rPr>
                <w:b/>
                <w:color w:val="3333FF"/>
                <w:sz w:val="20"/>
                <w:szCs w:val="20"/>
                <w:u w:val="single"/>
              </w:rPr>
              <w:t>for each of those</w:t>
            </w:r>
            <w:r>
              <w:rPr>
                <w:b/>
                <w:color w:val="3333FF"/>
                <w:sz w:val="20"/>
                <w:szCs w:val="20"/>
              </w:rPr>
              <w:t xml:space="preserve"> ‘other signals/channels’</w:t>
            </w:r>
          </w:p>
          <w:p w14:paraId="602DD0CD" w14:textId="77777777" w:rsidR="0087328A" w:rsidRDefault="009A2D21" w:rsidP="009D0A32">
            <w:pPr>
              <w:pStyle w:val="a3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 xml:space="preserve">Q1.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Which ones of the </w:t>
            </w:r>
            <w:r w:rsidRPr="0087328A">
              <w:rPr>
                <w:b/>
                <w:color w:val="3333FF"/>
                <w:sz w:val="20"/>
                <w:szCs w:val="20"/>
              </w:rPr>
              <w:t>‘other signal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>/channel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’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should be able to 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share the same Rel-17 “TCI state machine” as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PDSCH/UE-dedicated CORESETs/PUSCH/PUCCH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(i.e. Interpretation 1)? </w:t>
            </w:r>
          </w:p>
          <w:p w14:paraId="73E4B4B4" w14:textId="42A77EFB" w:rsidR="00BE183B" w:rsidRDefault="00BE183B" w:rsidP="009D0A32">
            <w:pPr>
              <w:pStyle w:val="a3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>Q2.</w:t>
            </w:r>
            <w:r w:rsid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9D0A32">
              <w:rPr>
                <w:b/>
                <w:color w:val="3333FF"/>
                <w:sz w:val="20"/>
                <w:szCs w:val="20"/>
              </w:rPr>
              <w:t>For the ‘</w:t>
            </w:r>
            <w:r w:rsidR="009D0A32" w:rsidRPr="0087328A">
              <w:rPr>
                <w:b/>
                <w:color w:val="3333FF"/>
                <w:sz w:val="20"/>
                <w:szCs w:val="20"/>
              </w:rPr>
              <w:t>other signals/channels’</w:t>
            </w:r>
            <w:r w:rsidR="009D0A32">
              <w:rPr>
                <w:b/>
                <w:color w:val="3333FF"/>
                <w:sz w:val="20"/>
                <w:szCs w:val="20"/>
              </w:rPr>
              <w:t xml:space="preserve"> that do not admit Interpretation 1 (</w:t>
            </w:r>
            <w:r w:rsidR="00E42ADA">
              <w:rPr>
                <w:b/>
                <w:color w:val="3333FF"/>
                <w:sz w:val="20"/>
                <w:szCs w:val="20"/>
              </w:rPr>
              <w:t>therefore, admit only Interpretation 2), what TCI state update signaling/configuration mechanism(s) should be used?</w:t>
            </w:r>
          </w:p>
          <w:p w14:paraId="49229C84" w14:textId="0E0BC080" w:rsidR="009D0A32" w:rsidRPr="0087328A" w:rsidRDefault="009D0A32" w:rsidP="009D0A32">
            <w:pPr>
              <w:pStyle w:val="a3"/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0788D517" w:rsidR="00D75DFF" w:rsidRDefault="00942A9E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64F" w14:textId="77777777" w:rsidR="00D75DFF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CSI-RS for CSI, one CSI-RS resource set with repetition = ‘On’ and one SRS resource set for BM</w:t>
            </w:r>
          </w:p>
          <w:p w14:paraId="18045655" w14:textId="3D5EDCDE" w:rsidR="00942A9E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Q2: the rel15/re16 TCI update signaling/configuration mechanism shall be used.</w:t>
            </w: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2F6675AC" w:rsidR="00D75DFF" w:rsidRDefault="00507C11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A1D0" w14:textId="57566570" w:rsidR="00ED6387" w:rsidRPr="00ED6387" w:rsidRDefault="00507C11" w:rsidP="00507C11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</w:rPr>
              <w:t>Q1</w:t>
            </w:r>
            <w:r w:rsidRPr="00176FA0">
              <w:rPr>
                <w:sz w:val="18"/>
                <w:szCs w:val="18"/>
                <w:lang w:val="en-GB"/>
              </w:rPr>
              <w:t xml:space="preserve">: </w:t>
            </w:r>
            <w:r w:rsidR="00176FA0">
              <w:rPr>
                <w:sz w:val="18"/>
                <w:szCs w:val="18"/>
                <w:lang w:val="en-GB"/>
              </w:rPr>
              <w:t>“</w:t>
            </w:r>
            <w:r w:rsidR="00176FA0" w:rsidRPr="00176FA0">
              <w:rPr>
                <w:rFonts w:hint="eastAsia"/>
                <w:sz w:val="18"/>
                <w:szCs w:val="18"/>
                <w:lang w:val="en-GB"/>
              </w:rPr>
              <w:t>O</w:t>
            </w:r>
            <w:r>
              <w:rPr>
                <w:sz w:val="18"/>
                <w:szCs w:val="18"/>
                <w:lang w:val="en-GB"/>
              </w:rPr>
              <w:t xml:space="preserve">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for CSI</w:t>
            </w:r>
            <w:r w:rsidR="00B418B6">
              <w:rPr>
                <w:sz w:val="18"/>
                <w:szCs w:val="18"/>
              </w:rPr>
              <w:t xml:space="preserve">. In Rel-15/16, the </w:t>
            </w:r>
            <w:r w:rsidR="00ED6387">
              <w:rPr>
                <w:sz w:val="18"/>
                <w:szCs w:val="18"/>
                <w:lang w:val="en-GB"/>
              </w:rPr>
              <w:t>common</w:t>
            </w:r>
            <w:r w:rsidR="00B418B6">
              <w:rPr>
                <w:sz w:val="18"/>
                <w:szCs w:val="18"/>
                <w:lang w:val="en-GB"/>
              </w:rPr>
              <w:t xml:space="preserve"> beam</w:t>
            </w:r>
            <w:r w:rsidR="00B418B6">
              <w:rPr>
                <w:sz w:val="18"/>
                <w:szCs w:val="18"/>
                <w:lang w:val="en-GB"/>
              </w:rPr>
              <w:t xml:space="preserve"> operation is only valid for AP CSI. We</w:t>
            </w:r>
            <w:r w:rsidR="00ED6387">
              <w:rPr>
                <w:sz w:val="18"/>
                <w:szCs w:val="18"/>
                <w:lang w:val="en-GB"/>
              </w:rPr>
              <w:t xml:space="preserve"> see it is also beneficial to allow such </w:t>
            </w:r>
            <w:r w:rsidR="00ED6387">
              <w:rPr>
                <w:sz w:val="18"/>
                <w:szCs w:val="18"/>
                <w:lang w:val="en-GB"/>
              </w:rPr>
              <w:t>common beam operation</w:t>
            </w:r>
            <w:r w:rsidR="00ED6387">
              <w:rPr>
                <w:sz w:val="18"/>
                <w:szCs w:val="18"/>
                <w:lang w:val="en-GB"/>
              </w:rPr>
              <w:t xml:space="preserve"> for P and SP CSI-RS.</w:t>
            </w:r>
          </w:p>
          <w:p w14:paraId="2500EAAC" w14:textId="74840405" w:rsidR="00507C11" w:rsidRDefault="00507C11" w:rsidP="00507C11">
            <w:pPr>
              <w:snapToGrid w:val="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Q2: </w:t>
            </w:r>
            <w:r w:rsidR="00B418B6">
              <w:rPr>
                <w:sz w:val="18"/>
                <w:szCs w:val="18"/>
              </w:rPr>
              <w:t xml:space="preserve">By </w:t>
            </w:r>
            <w:r w:rsidR="00B418B6">
              <w:rPr>
                <w:sz w:val="18"/>
              </w:rPr>
              <w:t xml:space="preserve">assuming </w:t>
            </w:r>
            <w:r w:rsidR="00B418B6">
              <w:rPr>
                <w:sz w:val="18"/>
              </w:rPr>
              <w:t xml:space="preserve">only Rel-17 TCI states are used, </w:t>
            </w:r>
            <w:r>
              <w:rPr>
                <w:sz w:val="18"/>
              </w:rPr>
              <w:t xml:space="preserve">Rel-15/16 signaling/configuration mechanism for TCI/spatial relation </w:t>
            </w:r>
            <w:r w:rsidR="00AD4025" w:rsidRPr="00AD4025">
              <w:rPr>
                <w:sz w:val="18"/>
              </w:rPr>
              <w:t xml:space="preserve">should </w:t>
            </w:r>
            <w:r>
              <w:rPr>
                <w:sz w:val="18"/>
              </w:rPr>
              <w:t>be used</w:t>
            </w:r>
            <w:r w:rsidR="00AD4025">
              <w:rPr>
                <w:sz w:val="18"/>
              </w:rPr>
              <w:t xml:space="preserve">. </w:t>
            </w:r>
          </w:p>
        </w:tc>
      </w:tr>
    </w:tbl>
    <w:p w14:paraId="00C34536" w14:textId="1C8C8EFE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75312" w14:textId="77777777" w:rsidR="00067D94" w:rsidRDefault="00067D94">
      <w:r>
        <w:separator/>
      </w:r>
    </w:p>
  </w:endnote>
  <w:endnote w:type="continuationSeparator" w:id="0">
    <w:p w14:paraId="0465E157" w14:textId="77777777" w:rsidR="00067D94" w:rsidRDefault="0006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940D" w14:textId="77777777" w:rsidR="00067D94" w:rsidRDefault="00067D94">
      <w:r>
        <w:rPr>
          <w:color w:val="000000"/>
        </w:rPr>
        <w:separator/>
      </w:r>
    </w:p>
  </w:footnote>
  <w:footnote w:type="continuationSeparator" w:id="0">
    <w:p w14:paraId="662124FC" w14:textId="77777777" w:rsidR="00067D94" w:rsidRDefault="0006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E69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5BA"/>
    <w:multiLevelType w:val="hybridMultilevel"/>
    <w:tmpl w:val="ACA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834"/>
    <w:multiLevelType w:val="hybridMultilevel"/>
    <w:tmpl w:val="9034A5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28"/>
  </w:num>
  <w:num w:numId="10">
    <w:abstractNumId w:val="8"/>
  </w:num>
  <w:num w:numId="11">
    <w:abstractNumId w:val="24"/>
  </w:num>
  <w:num w:numId="12">
    <w:abstractNumId w:val="24"/>
  </w:num>
  <w:num w:numId="13">
    <w:abstractNumId w:val="18"/>
  </w:num>
  <w:num w:numId="14">
    <w:abstractNumId w:val="18"/>
  </w:num>
  <w:num w:numId="15">
    <w:abstractNumId w:val="1"/>
  </w:num>
  <w:num w:numId="16">
    <w:abstractNumId w:val="7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3"/>
  </w:num>
  <w:num w:numId="25">
    <w:abstractNumId w:val="17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0"/>
  </w:num>
  <w:num w:numId="31">
    <w:abstractNumId w:val="6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67D94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6FA0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08FD"/>
    <w:rsid w:val="002F1E6E"/>
    <w:rsid w:val="002F40DA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07C11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DE0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0279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97FE1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2CCD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28A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2A9E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2D21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0A32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6C05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4025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4BCD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18B6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285B"/>
    <w:rsid w:val="00B63219"/>
    <w:rsid w:val="00B634AD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183B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ADA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13A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D6387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C61F74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a"/>
    <w:link w:val="10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a4">
    <w:name w:val="annotation reference"/>
    <w:basedOn w:val="a0"/>
    <w:rsid w:val="00C61F74"/>
    <w:rPr>
      <w:sz w:val="16"/>
      <w:szCs w:val="16"/>
    </w:rPr>
  </w:style>
  <w:style w:type="paragraph" w:styleId="a5">
    <w:name w:val="annotation text"/>
    <w:basedOn w:val="a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6">
    <w:name w:val="批注文字 字符"/>
    <w:basedOn w:val="a0"/>
    <w:rsid w:val="00C61F74"/>
    <w:rPr>
      <w:sz w:val="20"/>
      <w:szCs w:val="20"/>
    </w:rPr>
  </w:style>
  <w:style w:type="paragraph" w:styleId="a7">
    <w:name w:val="annotation subject"/>
    <w:basedOn w:val="a5"/>
    <w:next w:val="a5"/>
    <w:rsid w:val="00C61F74"/>
    <w:rPr>
      <w:b/>
      <w:bCs/>
    </w:rPr>
  </w:style>
  <w:style w:type="character" w:customStyle="1" w:styleId="a8">
    <w:name w:val="批注主题 字符"/>
    <w:basedOn w:val="a6"/>
    <w:rsid w:val="00C61F74"/>
    <w:rPr>
      <w:b/>
      <w:bCs/>
      <w:sz w:val="20"/>
      <w:szCs w:val="20"/>
    </w:rPr>
  </w:style>
  <w:style w:type="paragraph" w:styleId="a9">
    <w:name w:val="Balloon Text"/>
    <w:basedOn w:val="a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C61F7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C61F74"/>
    <w:rPr>
      <w:rFonts w:ascii="Arial" w:hAnsi="Arial" w:cs="Arial"/>
    </w:rPr>
  </w:style>
  <w:style w:type="paragraph" w:customStyle="1" w:styleId="TAL">
    <w:name w:val="TAL"/>
    <w:basedOn w:val="a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b">
    <w:name w:val="caption"/>
    <w:basedOn w:val="a"/>
    <w:next w:val="a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c">
    <w:name w:val="header"/>
    <w:basedOn w:val="a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d">
    <w:name w:val="页眉 字符"/>
    <w:basedOn w:val="a0"/>
    <w:rsid w:val="00C61F74"/>
    <w:rPr>
      <w:sz w:val="18"/>
      <w:szCs w:val="18"/>
    </w:rPr>
  </w:style>
  <w:style w:type="paragraph" w:styleId="ae">
    <w:name w:val="footer"/>
    <w:basedOn w:val="a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">
    <w:name w:val="页脚 字符"/>
    <w:basedOn w:val="a0"/>
    <w:rsid w:val="00C61F74"/>
    <w:rPr>
      <w:sz w:val="18"/>
      <w:szCs w:val="18"/>
    </w:rPr>
  </w:style>
  <w:style w:type="character" w:customStyle="1" w:styleId="af0">
    <w:name w:val="列表段落 字符"/>
    <w:basedOn w:val="a0"/>
    <w:rsid w:val="00C61F74"/>
  </w:style>
  <w:style w:type="character" w:customStyle="1" w:styleId="normaltextrun">
    <w:name w:val="normaltextrun"/>
    <w:basedOn w:val="a0"/>
    <w:rsid w:val="00C61F74"/>
    <w:rPr>
      <w:rFonts w:ascii="Times New Roman" w:hAnsi="Times New Roman" w:cs="Times New Roman"/>
    </w:rPr>
  </w:style>
  <w:style w:type="character" w:customStyle="1" w:styleId="eop">
    <w:name w:val="eop"/>
    <w:basedOn w:val="a0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C61F74"/>
    <w:pPr>
      <w:spacing w:before="100" w:after="100"/>
    </w:pPr>
    <w:rPr>
      <w:rFonts w:eastAsia="Malgun Gothic"/>
      <w:lang w:eastAsia="en-US"/>
    </w:rPr>
  </w:style>
  <w:style w:type="paragraph" w:styleId="af1">
    <w:name w:val="Revision"/>
    <w:rsid w:val="00C61F74"/>
    <w:pPr>
      <w:suppressAutoHyphens/>
      <w:spacing w:after="0" w:line="240" w:lineRule="auto"/>
    </w:pPr>
  </w:style>
  <w:style w:type="character" w:styleId="af2">
    <w:name w:val="Placeholder Text"/>
    <w:basedOn w:val="a0"/>
    <w:rsid w:val="00C61F74"/>
    <w:rPr>
      <w:color w:val="808080"/>
    </w:rPr>
  </w:style>
  <w:style w:type="character" w:customStyle="1" w:styleId="11">
    <w:name w:val="标题 1 字符"/>
    <w:basedOn w:val="a0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3"/>
    <w:next w:val="a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af3">
    <w:name w:val="Body Text"/>
    <w:basedOn w:val="a"/>
    <w:rsid w:val="00C61F74"/>
    <w:pPr>
      <w:spacing w:after="120"/>
    </w:pPr>
  </w:style>
  <w:style w:type="character" w:customStyle="1" w:styleId="af4">
    <w:name w:val="正文文本 字符"/>
    <w:basedOn w:val="a0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5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f6">
    <w:name w:val="清單段落 字元"/>
    <w:basedOn w:val="a0"/>
    <w:rsid w:val="00C61F74"/>
    <w:rPr>
      <w:rFonts w:ascii="Calibri" w:hAnsi="Calibri" w:cs="Calibri"/>
    </w:rPr>
  </w:style>
  <w:style w:type="character" w:styleId="af7">
    <w:name w:val="Hyperlink"/>
    <w:basedOn w:val="a0"/>
    <w:rsid w:val="00C61F74"/>
    <w:rPr>
      <w:color w:val="0563C1"/>
      <w:u w:val="single"/>
    </w:rPr>
  </w:style>
  <w:style w:type="character" w:customStyle="1" w:styleId="21">
    <w:name w:val="标题 2 字符"/>
    <w:basedOn w:val="a0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8">
    <w:name w:val="No Spacing"/>
    <w:rsid w:val="00C61F74"/>
    <w:pPr>
      <w:suppressAutoHyphens/>
      <w:spacing w:after="0" w:line="240" w:lineRule="auto"/>
    </w:pPr>
    <w:rPr>
      <w:rFonts w:eastAsia="新細明體" w:cs="Calibri"/>
      <w:lang w:eastAsia="zh-TW"/>
    </w:rPr>
  </w:style>
  <w:style w:type="character" w:customStyle="1" w:styleId="30">
    <w:name w:val="标题 3 字符"/>
    <w:basedOn w:val="a0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9">
    <w:name w:val="Document Map"/>
    <w:basedOn w:val="a"/>
    <w:rsid w:val="00C61F74"/>
    <w:rPr>
      <w:rFonts w:ascii="SimSun" w:eastAsia="SimSun" w:hAnsi="SimSun"/>
      <w:sz w:val="18"/>
      <w:szCs w:val="18"/>
    </w:rPr>
  </w:style>
  <w:style w:type="character" w:customStyle="1" w:styleId="afa">
    <w:name w:val="文档结构图 字符"/>
    <w:basedOn w:val="a0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C61F74"/>
    <w:pPr>
      <w:numPr>
        <w:numId w:val="2"/>
      </w:numPr>
    </w:pPr>
  </w:style>
  <w:style w:type="numbering" w:customStyle="1" w:styleId="LFO6">
    <w:name w:val="LFO6"/>
    <w:basedOn w:val="a2"/>
    <w:rsid w:val="00C61F74"/>
    <w:pPr>
      <w:numPr>
        <w:numId w:val="3"/>
      </w:numPr>
    </w:pPr>
  </w:style>
  <w:style w:type="numbering" w:customStyle="1" w:styleId="LFO7">
    <w:name w:val="LFO7"/>
    <w:basedOn w:val="a2"/>
    <w:rsid w:val="00C61F74"/>
    <w:pPr>
      <w:numPr>
        <w:numId w:val="4"/>
      </w:numPr>
    </w:pPr>
  </w:style>
  <w:style w:type="character" w:customStyle="1" w:styleId="10">
    <w:name w:val="清單段落 字元1"/>
    <w:aliases w:val="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Bullet list 字元"/>
    <w:basedOn w:val="a0"/>
    <w:link w:val="a3"/>
    <w:uiPriority w:val="34"/>
    <w:qFormat/>
    <w:locked/>
    <w:rsid w:val="00C44EF8"/>
  </w:style>
  <w:style w:type="table" w:styleId="afb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502AF0"/>
    <w:rPr>
      <w:b/>
      <w:bCs/>
    </w:rPr>
  </w:style>
  <w:style w:type="paragraph" w:customStyle="1" w:styleId="xmsonormal">
    <w:name w:val="x_msonormal"/>
    <w:basedOn w:val="a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a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a0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a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a0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a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a0"/>
    <w:link w:val="B2"/>
    <w:semiHidden/>
    <w:locked/>
    <w:rsid w:val="00403757"/>
  </w:style>
  <w:style w:type="paragraph" w:customStyle="1" w:styleId="B2">
    <w:name w:val="B2"/>
    <w:basedOn w:val="a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5AC8-CA86-4A9A-88DD-B990DEEE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2364</Words>
  <Characters>13475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Darcy Tsai</cp:lastModifiedBy>
  <cp:revision>4</cp:revision>
  <dcterms:created xsi:type="dcterms:W3CDTF">2021-05-05T01:39:00Z</dcterms:created>
  <dcterms:modified xsi:type="dcterms:W3CDTF">2021-05-05T02:46:00Z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