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DE2246">
        <w:trPr>
          <w:trHeight w:val="53"/>
        </w:trPr>
        <w:tc>
          <w:tcPr>
            <w:tcW w:w="723" w:type="dxa"/>
            <w:shd w:val="clear" w:color="auto" w:fill="BFBFBF" w:themeFill="background1" w:themeFillShade="BF"/>
          </w:tcPr>
          <w:p w14:paraId="3DCB4D61" w14:textId="77777777" w:rsidR="00246713" w:rsidRPr="00C11015" w:rsidRDefault="00246713" w:rsidP="00DE2246">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DE2246">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DE2246">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DE2246">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DE2246">
            <w:pPr>
              <w:snapToGrid w:val="0"/>
              <w:jc w:val="both"/>
              <w:rPr>
                <w:b/>
                <w:sz w:val="18"/>
                <w:szCs w:val="18"/>
              </w:rPr>
            </w:pPr>
            <w:r w:rsidRPr="00C11015">
              <w:rPr>
                <w:b/>
                <w:sz w:val="18"/>
                <w:szCs w:val="18"/>
              </w:rPr>
              <w:t>Company inputs (if any)</w:t>
            </w:r>
          </w:p>
        </w:tc>
      </w:tr>
      <w:tr w:rsidR="00F00E98" w14:paraId="73EF855F" w14:textId="77777777" w:rsidTr="00DE2246">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7A42E8F2" w14:textId="528EA70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03D4D692" w14:textId="77777777" w:rsidTr="00DE2246">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3"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05CC25DA" w14:textId="45AA91AF"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2E4914FF" w14:textId="77777777" w:rsidTr="00DE2246">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321D6F71" w14:textId="3BA3ADC2"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2F2ED744" w14:textId="77777777" w:rsidTr="00DE2246">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466F196A" w14:textId="114DB463"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tc>
      </w:tr>
      <w:tr w:rsidR="00F00E98" w14:paraId="2EBB6F80" w14:textId="77777777" w:rsidTr="00DE2246">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42B82DA2" w14:textId="6D0DE353"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tc>
      </w:tr>
      <w:tr w:rsidR="00F00E98" w14:paraId="626EA8B1" w14:textId="77777777" w:rsidTr="00DE2246">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F00E98" w:rsidRDefault="00F00E98" w:rsidP="00F00E98">
            <w:pPr>
              <w:snapToGrid w:val="0"/>
              <w:rPr>
                <w:sz w:val="18"/>
                <w:szCs w:val="18"/>
              </w:rPr>
            </w:pPr>
            <w:r>
              <w:rPr>
                <w:rFonts w:hint="eastAsia"/>
                <w:sz w:val="18"/>
                <w:szCs w:val="18"/>
              </w:rPr>
              <w:lastRenderedPageBreak/>
              <w:t>Apple</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9C98136" w14:textId="3EB98BF9"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tc>
      </w:tr>
      <w:tr w:rsidR="00F00E98" w:rsidRPr="00875005" w14:paraId="7E55D3B1" w14:textId="77777777" w:rsidTr="00DE2246">
        <w:tc>
          <w:tcPr>
            <w:tcW w:w="723" w:type="dxa"/>
          </w:tcPr>
          <w:p w14:paraId="4A4A715B"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5C8DF9CC"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5CC14A8C" w14:textId="7792B7A9" w:rsidR="009143DD" w:rsidRPr="00875005" w:rsidRDefault="009143DD" w:rsidP="00F00E98">
            <w:pPr>
              <w:snapToGrid w:val="0"/>
              <w:jc w:val="both"/>
              <w:rPr>
                <w:sz w:val="18"/>
                <w:szCs w:val="18"/>
              </w:rPr>
            </w:pPr>
          </w:p>
        </w:tc>
      </w:tr>
      <w:tr w:rsidR="00F00E98" w:rsidRPr="00875005" w14:paraId="4CA1A2DF" w14:textId="77777777" w:rsidTr="00DE2246">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t>ZTE</w:t>
            </w:r>
            <w:ins w:id="5"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6"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B6F01B7" w14:textId="59B887FF" w:rsidR="00F00E98" w:rsidRPr="00875005"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tc>
      </w:tr>
      <w:tr w:rsidR="00F00E98" w:rsidRPr="00875005" w14:paraId="4EBE2A45" w14:textId="77777777" w:rsidTr="00DE2246">
        <w:tc>
          <w:tcPr>
            <w:tcW w:w="723" w:type="dxa"/>
          </w:tcPr>
          <w:p w14:paraId="6FF2133C" w14:textId="77777777" w:rsidR="00F00E98" w:rsidRPr="00875005" w:rsidRDefault="00F00E98" w:rsidP="00F00E98">
            <w:pPr>
              <w:snapToGrid w:val="0"/>
              <w:jc w:val="both"/>
              <w:rPr>
                <w:sz w:val="18"/>
                <w:szCs w:val="18"/>
              </w:rPr>
            </w:pPr>
            <w:r w:rsidRPr="00875005">
              <w:rPr>
                <w:sz w:val="18"/>
                <w:szCs w:val="18"/>
              </w:rPr>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amsung: Our view is that this is not essential. We think that rather than reseting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128D3886" w14:textId="46C50421" w:rsidR="009143DD" w:rsidRPr="00875005" w:rsidRDefault="009143DD" w:rsidP="00F00E98">
            <w:pPr>
              <w:snapToGrid w:val="0"/>
              <w:jc w:val="both"/>
              <w:rPr>
                <w:sz w:val="18"/>
                <w:szCs w:val="18"/>
              </w:rPr>
            </w:pPr>
            <w:r>
              <w:rPr>
                <w:sz w:val="18"/>
                <w:szCs w:val="18"/>
              </w:rPr>
              <w:t>ZTE:</w:t>
            </w:r>
            <w:r>
              <w:rPr>
                <w:rFonts w:eastAsia="等线"/>
                <w:sz w:val="18"/>
                <w:szCs w:val="18"/>
                <w:lang w:eastAsia="zh-CN"/>
              </w:rPr>
              <w:t xml:space="preserve"> We encourage opponents to clarify the UE behavior when mDCI-mTRP and SCell-BFR are enabled both.</w:t>
            </w:r>
          </w:p>
        </w:tc>
      </w:tr>
      <w:tr w:rsidR="00F00E98" w:rsidRPr="00875005" w14:paraId="41846AE5" w14:textId="77777777" w:rsidTr="00DE2246">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8" w:author="Yuki Matsumura" w:date="2021-04-08T15:51:00Z"/>
                <w:rFonts w:eastAsia="Yu Mincho"/>
                <w:sz w:val="18"/>
                <w:szCs w:val="18"/>
                <w:lang w:eastAsia="ja-JP"/>
              </w:rPr>
            </w:pPr>
            <w:ins w:id="9"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ListParagraph"/>
              <w:numPr>
                <w:ilvl w:val="0"/>
                <w:numId w:val="47"/>
              </w:numPr>
              <w:snapToGrid w:val="0"/>
              <w:jc w:val="both"/>
              <w:rPr>
                <w:ins w:id="10" w:author="Yuki Matsumura" w:date="2021-04-08T15:51:00Z"/>
                <w:sz w:val="18"/>
                <w:szCs w:val="18"/>
                <w:rPrChange w:id="11" w:author="Yuki Matsumura" w:date="2021-04-08T15:51:00Z">
                  <w:rPr>
                    <w:ins w:id="12" w:author="Yuki Matsumura" w:date="2021-04-08T15:51:00Z"/>
                    <w:rFonts w:eastAsia="Yu Mincho"/>
                    <w:sz w:val="18"/>
                    <w:szCs w:val="18"/>
                    <w:lang w:eastAsia="ja-JP"/>
                  </w:rPr>
                </w:rPrChange>
              </w:rPr>
              <w:pPrChange w:id="13" w:author="Yuki Matsumura" w:date="2021-04-08T15:51:00Z">
                <w:pPr>
                  <w:snapToGrid w:val="0"/>
                  <w:jc w:val="both"/>
                </w:pPr>
              </w:pPrChange>
            </w:pPr>
            <w:ins w:id="14"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ListParagraph"/>
              <w:numPr>
                <w:ilvl w:val="0"/>
                <w:numId w:val="47"/>
              </w:numPr>
              <w:snapToGrid w:val="0"/>
              <w:jc w:val="both"/>
              <w:rPr>
                <w:sz w:val="18"/>
                <w:szCs w:val="18"/>
              </w:rPr>
              <w:pPrChange w:id="15" w:author="Yuki Matsumura" w:date="2021-04-08T15:51:00Z">
                <w:pPr>
                  <w:snapToGrid w:val="0"/>
                  <w:jc w:val="both"/>
                </w:pPr>
              </w:pPrChange>
            </w:pPr>
            <w:ins w:id="16" w:author="Yuki Matsumura" w:date="2021-04-08T15:51:00Z">
              <w:r w:rsidRPr="005051DD">
                <w:rPr>
                  <w:rFonts w:eastAsia="Yu Mincho"/>
                  <w:sz w:val="18"/>
                  <w:szCs w:val="18"/>
                  <w:lang w:eastAsia="ja-JP"/>
                </w:rPr>
                <w:t xml:space="preserve">In TS38.321, BFR MAC CE is contained in Msg.3/A, </w:t>
              </w:r>
              <w:r w:rsidRPr="005051DD">
                <w:rPr>
                  <w:rFonts w:eastAsia="Yu Mincho"/>
                  <w:b/>
                  <w:sz w:val="18"/>
                  <w:szCs w:val="18"/>
                  <w:lang w:eastAsia="ja-JP"/>
                </w:rPr>
                <w:t>if spCell-BFR-CBRA is set 'true'.</w:t>
              </w:r>
            </w:ins>
          </w:p>
          <w:p w14:paraId="043C71E2"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DE2246">
        <w:tc>
          <w:tcPr>
            <w:tcW w:w="723" w:type="dxa"/>
          </w:tcPr>
          <w:p w14:paraId="1005A983" w14:textId="77777777" w:rsidR="00F00E98" w:rsidRPr="00875005" w:rsidRDefault="00F00E98" w:rsidP="00F00E98">
            <w:pPr>
              <w:snapToGrid w:val="0"/>
              <w:jc w:val="both"/>
              <w:rPr>
                <w:sz w:val="18"/>
                <w:szCs w:val="18"/>
              </w:rPr>
            </w:pPr>
            <w:r w:rsidRPr="00875005">
              <w:rPr>
                <w:sz w:val="18"/>
                <w:szCs w:val="18"/>
              </w:rPr>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lastRenderedPageBreak/>
              <w:t>Apple</w:t>
            </w:r>
            <w:ins w:id="17"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18"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lastRenderedPageBreak/>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2B0D3FE3" w14:textId="26D971CF" w:rsidR="009143DD" w:rsidRPr="00875005" w:rsidRDefault="009143DD" w:rsidP="00F00E98">
            <w:pPr>
              <w:snapToGrid w:val="0"/>
              <w:jc w:val="both"/>
              <w:rPr>
                <w:sz w:val="18"/>
                <w:szCs w:val="18"/>
              </w:rPr>
            </w:pPr>
            <w:r>
              <w:rPr>
                <w:sz w:val="18"/>
                <w:szCs w:val="18"/>
              </w:rPr>
              <w:t>ZTE: We can fine with some discussion but can NOT</w:t>
            </w:r>
            <w:r>
              <w:rPr>
                <w:sz w:val="18"/>
                <w:szCs w:val="18"/>
              </w:rPr>
              <w:t xml:space="preserve"> support</w:t>
            </w:r>
            <w:r>
              <w:rPr>
                <w:sz w:val="18"/>
                <w:szCs w:val="18"/>
              </w:rPr>
              <w:t xml:space="preserve"> the proposed solution. In our view, the solution should be simplified, e.g., lowest CORESET ID.</w:t>
            </w:r>
          </w:p>
        </w:tc>
      </w:tr>
      <w:tr w:rsidR="00F00E98" w:rsidRPr="00875005" w14:paraId="54391F77" w14:textId="77777777" w:rsidTr="00DE2246">
        <w:tc>
          <w:tcPr>
            <w:tcW w:w="723" w:type="dxa"/>
          </w:tcPr>
          <w:p w14:paraId="055026C5"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148883E8" w14:textId="5B5B4945" w:rsidR="009143DD" w:rsidRPr="00875005" w:rsidRDefault="009143DD" w:rsidP="00F00E98">
            <w:pPr>
              <w:snapToGrid w:val="0"/>
              <w:jc w:val="both"/>
              <w:rPr>
                <w:sz w:val="18"/>
                <w:szCs w:val="18"/>
              </w:rPr>
            </w:pPr>
            <w:r>
              <w:rPr>
                <w:sz w:val="18"/>
                <w:szCs w:val="18"/>
              </w:rPr>
              <w:t>ZTE: We suggest to mark it as ‘N’. We have no agreement that report quantity = ‘none’ can be applied to L1-SINR measurement.</w:t>
            </w:r>
          </w:p>
        </w:tc>
      </w:tr>
      <w:tr w:rsidR="00F00E98" w:rsidRPr="00875005" w14:paraId="3031F29B" w14:textId="77777777" w:rsidTr="00DE2246">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DE2246">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230BC6EF" w14:textId="37750745" w:rsidR="00F00E98" w:rsidRPr="00875005" w:rsidRDefault="00C41881" w:rsidP="00F00E98">
            <w:pPr>
              <w:snapToGrid w:val="0"/>
              <w:jc w:val="both"/>
              <w:rPr>
                <w:sz w:val="18"/>
                <w:szCs w:val="18"/>
              </w:rPr>
            </w:pPr>
            <w:r>
              <w:rPr>
                <w:rFonts w:hint="eastAsia"/>
                <w:sz w:val="18"/>
                <w:szCs w:val="18"/>
              </w:rPr>
              <w:t>S</w:t>
            </w:r>
            <w:r>
              <w:rPr>
                <w:sz w:val="18"/>
                <w:szCs w:val="18"/>
              </w:rPr>
              <w:t>amsung: We agree with the FL’s assessment.</w:t>
            </w:r>
          </w:p>
        </w:tc>
      </w:tr>
      <w:tr w:rsidR="00F00E98" w:rsidRPr="00875005" w14:paraId="5CDD647A" w14:textId="77777777" w:rsidTr="00DE2246">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649FADDA" w14:textId="6382EDAA" w:rsidR="009143DD" w:rsidRPr="00875005" w:rsidRDefault="009143DD" w:rsidP="00F00E98">
            <w:pPr>
              <w:snapToGrid w:val="0"/>
              <w:jc w:val="both"/>
              <w:rPr>
                <w:sz w:val="18"/>
                <w:szCs w:val="18"/>
              </w:rPr>
            </w:pPr>
            <w:r>
              <w:rPr>
                <w:rFonts w:eastAsia="等线" w:hint="eastAsia"/>
                <w:sz w:val="18"/>
                <w:szCs w:val="18"/>
                <w:lang w:eastAsia="zh-CN"/>
              </w:rPr>
              <w:t>Z</w:t>
            </w:r>
            <w:r>
              <w:rPr>
                <w:rFonts w:eastAsia="等线"/>
                <w:sz w:val="18"/>
                <w:szCs w:val="18"/>
                <w:lang w:eastAsia="zh-CN"/>
              </w:rPr>
              <w:t>TE: We are OK to discuss this</w:t>
            </w:r>
          </w:p>
        </w:tc>
      </w:tr>
      <w:tr w:rsidR="00F00E98" w:rsidRPr="00875005" w14:paraId="7819743C" w14:textId="77777777" w:rsidTr="00DE2246">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lastRenderedPageBreak/>
              <w:t>R1-2103673 suggested to discuss the default TCI state of mTRP in cross-carrrier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lastRenderedPageBreak/>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611B8711" w14:textId="2F35B552" w:rsidR="009143DD" w:rsidRPr="00875005" w:rsidRDefault="009143DD" w:rsidP="00F00E98">
            <w:pPr>
              <w:snapToGrid w:val="0"/>
              <w:jc w:val="both"/>
              <w:rPr>
                <w:sz w:val="18"/>
                <w:szCs w:val="18"/>
              </w:rPr>
            </w:pPr>
            <w:r>
              <w:rPr>
                <w:rFonts w:eastAsia="等线" w:hint="eastAsia"/>
                <w:sz w:val="18"/>
                <w:szCs w:val="18"/>
                <w:lang w:eastAsia="zh-CN"/>
              </w:rPr>
              <w:t>Z</w:t>
            </w:r>
            <w:r>
              <w:rPr>
                <w:rFonts w:eastAsia="等线"/>
                <w:sz w:val="18"/>
                <w:szCs w:val="18"/>
                <w:lang w:eastAsia="zh-CN"/>
              </w:rPr>
              <w:t>TE: We have to emphasize the current spec is not complete, the Rel-16 default TCI is only specified for TDM schemes, not yet for SDM and FDM. We encourage opponents to clarify the technical reason.</w:t>
            </w:r>
          </w:p>
        </w:tc>
      </w:tr>
      <w:tr w:rsidR="00F00E98" w:rsidRPr="00875005" w14:paraId="380C4B7F" w14:textId="77777777" w:rsidTr="00DE2246">
        <w:tc>
          <w:tcPr>
            <w:tcW w:w="723" w:type="dxa"/>
          </w:tcPr>
          <w:p w14:paraId="038D1291" w14:textId="77777777" w:rsidR="00F00E98" w:rsidRPr="00875005" w:rsidRDefault="00F00E98" w:rsidP="00F00E98">
            <w:pPr>
              <w:snapToGrid w:val="0"/>
              <w:jc w:val="both"/>
              <w:rPr>
                <w:sz w:val="18"/>
                <w:szCs w:val="18"/>
              </w:rPr>
            </w:pPr>
            <w:r>
              <w:rPr>
                <w:sz w:val="18"/>
                <w:szCs w:val="18"/>
              </w:rPr>
              <w:lastRenderedPageBreak/>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1306022A" w:rsidR="00F00E98" w:rsidRPr="00875005" w:rsidRDefault="00F00E98" w:rsidP="00F00E98">
            <w:pPr>
              <w:snapToGrid w:val="0"/>
              <w:rPr>
                <w:sz w:val="18"/>
                <w:szCs w:val="18"/>
              </w:rPr>
            </w:pPr>
            <w:r>
              <w:rPr>
                <w:sz w:val="18"/>
                <w:szCs w:val="18"/>
              </w:rPr>
              <w:t>OPPO</w:t>
            </w:r>
            <w:ins w:id="19" w:author="Yuki Matsumura" w:date="2021-04-08T15:52:00Z">
              <w:r>
                <w:rPr>
                  <w:sz w:val="18"/>
                  <w:szCs w:val="18"/>
                </w:rPr>
                <w:t>, Docomo</w:t>
              </w:r>
            </w:ins>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20"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77777777" w:rsidR="00C41881" w:rsidRDefault="00C41881"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等线" w:hint="eastAsia"/>
                <w:sz w:val="18"/>
                <w:szCs w:val="18"/>
                <w:lang w:eastAsia="zh-CN"/>
              </w:rPr>
              <w:t>Z</w:t>
            </w:r>
            <w:r>
              <w:rPr>
                <w:rFonts w:eastAsia="等线"/>
                <w:sz w:val="18"/>
                <w:szCs w:val="18"/>
                <w:lang w:eastAsia="zh-CN"/>
              </w:rPr>
              <w:t>TE: This seems non-essential since gNB will not configure SDCI and MDCI based MTRP together.</w:t>
            </w:r>
          </w:p>
          <w:p w14:paraId="06384719" w14:textId="1361D945" w:rsidR="00C41881" w:rsidRPr="00875005" w:rsidRDefault="00C41881" w:rsidP="00F00E98">
            <w:pPr>
              <w:snapToGrid w:val="0"/>
              <w:jc w:val="both"/>
              <w:rPr>
                <w:sz w:val="18"/>
                <w:szCs w:val="18"/>
              </w:rPr>
            </w:pPr>
          </w:p>
        </w:tc>
      </w:tr>
      <w:tr w:rsidR="00F00E98" w:rsidRPr="00875005" w14:paraId="6EA1A5C8" w14:textId="77777777" w:rsidTr="00DE2246">
        <w:tc>
          <w:tcPr>
            <w:tcW w:w="723" w:type="dxa"/>
          </w:tcPr>
          <w:p w14:paraId="4AB91091" w14:textId="77777777" w:rsidR="00F00E98" w:rsidRPr="00875005" w:rsidRDefault="00F00E98" w:rsidP="00F00E98">
            <w:pPr>
              <w:snapToGrid w:val="0"/>
              <w:jc w:val="both"/>
              <w:rPr>
                <w:sz w:val="18"/>
                <w:szCs w:val="18"/>
              </w:rPr>
            </w:pPr>
            <w:r>
              <w:rPr>
                <w:sz w:val="18"/>
                <w:szCs w:val="18"/>
              </w:rPr>
              <w:t>MT.5</w:t>
            </w:r>
          </w:p>
        </w:tc>
        <w:tc>
          <w:tcPr>
            <w:tcW w:w="4911" w:type="dxa"/>
          </w:tcPr>
          <w:p w14:paraId="38BD64D1" w14:textId="77777777" w:rsidR="00F00E98" w:rsidRDefault="00F00E98" w:rsidP="00F00E98">
            <w:pPr>
              <w:snapToGrid w:val="0"/>
              <w:jc w:val="both"/>
              <w:rPr>
                <w:rFonts w:eastAsia="宋体"/>
                <w:sz w:val="18"/>
                <w:szCs w:val="18"/>
                <w:lang w:eastAsia="zh-CN"/>
              </w:rPr>
            </w:pPr>
            <w:r>
              <w:rPr>
                <w:rFonts w:eastAsia="宋体"/>
                <w:sz w:val="18"/>
                <w:szCs w:val="18"/>
                <w:lang w:eastAsia="zh-CN"/>
              </w:rPr>
              <w:t>For</w:t>
            </w:r>
            <w:r w:rsidRPr="000C23B8">
              <w:rPr>
                <w:rFonts w:eastAsia="宋体" w:hint="eastAsia"/>
                <w:sz w:val="18"/>
                <w:szCs w:val="18"/>
                <w:lang w:eastAsia="zh-CN"/>
              </w:rPr>
              <w:t xml:space="preserve"> multi-DCI based M-TRP </w:t>
            </w:r>
            <w:r w:rsidRPr="000C23B8">
              <w:rPr>
                <w:rFonts w:eastAsia="宋体"/>
                <w:sz w:val="18"/>
                <w:szCs w:val="18"/>
                <w:lang w:eastAsia="zh-CN"/>
              </w:rPr>
              <w:t>transmission</w:t>
            </w:r>
            <w:r w:rsidRPr="000C23B8">
              <w:rPr>
                <w:rFonts w:eastAsia="宋体" w:hint="eastAsia"/>
                <w:sz w:val="18"/>
                <w:szCs w:val="18"/>
                <w:lang w:eastAsia="zh-CN"/>
              </w:rPr>
              <w:t xml:space="preserve">, UE needs to determine whether </w:t>
            </w:r>
            <m:oMath>
              <m:nary>
                <m:naryPr>
                  <m:chr m:val="∑"/>
                  <m:ctrlPr>
                    <w:rPr>
                      <w:rFonts w:ascii="Cambria Math" w:eastAsia="宋体" w:hAnsi="Cambria Math"/>
                      <w:i/>
                      <w:sz w:val="18"/>
                      <w:szCs w:val="14"/>
                      <w:lang w:val="en-GB"/>
                    </w:rPr>
                  </m:ctrlPr>
                </m:naryPr>
                <m:sub>
                  <m:r>
                    <w:rPr>
                      <w:rFonts w:ascii="Cambria Math" w:eastAsia="宋体"/>
                      <w:sz w:val="18"/>
                      <w:szCs w:val="14"/>
                      <w:lang w:val="en-GB"/>
                    </w:rPr>
                    <m:t>μ=0</m:t>
                  </m:r>
                </m:sub>
                <m:sup>
                  <m:r>
                    <w:rPr>
                      <w:rFonts w:ascii="Cambria Math" w:eastAsia="宋体"/>
                      <w:sz w:val="18"/>
                      <w:szCs w:val="14"/>
                      <w:lang w:val="en-GB"/>
                    </w:rPr>
                    <m:t>3</m:t>
                  </m:r>
                </m:sup>
                <m:e>
                  <m:d>
                    <m:dPr>
                      <m:ctrlPr>
                        <w:rPr>
                          <w:rFonts w:ascii="Cambria Math" w:eastAsia="宋体" w:hAnsi="Cambria Math"/>
                          <w:i/>
                          <w:sz w:val="18"/>
                          <w:szCs w:val="14"/>
                          <w:lang w:val="en-GB"/>
                        </w:rPr>
                      </m:ctrlPr>
                    </m:dPr>
                    <m:e>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cells,0</m:t>
                          </m:r>
                          <m:ctrlPr>
                            <w:rPr>
                              <w:rFonts w:ascii="Cambria Math" w:eastAsia="宋体" w:hAnsi="Cambria Math"/>
                              <w:sz w:val="18"/>
                              <w:szCs w:val="14"/>
                              <w:lang w:val="en-GB"/>
                            </w:rPr>
                          </m:ctrlPr>
                        </m:sub>
                        <m:sup>
                          <m:r>
                            <m:rPr>
                              <m:nor/>
                            </m:rPr>
                            <w:rPr>
                              <w:rFonts w:ascii="Cambria Math" w:eastAsia="宋体"/>
                              <w:sz w:val="18"/>
                              <w:szCs w:val="14"/>
                              <w:lang w:val="en-GB"/>
                            </w:rPr>
                            <m:t>DL,</m:t>
                          </m:r>
                          <m:r>
                            <w:rPr>
                              <w:rFonts w:ascii="Cambria Math" w:eastAsia="宋体"/>
                              <w:sz w:val="18"/>
                              <w:szCs w:val="14"/>
                              <w:lang w:val="en-GB"/>
                            </w:rPr>
                            <m:t>μ</m:t>
                          </m:r>
                          <m:ctrlPr>
                            <w:rPr>
                              <w:rFonts w:ascii="Cambria Math" w:eastAsia="宋体" w:hAnsi="Cambria Math"/>
                              <w:sz w:val="18"/>
                              <w:szCs w:val="14"/>
                              <w:lang w:val="en-GB"/>
                            </w:rPr>
                          </m:ctrlPr>
                        </m:sup>
                      </m:sSubSup>
                      <m:r>
                        <w:rPr>
                          <w:rFonts w:ascii="Cambria Math" w:eastAsia="宋体" w:hAnsi="Cambria Math"/>
                          <w:sz w:val="18"/>
                          <w:szCs w:val="14"/>
                          <w:lang w:val="en-GB"/>
                        </w:rPr>
                        <m:t>+</m:t>
                      </m:r>
                      <m:r>
                        <w:rPr>
                          <w:rFonts w:ascii="Cambria Math" w:eastAsia="宋体" w:hAnsi="Cambria Math" w:cs="Calibri"/>
                          <w:sz w:val="18"/>
                          <w:szCs w:val="14"/>
                          <w:lang w:val="en-GB"/>
                        </w:rPr>
                        <m:t>γ</m:t>
                      </m:r>
                      <m:r>
                        <w:rPr>
                          <w:rFonts w:ascii="Cambria Math" w:eastAsia="宋体" w:hAnsi="Cambria Math"/>
                          <w:sz w:val="18"/>
                          <w:szCs w:val="14"/>
                          <w:lang w:val="en-GB"/>
                        </w:rPr>
                        <m:t>∙</m:t>
                      </m:r>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cells,1</m:t>
                          </m:r>
                          <m:ctrlPr>
                            <w:rPr>
                              <w:rFonts w:ascii="Cambria Math" w:eastAsia="宋体" w:hAnsi="Cambria Math"/>
                              <w:sz w:val="18"/>
                              <w:szCs w:val="14"/>
                              <w:lang w:val="en-GB"/>
                            </w:rPr>
                          </m:ctrlPr>
                        </m:sub>
                        <m:sup>
                          <m:r>
                            <m:rPr>
                              <m:nor/>
                            </m:rPr>
                            <w:rPr>
                              <w:rFonts w:ascii="Cambria Math" w:eastAsia="宋体"/>
                              <w:sz w:val="18"/>
                              <w:szCs w:val="14"/>
                              <w:lang w:val="en-GB"/>
                            </w:rPr>
                            <m:t>DL,</m:t>
                          </m:r>
                          <m:r>
                            <w:rPr>
                              <w:rFonts w:ascii="Cambria Math" w:eastAsia="宋体"/>
                              <w:sz w:val="18"/>
                              <w:szCs w:val="14"/>
                              <w:lang w:val="en-GB"/>
                            </w:rPr>
                            <m:t>μ</m:t>
                          </m:r>
                          <m:ctrlPr>
                            <w:rPr>
                              <w:rFonts w:ascii="Cambria Math" w:eastAsia="宋体" w:hAnsi="Cambria Math"/>
                              <w:sz w:val="18"/>
                              <w:szCs w:val="14"/>
                              <w:lang w:val="en-GB"/>
                            </w:rPr>
                          </m:ctrlPr>
                        </m:sup>
                      </m:sSubSup>
                    </m:e>
                  </m:d>
                </m:e>
              </m:nary>
            </m:oMath>
            <w:r w:rsidRPr="000C23B8">
              <w:rPr>
                <w:rFonts w:eastAsia="宋体" w:hint="eastAsia"/>
                <w:sz w:val="18"/>
                <w:szCs w:val="14"/>
                <w:lang w:val="en-GB" w:eastAsia="zh-CN"/>
              </w:rPr>
              <w:t xml:space="preserve"> </w:t>
            </w:r>
            <w:r w:rsidRPr="000C23B8">
              <w:rPr>
                <w:rFonts w:eastAsia="宋体" w:hint="eastAsia"/>
                <w:sz w:val="18"/>
                <w:szCs w:val="18"/>
                <w:lang w:eastAsia="zh-CN"/>
              </w:rPr>
              <w:t xml:space="preserve">is larger than </w:t>
            </w:r>
            <m:oMath>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m:t>
                  </m:r>
                  <m:ctrlPr>
                    <w:rPr>
                      <w:rFonts w:ascii="Cambria Math" w:eastAsia="宋体" w:hAnsi="Cambria Math"/>
                      <w:sz w:val="18"/>
                      <w:szCs w:val="14"/>
                      <w:lang w:val="en-GB"/>
                    </w:rPr>
                  </m:ctrlPr>
                </m:sub>
                <m:sup>
                  <m:r>
                    <m:rPr>
                      <m:nor/>
                    </m:rPr>
                    <w:rPr>
                      <w:rFonts w:ascii="Cambria Math" w:eastAsia="宋体"/>
                      <w:sz w:val="18"/>
                      <w:szCs w:val="14"/>
                      <w:lang w:val="en-GB"/>
                    </w:rPr>
                    <m:t>cap</m:t>
                  </m:r>
                  <m:ctrlPr>
                    <w:rPr>
                      <w:rFonts w:ascii="Cambria Math" w:eastAsia="宋体" w:hAnsi="Cambria Math"/>
                      <w:sz w:val="18"/>
                      <w:szCs w:val="14"/>
                      <w:lang w:val="en-GB"/>
                    </w:rPr>
                  </m:ctrlPr>
                </m:sup>
              </m:sSubSup>
            </m:oMath>
            <w:r w:rsidRPr="000C23B8">
              <w:rPr>
                <w:rFonts w:eastAsia="宋体" w:hint="eastAsia"/>
                <w:sz w:val="18"/>
                <w:szCs w:val="14"/>
                <w:lang w:val="en-GB" w:eastAsia="zh-CN"/>
              </w:rPr>
              <w:t xml:space="preserve"> </w:t>
            </w:r>
            <w:r w:rsidRPr="000C23B8">
              <w:rPr>
                <w:rFonts w:eastAsia="宋体" w:hint="eastAsia"/>
                <w:sz w:val="18"/>
                <w:szCs w:val="18"/>
                <w:lang w:eastAsia="zh-CN"/>
              </w:rPr>
              <w:t xml:space="preserve">or not. </w:t>
            </w:r>
            <w:r>
              <w:rPr>
                <w:rFonts w:eastAsia="宋体"/>
                <w:sz w:val="18"/>
                <w:szCs w:val="18"/>
                <w:lang w:eastAsia="zh-CN"/>
              </w:rPr>
              <w:t xml:space="preserve">But the description in 213 does not align with that. According to the </w:t>
            </w:r>
            <w:r w:rsidRPr="000C23B8">
              <w:rPr>
                <w:rFonts w:eastAsia="宋体" w:hint="eastAsia"/>
                <w:sz w:val="18"/>
                <w:szCs w:val="18"/>
                <w:lang w:eastAsia="zh-CN"/>
              </w:rPr>
              <w:t xml:space="preserve">description </w:t>
            </w:r>
            <w:r>
              <w:rPr>
                <w:rFonts w:eastAsia="宋体"/>
                <w:sz w:val="18"/>
                <w:szCs w:val="18"/>
                <w:lang w:eastAsia="zh-CN"/>
              </w:rPr>
              <w:t>in current 213, reader would understand</w:t>
            </w:r>
            <w:r w:rsidRPr="000C23B8">
              <w:rPr>
                <w:rFonts w:eastAsia="宋体" w:hint="eastAsia"/>
                <w:sz w:val="18"/>
                <w:szCs w:val="18"/>
                <w:lang w:eastAsia="zh-CN"/>
              </w:rPr>
              <w:t xml:space="preserve"> that the </w:t>
            </w:r>
            <w:r w:rsidRPr="000C23B8">
              <w:rPr>
                <w:rFonts w:eastAsia="宋体"/>
                <w:sz w:val="18"/>
                <w:szCs w:val="18"/>
                <w:lang w:eastAsia="zh-CN"/>
              </w:rPr>
              <w:t>SCS configuration μ</w:t>
            </w:r>
            <w:r w:rsidRPr="000C23B8">
              <w:rPr>
                <w:rFonts w:eastAsia="宋体" w:hint="eastAsia"/>
                <w:sz w:val="18"/>
                <w:szCs w:val="18"/>
                <w:lang w:eastAsia="zh-CN"/>
              </w:rPr>
              <w:t xml:space="preserve"> only corresponds to </w:t>
            </w:r>
            <w:r w:rsidRPr="000C23B8">
              <w:rPr>
                <w:rFonts w:eastAsia="宋体"/>
                <w:sz w:val="18"/>
                <w:szCs w:val="18"/>
                <w:lang w:eastAsia="zh-CN"/>
              </w:rPr>
              <w:t>the active DL BWPs of the scheduling cells</w:t>
            </w:r>
            <w:r w:rsidRPr="000C23B8">
              <w:rPr>
                <w:rFonts w:eastAsia="宋体" w:hint="eastAsia"/>
                <w:sz w:val="18"/>
                <w:szCs w:val="18"/>
                <w:lang w:eastAsia="zh-CN"/>
              </w:rPr>
              <w:t>, and the deactivated cells (without active DL BWP)</w:t>
            </w:r>
            <w:r w:rsidRPr="000C23B8">
              <w:rPr>
                <w:rFonts w:eastAsia="宋体"/>
                <w:sz w:val="18"/>
                <w:szCs w:val="18"/>
                <w:lang w:eastAsia="zh-CN"/>
              </w:rPr>
              <w:t xml:space="preserve"> are not co</w:t>
            </w:r>
            <w:r w:rsidRPr="000C23B8">
              <w:rPr>
                <w:rFonts w:eastAsia="宋体" w:hint="eastAsia"/>
                <w:sz w:val="18"/>
                <w:szCs w:val="18"/>
                <w:lang w:eastAsia="zh-CN"/>
              </w:rPr>
              <w:t>unted for the comparison.</w:t>
            </w:r>
            <w:r>
              <w:rPr>
                <w:rFonts w:eastAsia="宋体"/>
                <w:sz w:val="18"/>
                <w:szCs w:val="18"/>
                <w:lang w:eastAsia="zh-CN"/>
              </w:rPr>
              <w:t xml:space="preserve"> Proposal 2 in R1-2102373 provided TP to fix that.</w:t>
            </w:r>
          </w:p>
          <w:p w14:paraId="54D16D1B" w14:textId="77777777" w:rsidR="00F00E98" w:rsidRDefault="00F00E98" w:rsidP="00F00E98">
            <w:pPr>
              <w:snapToGrid w:val="0"/>
              <w:jc w:val="both"/>
              <w:rPr>
                <w:rFonts w:eastAsia="宋体"/>
                <w:sz w:val="18"/>
                <w:szCs w:val="18"/>
                <w:lang w:eastAsia="zh-CN"/>
              </w:rPr>
            </w:pPr>
          </w:p>
          <w:p w14:paraId="01539415" w14:textId="77777777" w:rsidR="00F00E98" w:rsidRPr="00875005" w:rsidRDefault="00F00E98" w:rsidP="00F00E98">
            <w:pPr>
              <w:snapToGrid w:val="0"/>
              <w:jc w:val="both"/>
              <w:rPr>
                <w:sz w:val="18"/>
                <w:szCs w:val="18"/>
              </w:rPr>
            </w:pPr>
            <w:r>
              <w:rPr>
                <w:rFonts w:eastAsia="宋体"/>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71D40A72" w14:textId="4313AB8D" w:rsidR="009143DD" w:rsidRPr="00875005" w:rsidRDefault="009143DD" w:rsidP="00F00E98">
            <w:pPr>
              <w:snapToGrid w:val="0"/>
              <w:jc w:val="both"/>
              <w:rPr>
                <w:sz w:val="18"/>
                <w:szCs w:val="18"/>
              </w:rPr>
            </w:pPr>
            <w:r>
              <w:rPr>
                <w:rFonts w:eastAsia="等线" w:hint="eastAsia"/>
                <w:sz w:val="18"/>
                <w:szCs w:val="18"/>
                <w:lang w:eastAsia="zh-CN"/>
              </w:rPr>
              <w:t>Z</w:t>
            </w:r>
            <w:r>
              <w:rPr>
                <w:rFonts w:eastAsia="等线"/>
                <w:sz w:val="18"/>
                <w:szCs w:val="18"/>
                <w:lang w:eastAsia="zh-CN"/>
              </w:rPr>
              <w:t>TE: We are OK to discuss this</w:t>
            </w:r>
          </w:p>
        </w:tc>
      </w:tr>
      <w:tr w:rsidR="00F00E98" w:rsidRPr="00875005" w14:paraId="0FADA831" w14:textId="77777777" w:rsidTr="00DE2246">
        <w:tc>
          <w:tcPr>
            <w:tcW w:w="723" w:type="dxa"/>
          </w:tcPr>
          <w:p w14:paraId="4A61D8ED" w14:textId="77777777" w:rsidR="00F00E98" w:rsidRDefault="00F00E98" w:rsidP="00F00E98">
            <w:pPr>
              <w:snapToGrid w:val="0"/>
              <w:jc w:val="both"/>
              <w:rPr>
                <w:sz w:val="18"/>
                <w:szCs w:val="18"/>
              </w:rPr>
            </w:pPr>
            <w:r>
              <w:rPr>
                <w:sz w:val="18"/>
                <w:szCs w:val="18"/>
              </w:rPr>
              <w:t>MT.6</w:t>
            </w:r>
          </w:p>
        </w:tc>
        <w:tc>
          <w:tcPr>
            <w:tcW w:w="4911" w:type="dxa"/>
          </w:tcPr>
          <w:p w14:paraId="26CBCBE6" w14:textId="7F24FC17" w:rsidR="00F00E98" w:rsidRDefault="00F00E98" w:rsidP="00F00E98">
            <w:pPr>
              <w:snapToGrid w:val="0"/>
              <w:jc w:val="both"/>
              <w:rPr>
                <w:rFonts w:eastAsia="宋体"/>
                <w:sz w:val="18"/>
                <w:szCs w:val="18"/>
                <w:lang w:eastAsia="zh-CN"/>
              </w:rPr>
            </w:pPr>
            <w:r w:rsidRPr="00CC1503">
              <w:rPr>
                <w:rFonts w:eastAsia="宋体"/>
                <w:sz w:val="18"/>
                <w:szCs w:val="18"/>
                <w:lang w:eastAsia="zh-CN"/>
              </w:rPr>
              <w:t>R1-210</w:t>
            </w:r>
            <w:r>
              <w:rPr>
                <w:rFonts w:eastAsia="宋体"/>
                <w:sz w:val="18"/>
                <w:szCs w:val="18"/>
                <w:lang w:eastAsia="zh-CN"/>
              </w:rPr>
              <w:t>2947 proposes</w:t>
            </w:r>
            <w:r w:rsidRPr="00CC1503">
              <w:rPr>
                <w:rFonts w:eastAsia="宋体"/>
                <w:sz w:val="18"/>
                <w:szCs w:val="18"/>
                <w:lang w:eastAsia="zh-CN"/>
              </w:rPr>
              <w:t xml:space="preserve"> TP to specify </w:t>
            </w:r>
            <w:r>
              <w:rPr>
                <w:rFonts w:eastAsia="宋体"/>
                <w:sz w:val="18"/>
                <w:szCs w:val="18"/>
                <w:lang w:eastAsia="zh-CN"/>
              </w:rPr>
              <w:t>the case when</w:t>
            </w:r>
            <w:r w:rsidRPr="00CC1503">
              <w:rPr>
                <w:rFonts w:eastAsia="宋体"/>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宋体"/>
                <w:sz w:val="18"/>
                <w:szCs w:val="18"/>
                <w:lang w:eastAsia="zh-CN"/>
              </w:rPr>
            </w:pPr>
          </w:p>
          <w:p w14:paraId="5E0648F6" w14:textId="77777777" w:rsidR="00F00E98" w:rsidRDefault="00F00E98" w:rsidP="00F00E98">
            <w:pPr>
              <w:snapToGrid w:val="0"/>
              <w:jc w:val="both"/>
              <w:rPr>
                <w:rFonts w:eastAsia="宋体"/>
                <w:sz w:val="18"/>
                <w:szCs w:val="18"/>
                <w:lang w:eastAsia="zh-CN"/>
              </w:rPr>
            </w:pPr>
            <w:r>
              <w:rPr>
                <w:rFonts w:eastAsia="宋体"/>
                <w:sz w:val="18"/>
                <w:szCs w:val="18"/>
                <w:lang w:eastAsia="zh-CN"/>
              </w:rPr>
              <w:t xml:space="preserve">FL: this issue has been proposed by multiple times. We can discuss and make an conclusion </w:t>
            </w:r>
          </w:p>
        </w:tc>
        <w:tc>
          <w:tcPr>
            <w:tcW w:w="1732" w:type="dxa"/>
          </w:tcPr>
          <w:p w14:paraId="3229EE31" w14:textId="77777777" w:rsidR="00F00E98" w:rsidRDefault="00F00E98" w:rsidP="00F00E98">
            <w:pPr>
              <w:snapToGrid w:val="0"/>
              <w:rPr>
                <w:sz w:val="18"/>
                <w:szCs w:val="18"/>
              </w:rPr>
            </w:pPr>
            <w:r>
              <w:rPr>
                <w:sz w:val="18"/>
                <w:szCs w:val="18"/>
              </w:rPr>
              <w:t>vivo</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等线"/>
                <w:sz w:val="18"/>
                <w:szCs w:val="18"/>
                <w:lang w:eastAsia="zh-CN"/>
              </w:rPr>
            </w:pPr>
            <w:ins w:id="21" w:author="Yuki Matsumura" w:date="2021-04-08T15:52:00Z">
              <w:r>
                <w:rPr>
                  <w:rFonts w:eastAsia="等线" w:hint="eastAsia"/>
                  <w:sz w:val="18"/>
                  <w:szCs w:val="18"/>
                  <w:lang w:eastAsia="zh-CN"/>
                </w:rPr>
                <w:t>D</w:t>
              </w:r>
              <w:r>
                <w:rPr>
                  <w:rFonts w:eastAsia="等线"/>
                  <w:sz w:val="18"/>
                  <w:szCs w:val="18"/>
                  <w:lang w:eastAsia="zh-CN"/>
                </w:rPr>
                <w:t>ocomo: can be N and left to gNB implementation.</w:t>
              </w:r>
            </w:ins>
          </w:p>
          <w:p w14:paraId="3BDD669B" w14:textId="77777777" w:rsidR="00C41881" w:rsidRDefault="00C41881" w:rsidP="00F00E98">
            <w:pPr>
              <w:snapToGrid w:val="0"/>
              <w:jc w:val="both"/>
              <w:rPr>
                <w:rFonts w:eastAsia="等线"/>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5B0CA89E" w14:textId="517BF705" w:rsidR="0021057C" w:rsidRPr="00875005"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tc>
      </w:tr>
      <w:tr w:rsidR="00F00E98" w:rsidRPr="00875005" w14:paraId="1B193C78" w14:textId="77777777" w:rsidTr="00DE2246">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宋体"/>
                <w:sz w:val="18"/>
                <w:szCs w:val="18"/>
                <w:lang w:eastAsia="zh-CN"/>
              </w:rPr>
            </w:pPr>
            <w:r w:rsidRPr="00CC1503">
              <w:rPr>
                <w:rFonts w:eastAsia="宋体"/>
                <w:sz w:val="18"/>
                <w:szCs w:val="18"/>
                <w:lang w:eastAsia="zh-CN"/>
              </w:rPr>
              <w:t>R1-210</w:t>
            </w:r>
            <w:r>
              <w:rPr>
                <w:rFonts w:eastAsia="宋体"/>
                <w:sz w:val="18"/>
                <w:szCs w:val="18"/>
                <w:lang w:eastAsia="zh-CN"/>
              </w:rPr>
              <w:t>2947 proposes to c</w:t>
            </w:r>
            <w:r w:rsidRPr="00CC1503">
              <w:rPr>
                <w:rFonts w:eastAsia="宋体"/>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宋体"/>
                <w:sz w:val="18"/>
                <w:szCs w:val="18"/>
                <w:lang w:eastAsia="zh-CN"/>
              </w:rPr>
            </w:pPr>
          </w:p>
          <w:p w14:paraId="1EFFF060" w14:textId="77777777" w:rsidR="00F00E98" w:rsidRPr="00CC1503" w:rsidRDefault="00F00E98" w:rsidP="00F00E98">
            <w:pPr>
              <w:snapToGrid w:val="0"/>
              <w:jc w:val="both"/>
              <w:rPr>
                <w:rFonts w:eastAsia="宋体"/>
                <w:sz w:val="18"/>
                <w:szCs w:val="18"/>
                <w:lang w:eastAsia="zh-CN"/>
              </w:rPr>
            </w:pPr>
            <w:r>
              <w:rPr>
                <w:rFonts w:eastAsia="宋体"/>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等线"/>
                <w:sz w:val="18"/>
                <w:szCs w:val="18"/>
                <w:lang w:eastAsia="zh-CN"/>
              </w:rPr>
            </w:pPr>
            <w:ins w:id="22" w:author="Yuki Matsumura" w:date="2021-04-08T15:52:00Z">
              <w:r>
                <w:rPr>
                  <w:rFonts w:eastAsia="等线" w:hint="eastAsia"/>
                  <w:sz w:val="18"/>
                  <w:szCs w:val="18"/>
                  <w:lang w:eastAsia="zh-CN"/>
                </w:rPr>
                <w:t>D</w:t>
              </w:r>
              <w:r>
                <w:rPr>
                  <w:rFonts w:eastAsia="等线"/>
                  <w:sz w:val="18"/>
                  <w:szCs w:val="18"/>
                  <w:lang w:eastAsia="zh-CN"/>
                </w:rPr>
                <w:t>ocomo: can be N.</w:t>
              </w:r>
            </w:ins>
          </w:p>
          <w:p w14:paraId="36CD0133" w14:textId="77777777" w:rsidR="00C41881" w:rsidRDefault="00C41881" w:rsidP="00F00E98">
            <w:pPr>
              <w:snapToGrid w:val="0"/>
              <w:jc w:val="both"/>
              <w:rPr>
                <w:rFonts w:eastAsia="等线"/>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3944AFCE" w14:textId="5AB8F24F" w:rsidR="009143DD" w:rsidRPr="00875005" w:rsidRDefault="009143DD" w:rsidP="00F00E98">
            <w:pPr>
              <w:snapToGrid w:val="0"/>
              <w:jc w:val="both"/>
              <w:rPr>
                <w:sz w:val="18"/>
                <w:szCs w:val="18"/>
              </w:rPr>
            </w:pPr>
            <w:r>
              <w:rPr>
                <w:rFonts w:eastAsia="等线" w:hint="eastAsia"/>
                <w:sz w:val="18"/>
                <w:szCs w:val="18"/>
                <w:lang w:eastAsia="zh-CN"/>
              </w:rPr>
              <w:t>Z</w:t>
            </w:r>
            <w:r>
              <w:rPr>
                <w:rFonts w:eastAsia="等线"/>
                <w:sz w:val="18"/>
                <w:szCs w:val="18"/>
                <w:lang w:eastAsia="zh-CN"/>
              </w:rPr>
              <w:t>TE: This should be lower priority since it can be up to implementation. That is, gNB will not configure like that, otherwise, it will be an error case.</w:t>
            </w:r>
          </w:p>
        </w:tc>
      </w:tr>
      <w:tr w:rsidR="00F00E98" w:rsidRPr="00875005" w14:paraId="62DA8F4A" w14:textId="77777777" w:rsidTr="00DE2246">
        <w:tc>
          <w:tcPr>
            <w:tcW w:w="723" w:type="dxa"/>
          </w:tcPr>
          <w:p w14:paraId="323177C6" w14:textId="77777777" w:rsidR="00F00E98" w:rsidRDefault="00F00E98" w:rsidP="00F00E98">
            <w:pPr>
              <w:snapToGrid w:val="0"/>
              <w:jc w:val="both"/>
              <w:rPr>
                <w:sz w:val="18"/>
                <w:szCs w:val="18"/>
              </w:rPr>
            </w:pPr>
            <w:r>
              <w:rPr>
                <w:sz w:val="18"/>
                <w:szCs w:val="18"/>
              </w:rPr>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宋体"/>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lastRenderedPageBreak/>
              <w:t>Apple</w:t>
            </w:r>
            <w:ins w:id="23"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等线"/>
                <w:sz w:val="18"/>
                <w:szCs w:val="18"/>
                <w:lang w:eastAsia="zh-CN"/>
              </w:rPr>
            </w:pPr>
            <w:ins w:id="24" w:author="Yuki Matsumura" w:date="2021-04-08T15:52:00Z">
              <w:r>
                <w:rPr>
                  <w:rFonts w:eastAsia="等线" w:hint="eastAsia"/>
                  <w:sz w:val="18"/>
                  <w:szCs w:val="18"/>
                  <w:lang w:eastAsia="zh-CN"/>
                </w:rPr>
                <w:t>D</w:t>
              </w:r>
              <w:r>
                <w:rPr>
                  <w:rFonts w:eastAsia="等线"/>
                  <w:sz w:val="18"/>
                  <w:szCs w:val="18"/>
                  <w:lang w:eastAsia="zh-CN"/>
                </w:rPr>
                <w:t>ocomo: Agree with H.</w:t>
              </w:r>
            </w:ins>
          </w:p>
          <w:p w14:paraId="1B1E9515" w14:textId="77777777" w:rsidR="00C41881" w:rsidRDefault="00C41881" w:rsidP="00F00E98">
            <w:pPr>
              <w:snapToGrid w:val="0"/>
              <w:jc w:val="both"/>
              <w:rPr>
                <w:rFonts w:eastAsia="等线"/>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7777777" w:rsidR="009143DD" w:rsidRDefault="009143DD" w:rsidP="00F00E98">
            <w:pPr>
              <w:snapToGrid w:val="0"/>
              <w:jc w:val="both"/>
              <w:rPr>
                <w:rFonts w:eastAsia="等线"/>
                <w:sz w:val="18"/>
                <w:szCs w:val="18"/>
                <w:lang w:eastAsia="zh-CN"/>
              </w:rPr>
            </w:pPr>
            <w:r>
              <w:rPr>
                <w:rFonts w:eastAsia="等线"/>
                <w:sz w:val="18"/>
                <w:szCs w:val="18"/>
                <w:lang w:eastAsia="zh-CN"/>
              </w:rPr>
              <w:t xml:space="preserve">ZTE: </w:t>
            </w:r>
            <w:r>
              <w:rPr>
                <w:rFonts w:eastAsia="等线" w:hint="eastAsia"/>
                <w:sz w:val="18"/>
                <w:szCs w:val="18"/>
                <w:lang w:eastAsia="zh-CN"/>
              </w:rPr>
              <w:t>W</w:t>
            </w:r>
            <w:r>
              <w:rPr>
                <w:rFonts w:eastAsia="等线"/>
                <w:sz w:val="18"/>
                <w:szCs w:val="18"/>
                <w:lang w:eastAsia="zh-CN"/>
              </w:rPr>
              <w:t>e are OK to discuss this. However, we think RLM is only supported for CORESETs with CORESETPoolIndex = 0.</w:t>
            </w:r>
          </w:p>
          <w:p w14:paraId="414DDB15" w14:textId="6B9BF36C" w:rsidR="009143DD" w:rsidRPr="00875005" w:rsidRDefault="009143DD" w:rsidP="00F00E98">
            <w:pPr>
              <w:snapToGrid w:val="0"/>
              <w:jc w:val="both"/>
              <w:rPr>
                <w:sz w:val="18"/>
                <w:szCs w:val="18"/>
              </w:rPr>
            </w:pPr>
          </w:p>
        </w:tc>
      </w:tr>
      <w:tr w:rsidR="00F00E98" w:rsidRPr="00875005" w14:paraId="7F7CFA41" w14:textId="77777777" w:rsidTr="00DE2246">
        <w:tc>
          <w:tcPr>
            <w:tcW w:w="723" w:type="dxa"/>
          </w:tcPr>
          <w:p w14:paraId="75B801D7" w14:textId="77777777" w:rsidR="00F00E98" w:rsidRDefault="00F00E98" w:rsidP="00F00E98">
            <w:pPr>
              <w:snapToGrid w:val="0"/>
              <w:jc w:val="both"/>
              <w:rPr>
                <w:sz w:val="18"/>
                <w:szCs w:val="18"/>
              </w:rPr>
            </w:pPr>
            <w:r>
              <w:rPr>
                <w:sz w:val="18"/>
                <w:szCs w:val="18"/>
              </w:rPr>
              <w:lastRenderedPageBreak/>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1E67643B" w14:textId="5C302FBD" w:rsidR="009143DD" w:rsidRPr="00875005" w:rsidRDefault="009143DD" w:rsidP="00F00E98">
            <w:pPr>
              <w:snapToGrid w:val="0"/>
              <w:jc w:val="both"/>
              <w:rPr>
                <w:sz w:val="18"/>
                <w:szCs w:val="18"/>
              </w:rPr>
            </w:pPr>
            <w:r>
              <w:rPr>
                <w:rFonts w:eastAsia="等线" w:hint="eastAsia"/>
                <w:sz w:val="18"/>
                <w:szCs w:val="18"/>
                <w:lang w:eastAsia="zh-CN"/>
              </w:rPr>
              <w:t>Z</w:t>
            </w:r>
            <w:r>
              <w:rPr>
                <w:rFonts w:eastAsia="等线"/>
                <w:sz w:val="18"/>
                <w:szCs w:val="18"/>
                <w:lang w:eastAsia="zh-CN"/>
              </w:rPr>
              <w:t>TE: Not support. From the current specification, it is hard to support both features. Even without further conclusion, we think it is common understanding that both features can</w:t>
            </w:r>
            <w:r>
              <w:rPr>
                <w:rFonts w:eastAsia="等线"/>
                <w:sz w:val="18"/>
                <w:szCs w:val="18"/>
                <w:lang w:eastAsia="zh-CN"/>
              </w:rPr>
              <w:t xml:space="preserve"> </w:t>
            </w:r>
            <w:r>
              <w:rPr>
                <w:rFonts w:eastAsia="等线"/>
                <w:sz w:val="18"/>
                <w:szCs w:val="18"/>
                <w:lang w:eastAsia="zh-CN"/>
              </w:rPr>
              <w:t>not be configured together.</w:t>
            </w:r>
          </w:p>
        </w:tc>
      </w:tr>
      <w:tr w:rsidR="00F00E98" w:rsidRPr="00875005" w14:paraId="1BE07DFE" w14:textId="77777777" w:rsidTr="00DE2246">
        <w:tc>
          <w:tcPr>
            <w:tcW w:w="723" w:type="dxa"/>
          </w:tcPr>
          <w:p w14:paraId="7899931C" w14:textId="77777777" w:rsidR="00F00E98" w:rsidRDefault="00F00E98" w:rsidP="00F00E98">
            <w:pPr>
              <w:snapToGrid w:val="0"/>
              <w:jc w:val="both"/>
              <w:rPr>
                <w:sz w:val="18"/>
                <w:szCs w:val="18"/>
              </w:rPr>
            </w:pPr>
            <w:r>
              <w:rPr>
                <w:sz w:val="18"/>
                <w:szCs w:val="18"/>
              </w:rPr>
              <w:t>MT.10</w:t>
            </w:r>
          </w:p>
        </w:tc>
        <w:tc>
          <w:tcPr>
            <w:tcW w:w="4911" w:type="dxa"/>
          </w:tcPr>
          <w:p w14:paraId="36AD90FC" w14:textId="3B99622E" w:rsidR="00F00E98" w:rsidRDefault="00F00E98" w:rsidP="00F00E98">
            <w:pPr>
              <w:snapToGrid w:val="0"/>
              <w:jc w:val="both"/>
              <w:rPr>
                <w:sz w:val="18"/>
                <w:szCs w:val="18"/>
              </w:rPr>
            </w:pPr>
            <w:r>
              <w:rPr>
                <w:sz w:val="18"/>
                <w:szCs w:val="18"/>
              </w:rPr>
              <w:t>R1-2103145 proposes to reset the PDSCH beam to qnew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等线"/>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71DBE4AC" w14:textId="560941F0" w:rsidR="0021057C" w:rsidRPr="00D543EA" w:rsidRDefault="0021057C" w:rsidP="00F00E98">
            <w:pPr>
              <w:snapToGrid w:val="0"/>
              <w:jc w:val="both"/>
              <w:rPr>
                <w:sz w:val="18"/>
                <w:szCs w:val="18"/>
              </w:rPr>
            </w:pPr>
          </w:p>
        </w:tc>
      </w:tr>
      <w:tr w:rsidR="00F00E98" w:rsidRPr="00875005" w14:paraId="1D04C08C" w14:textId="77777777" w:rsidTr="00DE2246">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2EA5784C" w14:textId="095E89DC" w:rsidR="009143DD" w:rsidRPr="00875005" w:rsidRDefault="009143DD" w:rsidP="00F00E98">
            <w:pPr>
              <w:snapToGrid w:val="0"/>
              <w:jc w:val="both"/>
              <w:rPr>
                <w:sz w:val="18"/>
                <w:szCs w:val="18"/>
              </w:rPr>
            </w:pPr>
            <w:r>
              <w:rPr>
                <w:rFonts w:eastAsia="等线" w:hint="eastAsia"/>
                <w:sz w:val="18"/>
                <w:szCs w:val="18"/>
                <w:lang w:eastAsia="zh-CN"/>
              </w:rPr>
              <w:t>Z</w:t>
            </w:r>
            <w:r>
              <w:rPr>
                <w:rFonts w:eastAsia="等线"/>
                <w:sz w:val="18"/>
                <w:szCs w:val="18"/>
                <w:lang w:eastAsia="zh-CN"/>
              </w:rPr>
              <w:t>TE: We are OK to discuss it</w:t>
            </w:r>
          </w:p>
        </w:tc>
      </w:tr>
      <w:tr w:rsidR="00F00E98" w:rsidRPr="00875005" w14:paraId="4CEB3AFC" w14:textId="77777777" w:rsidTr="00DE2246">
        <w:tc>
          <w:tcPr>
            <w:tcW w:w="723" w:type="dxa"/>
          </w:tcPr>
          <w:p w14:paraId="5A5B7288" w14:textId="77777777" w:rsidR="00F00E98" w:rsidRDefault="00F00E98" w:rsidP="00F00E98">
            <w:pPr>
              <w:snapToGrid w:val="0"/>
              <w:jc w:val="both"/>
              <w:rPr>
                <w:sz w:val="18"/>
                <w:szCs w:val="18"/>
              </w:rPr>
            </w:pPr>
            <w:r>
              <w:rPr>
                <w:sz w:val="18"/>
                <w:szCs w:val="18"/>
              </w:rPr>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F00E98"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R1-2103218 proposed to Extend the single-DCI M-TRP dynamic grant PDSCH transmission schemes to </w:t>
            </w:r>
            <w:r w:rsidRPr="00563981">
              <w:rPr>
                <w:rFonts w:ascii="Times New Roman" w:hAnsi="Times New Roman" w:cs="Times New Roman"/>
                <w:sz w:val="18"/>
                <w:szCs w:val="18"/>
              </w:rPr>
              <w:lastRenderedPageBreak/>
              <w:t>include SPS PDSCH for enhanced PDSCH reliability for URLLC service types</w:t>
            </w:r>
          </w:p>
          <w:p w14:paraId="274D250A" w14:textId="77777777" w:rsidR="00F00E98" w:rsidRPr="008764E9" w:rsidRDefault="00F00E98" w:rsidP="00F00E98">
            <w:pPr>
              <w:pStyle w:val="ListParagraph"/>
              <w:rPr>
                <w:rFonts w:ascii="Times New Roman" w:hAnsi="Times New Roman" w:cs="Times New Roman"/>
                <w:sz w:val="18"/>
                <w:szCs w:val="18"/>
              </w:rPr>
            </w:pPr>
          </w:p>
          <w:p w14:paraId="5592B198" w14:textId="77777777" w:rsidR="00F00E98" w:rsidRPr="008764E9" w:rsidRDefault="00F00E98" w:rsidP="00F00E98">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lastRenderedPageBreak/>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43D7E7FA" w14:textId="77777777" w:rsidR="00F00E98" w:rsidRPr="00C41881" w:rsidRDefault="00F00E98" w:rsidP="00F00E98">
            <w:pPr>
              <w:snapToGrid w:val="0"/>
              <w:jc w:val="both"/>
              <w:rPr>
                <w:sz w:val="18"/>
                <w:szCs w:val="18"/>
              </w:rPr>
            </w:pPr>
          </w:p>
        </w:tc>
      </w:tr>
      <w:tr w:rsidR="00F00E98" w:rsidRPr="00875005" w14:paraId="1015376C" w14:textId="77777777" w:rsidTr="00DE2246">
        <w:tc>
          <w:tcPr>
            <w:tcW w:w="723" w:type="dxa"/>
          </w:tcPr>
          <w:p w14:paraId="7742B53A" w14:textId="77777777" w:rsidR="00F00E98" w:rsidRDefault="00F00E98" w:rsidP="00F00E98">
            <w:pPr>
              <w:snapToGrid w:val="0"/>
              <w:jc w:val="both"/>
              <w:rPr>
                <w:sz w:val="18"/>
                <w:szCs w:val="18"/>
              </w:rPr>
            </w:pPr>
            <w:r>
              <w:rPr>
                <w:sz w:val="18"/>
                <w:szCs w:val="18"/>
              </w:rPr>
              <w:lastRenderedPageBreak/>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or the case of tdmSchemeA</w:t>
            </w:r>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029B04D6" w14:textId="7F88DE35" w:rsidR="0021057C" w:rsidRPr="00875005" w:rsidRDefault="0021057C" w:rsidP="00F00E98">
            <w:pPr>
              <w:snapToGrid w:val="0"/>
              <w:jc w:val="both"/>
              <w:rPr>
                <w:sz w:val="18"/>
                <w:szCs w:val="18"/>
              </w:rPr>
            </w:pPr>
            <w:r>
              <w:rPr>
                <w:sz w:val="18"/>
                <w:szCs w:val="18"/>
              </w:rPr>
              <w:t>LG: Current specification is enough.</w:t>
            </w:r>
          </w:p>
        </w:tc>
      </w:tr>
      <w:tr w:rsidR="00F00E98" w:rsidRPr="00875005" w14:paraId="245A0935" w14:textId="77777777" w:rsidTr="00DE2246">
        <w:tc>
          <w:tcPr>
            <w:tcW w:w="723" w:type="dxa"/>
          </w:tcPr>
          <w:p w14:paraId="18FBEE20" w14:textId="77777777" w:rsidR="00F00E98" w:rsidRDefault="00F00E98" w:rsidP="00F00E98">
            <w:pPr>
              <w:snapToGrid w:val="0"/>
              <w:jc w:val="both"/>
              <w:rPr>
                <w:sz w:val="18"/>
                <w:szCs w:val="18"/>
              </w:rPr>
            </w:pPr>
            <w:r>
              <w:rPr>
                <w:sz w:val="18"/>
                <w:szCs w:val="18"/>
              </w:rPr>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t>Ericsson</w:t>
            </w:r>
            <w:ins w:id="25"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26"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5F964ECD" w14:textId="64EE3068" w:rsidR="009143DD" w:rsidRPr="00875005" w:rsidRDefault="009143DD" w:rsidP="00F00E98">
            <w:pPr>
              <w:snapToGrid w:val="0"/>
              <w:jc w:val="both"/>
              <w:rPr>
                <w:sz w:val="18"/>
                <w:szCs w:val="18"/>
              </w:rPr>
            </w:pPr>
            <w:r>
              <w:rPr>
                <w:rFonts w:eastAsia="等线" w:hint="eastAsia"/>
                <w:sz w:val="18"/>
                <w:szCs w:val="18"/>
                <w:lang w:eastAsia="zh-CN"/>
              </w:rPr>
              <w:t>Z</w:t>
            </w:r>
            <w:r>
              <w:rPr>
                <w:rFonts w:eastAsia="等线"/>
                <w:sz w:val="18"/>
                <w:szCs w:val="18"/>
                <w:lang w:eastAsia="zh-CN"/>
              </w:rPr>
              <w:t>TE: OK to discuss this</w:t>
            </w:r>
          </w:p>
        </w:tc>
      </w:tr>
      <w:tr w:rsidR="00F00E98" w:rsidRPr="00875005" w14:paraId="2F2F0141" w14:textId="77777777" w:rsidTr="00DE2246">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DE2246">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等线"/>
                <w:sz w:val="18"/>
                <w:szCs w:val="18"/>
                <w:lang w:eastAsia="zh-CN"/>
              </w:rPr>
            </w:pPr>
            <w:r>
              <w:rPr>
                <w:rFonts w:eastAsia="等线" w:hint="eastAsia"/>
                <w:sz w:val="18"/>
                <w:szCs w:val="18"/>
                <w:lang w:eastAsia="zh-CN"/>
              </w:rPr>
              <w:t>FL: TP</w:t>
            </w:r>
            <w:r>
              <w:rPr>
                <w:rFonts w:eastAsia="等线"/>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等线"/>
                <w:sz w:val="18"/>
                <w:szCs w:val="18"/>
                <w:lang w:eastAsia="zh-CN"/>
              </w:rPr>
            </w:pPr>
            <w:r>
              <w:rPr>
                <w:rFonts w:eastAsia="等线" w:hint="eastAsia"/>
                <w:sz w:val="18"/>
                <w:szCs w:val="18"/>
                <w:lang w:eastAsia="zh-CN"/>
              </w:rPr>
              <w:lastRenderedPageBreak/>
              <w:t>S</w:t>
            </w:r>
            <w:r>
              <w:rPr>
                <w:rFonts w:eastAsia="等线"/>
                <w:sz w:val="18"/>
                <w:szCs w:val="18"/>
                <w:lang w:eastAsia="zh-CN"/>
              </w:rPr>
              <w:t>amsung</w:t>
            </w:r>
            <w:bookmarkStart w:id="27" w:name="_GoBack"/>
            <w:bookmarkEnd w:id="27"/>
          </w:p>
        </w:tc>
        <w:tc>
          <w:tcPr>
            <w:tcW w:w="1089" w:type="dxa"/>
          </w:tcPr>
          <w:p w14:paraId="69147777" w14:textId="1F8D298B" w:rsidR="00F00E98" w:rsidRPr="00875005" w:rsidRDefault="00F00E98" w:rsidP="00F00E98">
            <w:pPr>
              <w:snapToGrid w:val="0"/>
              <w:jc w:val="both"/>
              <w:rPr>
                <w:rFonts w:eastAsia="等线"/>
                <w:sz w:val="18"/>
                <w:szCs w:val="18"/>
                <w:lang w:eastAsia="zh-CN"/>
              </w:rPr>
            </w:pPr>
            <w:r>
              <w:rPr>
                <w:rFonts w:eastAsia="等线"/>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5138050B" w14:textId="59FCAE20" w:rsidR="00C25842" w:rsidRPr="00875005" w:rsidRDefault="00C25842" w:rsidP="00CD0907">
            <w:pPr>
              <w:snapToGrid w:val="0"/>
              <w:jc w:val="both"/>
              <w:rPr>
                <w:rFonts w:eastAsia="等线"/>
                <w:sz w:val="18"/>
                <w:szCs w:val="18"/>
                <w:lang w:eastAsia="zh-CN"/>
              </w:rPr>
            </w:pPr>
            <w:r>
              <w:rPr>
                <w:sz w:val="18"/>
                <w:szCs w:val="18"/>
              </w:rPr>
              <w:t xml:space="preserve">FL: if RAN1 can agree on proposed correction, RAN1 can send LS to RAN2. My original thinking was it can discussed directly in RAN2. </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94606E" w:rsidP="005E7C4B">
            <w:pPr>
              <w:snapToGrid w:val="0"/>
              <w:rPr>
                <w:rFonts w:eastAsia="Times New Roman"/>
                <w:bCs/>
                <w:sz w:val="20"/>
                <w:szCs w:val="18"/>
              </w:rPr>
            </w:pPr>
            <w:hyperlink r:id="rId11"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94606E" w:rsidP="005E7C4B">
            <w:pPr>
              <w:snapToGrid w:val="0"/>
              <w:rPr>
                <w:rFonts w:eastAsia="Times New Roman"/>
                <w:bCs/>
                <w:sz w:val="20"/>
                <w:szCs w:val="18"/>
              </w:rPr>
            </w:pPr>
            <w:hyperlink r:id="rId12"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94606E" w:rsidP="005E7C4B">
            <w:pPr>
              <w:snapToGrid w:val="0"/>
              <w:rPr>
                <w:rFonts w:eastAsia="Times New Roman"/>
                <w:bCs/>
                <w:sz w:val="20"/>
                <w:szCs w:val="18"/>
              </w:rPr>
            </w:pPr>
            <w:hyperlink r:id="rId13"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lastRenderedPageBreak/>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94606E" w:rsidP="005E7C4B">
            <w:pPr>
              <w:snapToGrid w:val="0"/>
              <w:rPr>
                <w:rFonts w:eastAsia="Times New Roman"/>
                <w:bCs/>
                <w:sz w:val="20"/>
                <w:szCs w:val="18"/>
              </w:rPr>
            </w:pPr>
            <w:hyperlink r:id="rId14"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94606E" w:rsidP="005E7C4B">
            <w:pPr>
              <w:snapToGrid w:val="0"/>
              <w:rPr>
                <w:rFonts w:eastAsia="Times New Roman"/>
                <w:bCs/>
                <w:sz w:val="20"/>
                <w:szCs w:val="18"/>
              </w:rPr>
            </w:pPr>
            <w:hyperlink r:id="rId15"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94606E" w:rsidP="005E7C4B">
            <w:pPr>
              <w:snapToGrid w:val="0"/>
              <w:rPr>
                <w:rFonts w:eastAsia="Times New Roman"/>
                <w:bCs/>
                <w:sz w:val="20"/>
                <w:szCs w:val="18"/>
              </w:rPr>
            </w:pPr>
            <w:hyperlink r:id="rId16"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94606E" w:rsidP="005E7C4B">
            <w:pPr>
              <w:snapToGrid w:val="0"/>
              <w:rPr>
                <w:rFonts w:eastAsia="Times New Roman"/>
                <w:bCs/>
                <w:sz w:val="20"/>
                <w:szCs w:val="18"/>
              </w:rPr>
            </w:pPr>
            <w:hyperlink r:id="rId17"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94606E" w:rsidP="005E7C4B">
            <w:pPr>
              <w:snapToGrid w:val="0"/>
              <w:rPr>
                <w:rFonts w:eastAsia="Times New Roman"/>
                <w:bCs/>
                <w:sz w:val="20"/>
                <w:szCs w:val="18"/>
              </w:rPr>
            </w:pPr>
            <w:hyperlink r:id="rId18"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94606E" w:rsidP="005E7C4B">
            <w:pPr>
              <w:snapToGrid w:val="0"/>
              <w:rPr>
                <w:rFonts w:eastAsia="Times New Roman"/>
                <w:bCs/>
                <w:sz w:val="20"/>
                <w:szCs w:val="18"/>
              </w:rPr>
            </w:pPr>
            <w:hyperlink r:id="rId19"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94606E" w:rsidP="005E7C4B">
            <w:pPr>
              <w:snapToGrid w:val="0"/>
              <w:rPr>
                <w:rFonts w:eastAsia="Times New Roman"/>
                <w:bCs/>
                <w:sz w:val="20"/>
                <w:szCs w:val="18"/>
              </w:rPr>
            </w:pPr>
            <w:hyperlink r:id="rId20"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CDCB6" w14:textId="77777777" w:rsidR="0094606E" w:rsidRDefault="0094606E" w:rsidP="00FE429F">
      <w:r>
        <w:separator/>
      </w:r>
    </w:p>
  </w:endnote>
  <w:endnote w:type="continuationSeparator" w:id="0">
    <w:p w14:paraId="7330C4A9" w14:textId="77777777" w:rsidR="0094606E" w:rsidRDefault="0094606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CABE5" w14:textId="77777777" w:rsidR="0094606E" w:rsidRDefault="0094606E" w:rsidP="00FE429F">
      <w:r>
        <w:separator/>
      </w:r>
    </w:p>
  </w:footnote>
  <w:footnote w:type="continuationSeparator" w:id="0">
    <w:p w14:paraId="1BFF5BA9" w14:textId="77777777" w:rsidR="0094606E" w:rsidRDefault="0094606E"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3">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9">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6">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3">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41"/>
  </w:num>
  <w:num w:numId="3">
    <w:abstractNumId w:val="36"/>
  </w:num>
  <w:num w:numId="4">
    <w:abstractNumId w:val="19"/>
  </w:num>
  <w:num w:numId="5">
    <w:abstractNumId w:val="45"/>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7"/>
  </w:num>
  <w:num w:numId="11">
    <w:abstractNumId w:val="25"/>
  </w:num>
  <w:num w:numId="12">
    <w:abstractNumId w:val="13"/>
  </w:num>
  <w:num w:numId="13">
    <w:abstractNumId w:val="8"/>
  </w:num>
  <w:num w:numId="14">
    <w:abstractNumId w:val="28"/>
  </w:num>
  <w:num w:numId="15">
    <w:abstractNumId w:val="27"/>
  </w:num>
  <w:num w:numId="16">
    <w:abstractNumId w:val="9"/>
  </w:num>
  <w:num w:numId="17">
    <w:abstractNumId w:val="42"/>
  </w:num>
  <w:num w:numId="18">
    <w:abstractNumId w:val="29"/>
  </w:num>
  <w:num w:numId="19">
    <w:abstractNumId w:val="6"/>
  </w:num>
  <w:num w:numId="20">
    <w:abstractNumId w:val="4"/>
  </w:num>
  <w:num w:numId="21">
    <w:abstractNumId w:val="34"/>
  </w:num>
  <w:num w:numId="22">
    <w:abstractNumId w:val="31"/>
  </w:num>
  <w:num w:numId="23">
    <w:abstractNumId w:val="40"/>
  </w:num>
  <w:num w:numId="24">
    <w:abstractNumId w:val="18"/>
  </w:num>
  <w:num w:numId="25">
    <w:abstractNumId w:val="0"/>
  </w:num>
  <w:num w:numId="26">
    <w:abstractNumId w:val="30"/>
  </w:num>
  <w:num w:numId="27">
    <w:abstractNumId w:val="43"/>
  </w:num>
  <w:num w:numId="28">
    <w:abstractNumId w:val="21"/>
  </w:num>
  <w:num w:numId="29">
    <w:abstractNumId w:val="26"/>
  </w:num>
  <w:num w:numId="30">
    <w:abstractNumId w:val="23"/>
  </w:num>
  <w:num w:numId="31">
    <w:abstractNumId w:val="22"/>
  </w:num>
  <w:num w:numId="32">
    <w:abstractNumId w:val="17"/>
  </w:num>
  <w:num w:numId="33">
    <w:abstractNumId w:val="5"/>
  </w:num>
  <w:num w:numId="34">
    <w:abstractNumId w:val="44"/>
  </w:num>
  <w:num w:numId="35">
    <w:abstractNumId w:val="38"/>
  </w:num>
  <w:num w:numId="36">
    <w:abstractNumId w:val="11"/>
  </w:num>
  <w:num w:numId="37">
    <w:abstractNumId w:val="46"/>
  </w:num>
  <w:num w:numId="38">
    <w:abstractNumId w:val="20"/>
  </w:num>
  <w:num w:numId="39">
    <w:abstractNumId w:val="39"/>
  </w:num>
  <w:num w:numId="40">
    <w:abstractNumId w:val="16"/>
  </w:num>
  <w:num w:numId="41">
    <w:abstractNumId w:val="35"/>
  </w:num>
  <w:num w:numId="42">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7"/>
  </w:num>
  <w:num w:numId="45">
    <w:abstractNumId w:val="15"/>
  </w:num>
  <w:num w:numId="46">
    <w:abstractNumId w:val="32"/>
  </w:num>
  <w:num w:numId="47">
    <w:abstractNumId w:val="12"/>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5F6E"/>
    <w:rsid w:val="000E75D3"/>
    <w:rsid w:val="000F0126"/>
    <w:rsid w:val="000F141A"/>
    <w:rsid w:val="000F176C"/>
    <w:rsid w:val="000F29D1"/>
    <w:rsid w:val="000F448A"/>
    <w:rsid w:val="000F6723"/>
    <w:rsid w:val="000F6AE3"/>
    <w:rsid w:val="000F74CC"/>
    <w:rsid w:val="000F77F5"/>
    <w:rsid w:val="00101953"/>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7C4B"/>
    <w:rsid w:val="005F0150"/>
    <w:rsid w:val="005F0FA6"/>
    <w:rsid w:val="005F142C"/>
    <w:rsid w:val="005F1D5E"/>
    <w:rsid w:val="005F7693"/>
    <w:rsid w:val="005F7A15"/>
    <w:rsid w:val="005F7AA3"/>
    <w:rsid w:val="005F7EA1"/>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182B"/>
    <w:rsid w:val="009246F6"/>
    <w:rsid w:val="009261D6"/>
    <w:rsid w:val="00927E5B"/>
    <w:rsid w:val="009330D9"/>
    <w:rsid w:val="00936916"/>
    <w:rsid w:val="0094032A"/>
    <w:rsid w:val="00941A7F"/>
    <w:rsid w:val="009423ED"/>
    <w:rsid w:val="00942487"/>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0635"/>
    <w:rsid w:val="00B712CD"/>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0C75"/>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86E"/>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F32"/>
    <w:rsid w:val="00FC19B4"/>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Normal"/>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宋体"/>
      <w:sz w:val="20"/>
      <w:szCs w:val="20"/>
      <w:lang w:val="x-none" w:eastAsia="en-US"/>
    </w:rPr>
  </w:style>
  <w:style w:type="paragraph" w:customStyle="1" w:styleId="B4">
    <w:name w:val="B4"/>
    <w:basedOn w:val="Normal"/>
    <w:link w:val="B4Char"/>
    <w:qFormat/>
    <w:rsid w:val="00061DFD"/>
    <w:pPr>
      <w:spacing w:after="180"/>
      <w:ind w:left="1418" w:hanging="284"/>
    </w:pPr>
    <w:rPr>
      <w:rFonts w:eastAsia="宋体"/>
      <w:sz w:val="20"/>
      <w:szCs w:val="20"/>
      <w:lang w:val="en-GB" w:eastAsia="en-US"/>
    </w:rPr>
  </w:style>
  <w:style w:type="paragraph" w:customStyle="1" w:styleId="B5">
    <w:name w:val="B5"/>
    <w:basedOn w:val="Normal"/>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Normal"/>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宋体"/>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宋体"/>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宋体"/>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宋体"/>
      <w:kern w:val="2"/>
      <w:sz w:val="21"/>
      <w:szCs w:val="20"/>
      <w:lang w:eastAsia="zh-CN"/>
    </w:rPr>
  </w:style>
  <w:style w:type="paragraph" w:customStyle="1" w:styleId="a0">
    <w:name w:val="表格文字居左"/>
    <w:basedOn w:val="Normal"/>
    <w:next w:val="Normal"/>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宋体"/>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宋体"/>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宋体"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DefaultParagraphFont"/>
    <w:link w:val="a1"/>
    <w:rsid w:val="00061DFD"/>
    <w:rPr>
      <w:rFonts w:ascii="Times New Roman" w:hAnsi="Times New Roman" w:cs="宋体"/>
      <w:kern w:val="2"/>
      <w:sz w:val="21"/>
      <w:szCs w:val="20"/>
      <w:lang w:eastAsia="zh-CN"/>
    </w:rPr>
  </w:style>
  <w:style w:type="paragraph" w:customStyle="1" w:styleId="a2">
    <w:name w:val="公式"/>
    <w:basedOn w:val="Normal"/>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宋体"/>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宋体"/>
      <w:sz w:val="16"/>
      <w:lang w:eastAsia="en-US"/>
    </w:rPr>
  </w:style>
  <w:style w:type="character" w:styleId="LineNumber">
    <w:name w:val="line number"/>
    <w:rsid w:val="00061DFD"/>
    <w:rPr>
      <w:rFonts w:ascii="Arial" w:eastAsia="宋体"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宋体" w:eastAsia="宋体" w:hAnsi="宋体" w:cs="宋体"/>
      <w:lang w:eastAsia="zh-CN"/>
    </w:rPr>
  </w:style>
  <w:style w:type="paragraph" w:customStyle="1" w:styleId="font5">
    <w:name w:val="font5"/>
    <w:basedOn w:val="Normal"/>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Normal"/>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宋体"/>
      <w:lang w:val="sv-SE" w:eastAsia="sv-SE"/>
    </w:rPr>
  </w:style>
  <w:style w:type="paragraph" w:customStyle="1" w:styleId="onecomwebmail-tah">
    <w:name w:val="onecomwebmail-tah"/>
    <w:basedOn w:val="Normal"/>
    <w:rsid w:val="00061DFD"/>
    <w:pPr>
      <w:spacing w:before="100" w:beforeAutospacing="1" w:after="100" w:afterAutospacing="1"/>
    </w:pPr>
    <w:rPr>
      <w:rFonts w:eastAsia="宋体"/>
      <w:lang w:val="sv-SE" w:eastAsia="sv-SE"/>
    </w:rPr>
  </w:style>
  <w:style w:type="paragraph" w:customStyle="1" w:styleId="onecomwebmail-tac">
    <w:name w:val="onecomwebmail-tac"/>
    <w:basedOn w:val="Normal"/>
    <w:rsid w:val="00061DFD"/>
    <w:pPr>
      <w:spacing w:before="100" w:beforeAutospacing="1" w:after="100" w:afterAutospacing="1"/>
    </w:pPr>
    <w:rPr>
      <w:rFonts w:eastAsia="宋体"/>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宋体"/>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Normal"/>
    <w:qFormat/>
    <w:rsid w:val="00061DFD"/>
    <w:pPr>
      <w:ind w:left="720"/>
      <w:contextualSpacing/>
    </w:pPr>
    <w:rPr>
      <w:rFonts w:eastAsia="宋体"/>
      <w:lang w:eastAsia="zh-CN"/>
    </w:rPr>
  </w:style>
  <w:style w:type="paragraph" w:customStyle="1" w:styleId="ListParagraph2">
    <w:name w:val="List Paragraph2"/>
    <w:basedOn w:val="Normal"/>
    <w:qFormat/>
    <w:rsid w:val="00061DFD"/>
    <w:pPr>
      <w:ind w:left="720"/>
      <w:contextualSpacing/>
    </w:pPr>
    <w:rPr>
      <w:rFonts w:eastAsia="宋体"/>
      <w:lang w:eastAsia="zh-CN"/>
    </w:rPr>
  </w:style>
  <w:style w:type="paragraph" w:customStyle="1" w:styleId="ListParagraph5">
    <w:name w:val="List Paragraph5"/>
    <w:basedOn w:val="Normal"/>
    <w:qFormat/>
    <w:rsid w:val="00061DFD"/>
    <w:pPr>
      <w:ind w:left="720"/>
      <w:contextualSpacing/>
    </w:pPr>
    <w:rPr>
      <w:rFonts w:eastAsia="宋体"/>
      <w:lang w:eastAsia="zh-CN"/>
    </w:rPr>
  </w:style>
  <w:style w:type="paragraph" w:customStyle="1" w:styleId="ListParagraph4">
    <w:name w:val="List Paragraph4"/>
    <w:basedOn w:val="Normal"/>
    <w:qFormat/>
    <w:rsid w:val="00061DFD"/>
    <w:pPr>
      <w:ind w:left="720"/>
      <w:contextualSpacing/>
    </w:pPr>
    <w:rPr>
      <w:rFonts w:eastAsia="宋体"/>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宋体"/>
      <w:lang w:eastAsia="zh-CN"/>
    </w:rPr>
  </w:style>
  <w:style w:type="paragraph" w:customStyle="1" w:styleId="ListParagraph6">
    <w:name w:val="List Paragraph6"/>
    <w:basedOn w:val="Normal"/>
    <w:qFormat/>
    <w:rsid w:val="00061DFD"/>
    <w:pPr>
      <w:ind w:left="720"/>
      <w:contextualSpacing/>
    </w:pPr>
    <w:rPr>
      <w:rFonts w:eastAsia="宋体"/>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宋体"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宋体"/>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宋体"/>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946.zip" TargetMode="External"/><Relationship Id="rId18" Type="http://schemas.openxmlformats.org/officeDocument/2006/relationships/hyperlink" Target="https://www.3gpp.org/ftp/TSG_RAN/WG1_RL1/TSGR1_104b-e/Docs/R1-210339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b-e/Docs/R1-2102658.zip" TargetMode="External"/><Relationship Id="rId17" Type="http://schemas.openxmlformats.org/officeDocument/2006/relationships/hyperlink" Target="https://www.3gpp.org/ftp/TSG_RAN/WG1_RL1/TSGR1_104b-e/Docs/R1-21032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3085.zip" TargetMode="External"/><Relationship Id="rId20" Type="http://schemas.openxmlformats.org/officeDocument/2006/relationships/hyperlink" Target="https://www.3gpp.org/ftp/TSG_RAN/WG1_RL1/TSGR1_104b-e/Docs/R1-21034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b-e/Docs/R1-2102657.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3084.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b-e/Docs/R1-21034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947.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1DEFFAC4-1FBC-451E-B5F5-AFEFF1634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3205</Words>
  <Characters>18275</Characters>
  <Application>Microsoft Office Word</Application>
  <DocSecurity>0</DocSecurity>
  <Lines>152</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3</cp:revision>
  <dcterms:created xsi:type="dcterms:W3CDTF">2021-04-08T09:51:00Z</dcterms:created>
  <dcterms:modified xsi:type="dcterms:W3CDTF">2021-04-08T09:57:00Z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